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5"/>
        <w:gridCol w:w="1974"/>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r>
              <w:rPr/>
              <w:t xml:space="preserve">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2023-02-16</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28C596AC">
                <wp:simplePos x="0" y="0"/>
                <wp:positionH relativeFrom="column">
                  <wp:posOffset>-63500</wp:posOffset>
                </wp:positionH>
                <wp:positionV relativeFrom="paragraph">
                  <wp:posOffset>207645</wp:posOffset>
                </wp:positionV>
                <wp:extent cx="6478270" cy="6426200"/>
                <wp:effectExtent l="0" t="0" r="0" b="0"/>
                <wp:wrapNone/>
                <wp:docPr id="1" name="Text Box 3"/>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pPr>
                              <w:pStyle w:val="Raminnehll"/>
                              <w:spacing w:before="0" w:after="360"/>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rPr>
                              <w:t>r4:</w:t>
                            </w:r>
                            <w:r>
                              <w:rPr>
                                <w:color w:val="000000"/>
                                <w:sz w:val="16"/>
                                <w:szCs w:val="16"/>
                              </w:rPr>
                              <w:t xml:space="preserve"> clean version with no track changes.</w:t>
                              <w:br/>
                              <w:t>r5: with editorial changes introduced during the IEEE 802.18 weekly teleconference call 2 Feb 2018.</w:t>
                              <w:br/>
                              <w:t>r6: clean version with no track changes.</w:t>
                              <w:br/>
                            </w:r>
                            <w:r>
                              <w:rPr>
                                <w:color w:val="000000"/>
                                <w:sz w:val="16"/>
                                <w:szCs w:val="16"/>
                                <w:shd w:fill="auto" w:val="clear"/>
                              </w:rPr>
                              <w:t>r7: with additional changes following EC telecon on 7 Feb 2023 and IEEE 802.18 reflector comments.</w:t>
                              <w:br/>
                              <w:t>r8: with additional changes following .18 reflector comments on 8-9 Feb 2023.</w:t>
                              <w:br/>
                              <w:t>r9: with additional changes following .18 reflector comments on 9 Feb 2023. added discussion comments.</w:t>
                              <w:br/>
                              <w:t>r10: with changes from the 9 Feb 2023 RR-TAG weekly teleconference.</w:t>
                              <w:br/>
                              <w:t>r11: removed comments from the track changes.</w:t>
                            </w:r>
                            <w:r>
                              <w:rPr>
                                <w:color w:val="000000"/>
                                <w:sz w:val="16"/>
                                <w:szCs w:val="16"/>
                                <w:shd w:fill="92E285" w:val="clear"/>
                              </w:rPr>
                              <w:br/>
                              <w:t>r12: with resolution of final outstanding issue from 9 Feb 2023 RR-TAG teleconference.</w:t>
                              <w:br/>
                            </w:r>
                            <w:r>
                              <w:rPr>
                                <w:color w:val="000000"/>
                                <w:sz w:val="16"/>
                                <w:szCs w:val="16"/>
                                <w:shd w:fill="92E285" w:val="clear"/>
                              </w:rPr>
                              <w:t>r13: title change proposed by WCSC</w:t>
                              <w:br/>
                              <w:t>r14: clean version</w:t>
                            </w:r>
                            <w:r>
                              <w:rPr>
                                <w:color w:val="000000"/>
                                <w:sz w:val="16"/>
                                <w:szCs w:val="16"/>
                                <w:shd w:fill="92E285" w:val="clear"/>
                              </w:rPr>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505.95pt;mso-wrap-style:square;v-text-anchor:top" wp14:anchorId="28C596AC">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pPr>
                        <w:pStyle w:val="Raminnehll"/>
                        <w:spacing w:before="0" w:after="360"/>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rPr>
                        <w:t>r4:</w:t>
                      </w:r>
                      <w:r>
                        <w:rPr>
                          <w:color w:val="000000"/>
                          <w:sz w:val="16"/>
                          <w:szCs w:val="16"/>
                        </w:rPr>
                        <w:t xml:space="preserve"> clean version with no track changes.</w:t>
                        <w:br/>
                        <w:t>r5: with editorial changes introduced during the IEEE 802.18 weekly teleconference call 2 Feb 2018.</w:t>
                        <w:br/>
                        <w:t>r6: clean version with no track changes.</w:t>
                        <w:br/>
                      </w:r>
                      <w:r>
                        <w:rPr>
                          <w:color w:val="000000"/>
                          <w:sz w:val="16"/>
                          <w:szCs w:val="16"/>
                          <w:shd w:fill="auto" w:val="clear"/>
                        </w:rPr>
                        <w:t>r7: with additional changes following EC telecon on 7 Feb 2023 and IEEE 802.18 reflector comments.</w:t>
                        <w:br/>
                        <w:t>r8: with additional changes following .18 reflector comments on 8-9 Feb 2023.</w:t>
                        <w:br/>
                        <w:t>r9: with additional changes following .18 reflector comments on 9 Feb 2023. added discussion comments.</w:t>
                        <w:br/>
                        <w:t>r10: with changes from the 9 Feb 2023 RR-TAG weekly teleconference.</w:t>
                        <w:br/>
                        <w:t>r11: removed comments from the track changes.</w:t>
                      </w:r>
                      <w:r>
                        <w:rPr>
                          <w:color w:val="000000"/>
                          <w:sz w:val="16"/>
                          <w:szCs w:val="16"/>
                          <w:shd w:fill="92E285" w:val="clear"/>
                        </w:rPr>
                        <w:br/>
                        <w:t>r12: with resolution of final outstanding issue from 9 Feb 2023 RR-TAG teleconference.</w:t>
                        <w:br/>
                      </w:r>
                      <w:r>
                        <w:rPr>
                          <w:color w:val="000000"/>
                          <w:sz w:val="16"/>
                          <w:szCs w:val="16"/>
                          <w:shd w:fill="92E285" w:val="clear"/>
                        </w:rPr>
                        <w:t>r13: title change proposed by WCSC</w:t>
                        <w:br/>
                        <w:t>r14: clean version</w:t>
                      </w:r>
                      <w:r>
                        <w:rPr>
                          <w:color w:val="000000"/>
                          <w:sz w:val="16"/>
                          <w:szCs w:val="16"/>
                          <w:shd w:fill="92E285" w:val="clear"/>
                        </w:rPr>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180" w:right="89" w:hanging="0"/>
        <w:rPr>
          <w:b/>
          <w:b/>
          <w:bCs/>
        </w:rPr>
      </w:pPr>
      <w:r>
        <w:rPr>
          <w:b/>
          <w:bCs/>
        </w:rPr>
        <w:t>Introduction</w:t>
      </w:r>
    </w:p>
    <w:p>
      <w:pPr>
        <w:pStyle w:val="TextBody"/>
        <w:spacing w:lineRule="auto" w:line="276"/>
        <w:ind w:left="180" w:right="89" w:hanging="0"/>
        <w:jc w:val="both"/>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p>
    <w:p>
      <w:pPr>
        <w:pStyle w:val="TextBody"/>
        <w:spacing w:lineRule="auto" w:line="276"/>
        <w:ind w:left="180" w:right="89" w:hanging="0"/>
        <w:jc w:val="both"/>
        <w:rPr/>
      </w:pPr>
      <w:r>
        <w:rPr/>
        <w:t>The</w:t>
      </w:r>
      <w:r>
        <w:rPr>
          <w:spacing w:val="-4"/>
        </w:rPr>
        <w:t xml:space="preserve"> </w:t>
      </w:r>
      <w:r>
        <w:rPr/>
        <w:t>IEEE 802 Standards Committee,</w:t>
      </w:r>
      <w:r>
        <w:rPr>
          <w:spacing w:val="-2"/>
        </w:rPr>
        <w:t xml:space="preserve"> </w:t>
      </w:r>
      <w:r>
        <w:rPr/>
        <w:t>through</w:t>
      </w:r>
      <w:r>
        <w:rPr>
          <w:spacing w:val="-3"/>
        </w:rPr>
        <w:t xml:space="preserve"> </w:t>
      </w:r>
      <w:r>
        <w:rPr/>
        <w:t>its</w:t>
      </w:r>
      <w:r>
        <w:rPr>
          <w:spacing w:val="-3"/>
        </w:rPr>
        <w:t xml:space="preserve"> volunteers</w:t>
      </w:r>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individual, without restrictions. The committee develops the IEEE 802.11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(built into other systems). The standards are primarily designed for use of shared and license-exempt frequencies and enable an ecosystem where many entities can contribute to a larger whole.  </w:t>
      </w:r>
    </w:p>
    <w:p>
      <w:pPr>
        <w:pStyle w:val="TextBody"/>
        <w:spacing w:lineRule="auto" w:line="276"/>
        <w:ind w:left="180" w:right="89" w:hanging="0"/>
        <w:jc w:val="both"/>
        <w:rPr/>
      </w:pPr>
      <w:r>
        <w:rPr/>
        <w:t xml:space="preserve">IEEE 802 wireless standards are among the most widely adopted network standards globally. </w:t>
      </w:r>
    </w:p>
    <w:p>
      <w:pPr>
        <w:pStyle w:val="TextBody"/>
        <w:spacing w:lineRule="auto" w:line="276"/>
        <w:ind w:left="180" w:right="89" w:hanging="0"/>
        <w:rPr>
          <w:b/>
          <w:b/>
          <w:bCs/>
        </w:rPr>
      </w:pPr>
      <w:r>
        <w:rPr>
          <w:b/>
          <w:bCs/>
        </w:rPr>
        <w:t>Main priorities for IEEE 802 wireless technologies in spectrum policy</w:t>
      </w:r>
    </w:p>
    <w:p>
      <w:pPr>
        <w:pStyle w:val="TextBody"/>
        <w:spacing w:lineRule="auto" w:line="276"/>
        <w:ind w:left="180" w:right="89" w:hanging="0"/>
        <w:rPr/>
      </w:pPr>
      <w:r>
        <w:rPr/>
        <w:t>A core principle of IEEE 802 wireless standards is to enable spectrum sharing by using appropriate co-existence techniques, for example, in the following situations:</w:t>
      </w:r>
    </w:p>
    <w:p>
      <w:pPr>
        <w:pStyle w:val="TextBody"/>
        <w:numPr>
          <w:ilvl w:val="0"/>
          <w:numId w:val="1"/>
        </w:numPr>
        <w:spacing w:lineRule="auto" w:line="276"/>
        <w:ind w:left="1000" w:right="106" w:hanging="360"/>
        <w:jc w:val="both"/>
        <w:rPr/>
      </w:pPr>
      <w:r>
        <w:rPr/>
        <w:t>Devices in proximity using the same standard need ways to share spectrum.</w:t>
      </w:r>
    </w:p>
    <w:p>
      <w:pPr>
        <w:pStyle w:val="TextBody"/>
        <w:numPr>
          <w:ilvl w:val="0"/>
          <w:numId w:val="1"/>
        </w:numPr>
        <w:spacing w:lineRule="auto" w:line="276"/>
        <w:ind w:left="1000" w:right="106" w:hanging="360"/>
        <w:jc w:val="both"/>
        <w:rPr/>
      </w:pPr>
      <w:r>
        <w:rPr/>
        <w:t xml:space="preserve">Devices using different standards (IEEE 802.11, 802.15 or technologies developed by other organizations) must be able to share spectrum. </w:t>
      </w:r>
    </w:p>
    <w:p>
      <w:pPr>
        <w:pStyle w:val="TextBody"/>
        <w:numPr>
          <w:ilvl w:val="0"/>
          <w:numId w:val="1"/>
        </w:numPr>
        <w:spacing w:lineRule="auto" w:line="276"/>
        <w:ind w:left="1000" w:right="106" w:hanging="360"/>
        <w:jc w:val="both"/>
        <w:rPr/>
      </w:pPr>
      <w:r>
        <w:rPr/>
        <w:t xml:space="preserve">License-exempt use by devices has been allowed in bands primarily allocated to an incumbent user while protecting the incumbents from interference. Such efficient spectrum utilization does not require re-farming of the spectrum or migration of incumbent services to other bands. </w:t>
      </w:r>
    </w:p>
    <w:p>
      <w:pPr>
        <w:pStyle w:val="TextBody"/>
        <w:numPr>
          <w:ilvl w:val="0"/>
          <w:numId w:val="2"/>
        </w:numPr>
        <w:spacing w:lineRule="auto" w:line="276"/>
        <w:ind w:left="540" w:right="89" w:hanging="360"/>
        <w:jc w:val="both"/>
        <w:rPr/>
      </w:pPr>
      <w:r>
        <w:rPr>
          <w:szCs w:val="22"/>
        </w:rPr>
        <w:t>The increasing</w:t>
      </w:r>
      <w:r>
        <w:rPr>
          <w:spacing w:val="-1"/>
          <w:szCs w:val="22"/>
        </w:rPr>
        <w:t xml:space="preserve"> </w:t>
      </w:r>
      <w:r>
        <w:rPr>
          <w:szCs w:val="22"/>
        </w:rPr>
        <w:t>demands</w:t>
      </w:r>
      <w:r>
        <w:rPr>
          <w:spacing w:val="-1"/>
          <w:szCs w:val="22"/>
        </w:rPr>
        <w:t xml:space="preserve"> </w:t>
      </w:r>
      <w:r>
        <w:rPr>
          <w:szCs w:val="22"/>
        </w:rPr>
        <w:t>for wireless spectrum should be met by introducing flexibility into the use of lightly used spectrum. This includes spectrum that is being used sparsely on a geographic or temporal basis.</w:t>
      </w:r>
    </w:p>
    <w:p>
      <w:pPr>
        <w:pStyle w:val="TextBody"/>
        <w:numPr>
          <w:ilvl w:val="0"/>
          <w:numId w:val="2"/>
        </w:numPr>
        <w:spacing w:lineRule="auto" w:line="276"/>
        <w:ind w:left="540" w:hanging="360"/>
        <w:jc w:val="both"/>
        <w:rPr>
          <w:szCs w:val="22"/>
        </w:rPr>
      </w:pPr>
      <w:r>
        <w:rPr>
          <w:szCs w:val="22"/>
        </w:rPr>
        <w:t>Expanded global availability of the 6 GHz band (5925 MHz to 7250 MHz) for license-exempt shared use (indoor and outdoor) is critical to IEEE 802 wireless technologies. Accommodating multiple wide channels is key for the next generation IEEE 802.11 technologies to achieve the promised performance. In response to increasing demand for IEEE 802-based wireless networks, regulatory certainty is needed to further the benefits enjoyed by users of IEEE 802 wireless technologies around the world.</w:t>
      </w:r>
    </w:p>
    <w:p>
      <w:pPr>
        <w:pStyle w:val="TextBody"/>
        <w:numPr>
          <w:ilvl w:val="0"/>
          <w:numId w:val="2"/>
        </w:numPr>
        <w:spacing w:lineRule="auto" w:line="276"/>
        <w:ind w:left="540" w:hanging="360"/>
        <w:jc w:val="both"/>
        <w:rPr>
          <w:szCs w:val="22"/>
        </w:rPr>
      </w:pPr>
      <w:r>
        <w:rPr>
          <w:szCs w:val="22"/>
        </w:rPr>
        <w:t>Global convergence on policies for the sub-1 GHz bands will enable wider deployment of technologies already developed by IEEE 802. Standards-based systems operating in these bands make efficient and effective use of the spectrum. Allowing expanded use would further increase the economic and social value of sub-1 GHz spectrum.</w:t>
      </w:r>
    </w:p>
    <w:p>
      <w:pPr>
        <w:pStyle w:val="TextBody"/>
        <w:spacing w:lineRule="auto" w:line="276" w:before="1" w:after="120"/>
        <w:ind w:left="180" w:right="89" w:hanging="0"/>
        <w:rPr>
          <w:b/>
          <w:b/>
          <w:bCs/>
        </w:rPr>
      </w:pPr>
      <w:r>
        <w:rPr>
          <w:b/>
          <w:bCs/>
        </w:rPr>
        <w:t>Current and future state of IEEE 802 wireless technology development</w:t>
      </w:r>
    </w:p>
    <w:p>
      <w:pPr>
        <w:pStyle w:val="TextBody"/>
        <w:spacing w:lineRule="auto" w:line="276"/>
        <w:ind w:left="180" w:right="89" w:hanging="0"/>
        <w:jc w:val="both"/>
        <w:rPr/>
      </w:pPr>
      <w:r>
        <w:rPr/>
        <w:t>Significant economic value is provided by IEEE 802-based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an integral part of human life, benefiting billions of people, governments, and businesses every day.</w:t>
      </w:r>
    </w:p>
    <w:p>
      <w:pPr>
        <w:pStyle w:val="TextBody"/>
        <w:spacing w:lineRule="auto" w:line="276"/>
        <w:ind w:left="180" w:right="89" w:hanging="0"/>
        <w:jc w:val="both"/>
        <w:rPr>
          <w:i/>
          <w:i/>
          <w:iCs/>
        </w:rPr>
      </w:pPr>
      <w:r>
        <w:rPr>
          <w:i/>
          <w:iCs/>
        </w:rPr>
        <w:t>IEEE 802.11</w:t>
      </w:r>
    </w:p>
    <w:p>
      <w:pPr>
        <w:pStyle w:val="TextBody"/>
        <w:spacing w:lineRule="auto" w:line="276"/>
        <w:ind w:left="180" w:right="89" w:hanging="0"/>
        <w:jc w:val="both"/>
        <w:rPr/>
      </w:pPr>
      <w:r>
        <w:rPr/>
        <w:t>Today, Wi-Fi networks based on IEEE 802.11 standards are found in residential, office, and industrial environments, in public and private settings. Users in an array of industries</w:t>
      </w:r>
      <w:r>
        <w:rPr>
          <w:rStyle w:val="FootnoteAnchor"/>
        </w:rPr>
        <w:footnoteReference w:id="4"/>
      </w:r>
      <w:r>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pPr>
        <w:pStyle w:val="TextBody"/>
        <w:spacing w:lineRule="auto" w:line="276"/>
        <w:ind w:left="180" w:right="89" w:hanging="0"/>
        <w:jc w:val="both"/>
        <w:rPr/>
      </w:pPr>
      <w:r>
        <w:rPr/>
        <w:t>Each new generation of IEEE 802.11 technologies continues to improve efficiency, reliability, latency, through-put and determinism. IEEE 802.11 supports operation in several bands,</w:t>
      </w:r>
      <w:r>
        <w:rPr>
          <w:rStyle w:val="FootnoteAnchor"/>
        </w:rPr>
        <w:footnoteReference w:id="5"/>
      </w:r>
      <w:r>
        <w:rPr/>
        <w:t xml:space="preserve"> including recently the 6 GHz (5925 MHz to 7250 MHz) band with significant deployments underway.</w:t>
      </w:r>
      <w:r>
        <w:rPr>
          <w:rStyle w:val="FootnoteAnchor"/>
        </w:rPr>
        <w:footnoteReference w:id="6"/>
      </w:r>
      <w:r>
        <w:rPr/>
        <w:t xml:space="preserve"> </w:t>
      </w:r>
    </w:p>
    <w:p>
      <w:pPr>
        <w:pStyle w:val="TextBody"/>
        <w:spacing w:lineRule="auto" w:line="276"/>
        <w:ind w:left="180" w:right="89" w:hanging="0"/>
        <w:jc w:val="both"/>
        <w:rPr>
          <w:i/>
          <w:i/>
          <w:iCs/>
        </w:rPr>
      </w:pPr>
      <w:r>
        <w:rPr>
          <w:i/>
          <w:iCs/>
        </w:rPr>
        <w:t>IEEE 802.15</w:t>
      </w:r>
    </w:p>
    <w:p>
      <w:pPr>
        <w:pStyle w:val="TextBody"/>
        <w:spacing w:lineRule="auto" w:line="276"/>
        <w:ind w:left="180" w:right="89" w:hanging="0"/>
        <w:jc w:val="both"/>
        <w:rPr/>
      </w:pPr>
      <w:r>
        <w:rPr/>
        <w:t>Technologies based on 802.15 standards are embedded in an increasing number of devices. For some applications, such as cars or utilities, industry consortia exist to manage deployments. For other applications, proprietary protocols are used in conjunction with 802 standards. IEEE 802.15.4 can operate in many frequency ranges</w:t>
      </w:r>
      <w:r>
        <w:rPr>
          <w:rStyle w:val="FootnoteAnchor"/>
        </w:rPr>
        <w:footnoteReference w:id="7"/>
      </w:r>
      <w:r>
        <w:rPr/>
        <w:t xml:space="preserve"> and supports data communication,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p>
    <w:p>
      <w:pPr>
        <w:pStyle w:val="TextBody"/>
        <w:spacing w:lineRule="auto" w:line="276"/>
        <w:ind w:left="180" w:right="89" w:hanging="0"/>
        <w:jc w:val="both"/>
        <w:rPr>
          <w:shd w:fill="FFFF00" w:val="clear"/>
        </w:rPr>
      </w:pPr>
      <w:r>
        <w:rPr/>
        <w:t>Many IEEE 802.15 standards, as well as the IEEE 802.11 standard, support operation on frequencies lower than 1 GHz. As incumbents have improved the efficiency of their use of these bands, the IEEE 802 wireless community has been able to provide solutions for underserved communities and IoT applications.</w:t>
      </w:r>
    </w:p>
    <w:p>
      <w:pPr>
        <w:pStyle w:val="TextBody"/>
        <w:spacing w:lineRule="auto" w:line="276" w:before="1" w:after="120"/>
        <w:ind w:left="180" w:right="89" w:hanging="0"/>
        <w:jc w:val="both"/>
        <w:rPr>
          <w:i/>
          <w:i/>
          <w:iCs/>
          <w:szCs w:val="22"/>
          <w:shd w:fill="FFFF00" w:val="clear"/>
        </w:rPr>
      </w:pPr>
      <w:r>
        <w:rPr/>
        <w:t>As additional spectrum and bands are identified for new and expanded uses, IEEE 802 will continue its deliberate and determined efforts to enable robust coexistence and sharing with incumbents. For example, the IEEE 802.19 Wireless Coexistence Working Group published best practice co-existence mechanisms for sub-1 GHz technologies in 2021.</w:t>
      </w:r>
      <w:r>
        <w:rPr>
          <w:rStyle w:val="FootnoteAnchor"/>
        </w:rPr>
        <w:footnoteReference w:id="8"/>
      </w:r>
      <w:r>
        <w:rPr/>
        <w:t xml:space="preserve"> </w:t>
      </w:r>
    </w:p>
    <w:p>
      <w:pPr>
        <w:pStyle w:val="TextBody"/>
        <w:spacing w:lineRule="auto" w:line="276" w:before="200" w:after="120"/>
        <w:ind w:left="180" w:right="89" w:hanging="0"/>
        <w:rPr>
          <w:b/>
          <w:b/>
          <w:bCs/>
          <w:szCs w:val="22"/>
        </w:rPr>
      </w:pPr>
      <w:r>
        <w:rPr>
          <w:b/>
          <w:bCs/>
          <w:szCs w:val="22"/>
        </w:rPr>
        <w:t>A vision for social and economic development through flexible spectrum management</w:t>
      </w:r>
    </w:p>
    <w:p>
      <w:pPr>
        <w:pStyle w:val="TextBody"/>
        <w:spacing w:lineRule="auto" w:line="276"/>
        <w:ind w:left="180" w:right="89" w:hanging="0"/>
        <w:jc w:val="both"/>
        <w:rPr/>
      </w:pPr>
      <w:r>
        <w:rPr/>
        <w:t xml:space="preserve">Technologies which are designed to use license-exempt and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 the basic elements for such an ecosystem. </w:t>
      </w:r>
    </w:p>
    <w:p>
      <w:pPr>
        <w:pStyle w:val="TextBody"/>
        <w:spacing w:before="11" w:after="120"/>
        <w:rPr>
          <w:sz w:val="19"/>
          <w:szCs w:val="19"/>
        </w:rPr>
      </w:pPr>
      <w:r>
        <w:rPr>
          <w:sz w:val="19"/>
          <w:szCs w:val="19"/>
        </w:rPr>
        <mc:AlternateContent>
          <mc:Choice Requires="wps">
            <w:drawing>
              <wp:anchor behindDoc="0" distT="0" distB="53340" distL="0" distR="0" simplePos="0" locked="0" layoutInCell="0" allowOverlap="1" relativeHeight="4" wp14:anchorId="7EED9CE7">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gd name="textAreaLeft" fmla="*/ 0 w 1037880"/>
                            <a:gd name="textAreaRight" fmla="*/ 1039680 w 1037880"/>
                            <a:gd name="textAreaTop" fmla="*/ 0 h 6120"/>
                            <a:gd name="textAreaBottom" fmla="*/ 7920 h 6120"/>
                          </a:gdLst>
                          <a:ahLst/>
                          <a:rect l="textAreaLeft" t="textAreaTop" r="textAreaRight" b="textAreaBottom"/>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standards under development. For more information visit http://standards.ieee.org.</w:t>
      </w:r>
    </w:p>
    <w:sectPr>
      <w:headerReference w:type="default" r:id="rId2"/>
      <w:footerReference w:type="default" r:id="rId3"/>
      <w:footnotePr>
        <w:numFmt w:val="decimal"/>
      </w:footnotePr>
      <w:type w:val="nextPage"/>
      <w:pgSz w:w="12240" w:h="15840"/>
      <w:pgMar w:left="720" w:right="720" w:gutter="0" w:header="0" w:top="720" w:footer="1163" w:bottom="1220"/>
      <w:pgNumType w:start="1"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71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p>
  </w:footnote>
  <w:footnote w:id="5">
    <w:p>
      <w:pPr>
        <w:pStyle w:val="Footnote"/>
        <w:rPr/>
      </w:pPr>
      <w:r>
        <w:rPr>
          <w:rStyle w:val="FootnoteCharacters"/>
        </w:rPr>
        <w:footnoteRef/>
      </w:r>
      <w:r>
        <w:rPr/>
        <w:tab/>
        <w:t xml:space="preserve">IEEE 802.18 Wireless Standards Table of Frequency Ranges, 27 Sep 2022. </w:t>
      </w:r>
      <w:hyperlink r:id="rId2">
        <w:r>
          <w:rPr>
            <w:rStyle w:val="InternetLink"/>
          </w:rPr>
          <w:t>Available online</w:t>
        </w:r>
      </w:hyperlink>
      <w:r>
        <w:rPr/>
        <w:t xml:space="preserve"> [accessed 9 February 2023]</w:t>
      </w:r>
    </w:p>
  </w:footnote>
  <w:footnote w:id="6">
    <w:p>
      <w:pPr>
        <w:pStyle w:val="Footnote"/>
        <w:rPr/>
      </w:pPr>
      <w:r>
        <w:rPr>
          <w:rStyle w:val="FootnoteCharacters"/>
        </w:rPr>
        <w:footnoteRef/>
      </w:r>
      <w:r>
        <w:rPr/>
        <w:tab/>
        <w:t xml:space="preserve">Wi-Fi Alliance: Wi-Fi 6E momentum underscores need for entire 6 GHz band  </w:t>
      </w:r>
      <w:hyperlink r:id="rId3">
        <w:r>
          <w:rPr>
            <w:rStyle w:val="InternetLink"/>
          </w:rPr>
          <w:t>Available online</w:t>
        </w:r>
      </w:hyperlink>
      <w:r>
        <w:rPr/>
        <w:t xml:space="preserve"> [accessed: 3 February 2023]</w:t>
      </w:r>
    </w:p>
  </w:footnote>
  <w:footnote w:id="7">
    <w:p>
      <w:pPr>
        <w:pStyle w:val="Footnote"/>
        <w:rPr/>
      </w:pPr>
      <w:r>
        <w:rPr>
          <w:rStyle w:val="FootnoteCharacters"/>
        </w:rPr>
        <w:footnoteRef/>
      </w:r>
      <w:r>
        <w:rPr/>
        <w:tab/>
        <w:t>IEEE 802.18 Wireless Standards Table of Frequency Ranges.</w:t>
      </w:r>
    </w:p>
  </w:footnote>
  <w:footnote w:id="8">
    <w:p>
      <w:pPr>
        <w:pStyle w:val="Footnote"/>
        <w:rPr/>
      </w:pPr>
      <w:r>
        <w:rPr>
          <w:rStyle w:val="FootnoteCharacters"/>
        </w:rPr>
        <w:footnoteRef/>
      </w:r>
      <w:r>
        <w:rPr/>
        <w:tab/>
        <w:t>IEEE Std 802.19.3-2021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left" w:pos="7200" w:leader="none"/>
        <w:tab w:val="right" w:pos="12960" w:leader="none"/>
      </w:tabs>
      <w:rPr/>
    </w:pPr>
    <w:r>
      <w:rPr/>
      <w:t>Feb 2023</w:t>
      <w:tab/>
      <w:t>doc.: IEEE 802.18-23/0015r1</w:t>
    </w:r>
    <w:r>
      <w:rPr/>
      <w:t>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decimal"/>
      <w:lvlText w:val="%1."/>
      <w:lvlJc w:val="left"/>
      <w:pPr>
        <w:tabs>
          <w:tab w:val="num" w:pos="0"/>
        </w:tabs>
        <w:ind w:left="1085" w:hanging="360"/>
      </w:pPr>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 w:cs="Calibri" w:eastAsiaTheme="minorEastAsia"/>
      <w:b/>
      <w:bCs/>
      <w:sz w:val="44"/>
      <w:szCs w:val="44"/>
      <w:lang w:val="en-US" w:eastAsia="zh-CN"/>
    </w:rPr>
  </w:style>
  <w:style w:type="character" w:styleId="UnresolvedMention1" w:customStyle="1">
    <w:name w:val="Unresolved Mention1"/>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1" w:customStyle="1">
    <w:name w:val="Line Number1"/>
    <w:qFormat/>
    <w:rPr/>
  </w:style>
  <w:style w:type="character" w:styleId="FootnoteCharacters" w:customStyle="1">
    <w:name w:val="Footnote Characters"/>
    <w:qFormat/>
    <w:rPr>
      <w:vertAlign w:val="superscript"/>
    </w:rPr>
  </w:style>
  <w:style w:type="character" w:styleId="FootnoteReference1" w:customStyle="1">
    <w:name w:val="Footnote Reference1"/>
    <w:qFormat/>
    <w:rPr>
      <w:vertAlign w:val="superscript"/>
    </w:rPr>
  </w:style>
  <w:style w:type="character" w:styleId="InternetLink">
    <w:name w:val="Hyperlink"/>
    <w:rPr>
      <w:color w:val="000080"/>
      <w:u w:val="single"/>
    </w:rPr>
  </w:style>
  <w:style w:type="character" w:styleId="EndnoteReference1" w:customStyle="1">
    <w:name w:val="Endnote Reference1"/>
    <w:qFormat/>
    <w:rPr>
      <w:vertAlign w:val="superscript"/>
    </w:rPr>
  </w:style>
  <w:style w:type="character" w:styleId="EndnoteCharacters" w:customStyle="1">
    <w:name w:val="Endnote Characters"/>
    <w:qFormat/>
    <w:rPr>
      <w:vertAlign w:val="superscrip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character" w:styleId="NumberingSymbols" w:customStyle="1">
    <w:name w:val="Numbering Symbols"/>
    <w:qFormat/>
    <w:rPr/>
  </w:style>
  <w:style w:type="character" w:styleId="FootnoteAnchor">
    <w:name w:val="Footnote Reference"/>
    <w:rPr>
      <w:vertAlign w:val="superscript"/>
    </w:rPr>
  </w:style>
  <w:style w:type="character" w:styleId="LineNumbering">
    <w:name w:val="Line Number"/>
    <w:rPr/>
  </w:style>
  <w:style w:type="character" w:styleId="EndnoteAnchor">
    <w:name w:val="Endnote Reference"/>
    <w:rPr>
      <w:vertAlign w:val="superscript"/>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mentor.ieee.org/802.18/dcn/22/18-22-0009-01-0000-ieee-802-wireless-standards-table-of-frequency-ranges.xlsx" TargetMode="External"/><Relationship Id="rId3" Type="http://schemas.openxmlformats.org/officeDocument/2006/relationships/hyperlink" Target="https://www.wi-fi.org/news-events/newsroom/wi-fi-6e-momentum-underscores-need-for-entire-6-ghz-ba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2841</TotalTime>
  <Application>LibreOffice/7.4.5.1$Linux_X86_64 LibreOffice_project/40$Build-1</Application>
  <AppVersion>15.0000</AppVersion>
  <Pages>4</Pages>
  <Words>1650</Words>
  <Characters>10033</Characters>
  <CharactersWithSpaces>11638</CharactersWithSpaces>
  <Paragraphs>55</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2023-02-09T21:00:00Z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2023-02-16T20:29:27Z</dcterms:modified>
  <cp:revision>6</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