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D3C9" w14:textId="16231942" w:rsidR="000933C2" w:rsidRPr="000933C2" w:rsidRDefault="000933C2" w:rsidP="000933C2">
      <w:pPr>
        <w:pStyle w:val="T1"/>
        <w:pBdr>
          <w:bottom w:val="single" w:sz="6" w:space="0" w:color="auto"/>
        </w:pBdr>
        <w:spacing w:after="240"/>
        <w:rPr>
          <w:noProof/>
        </w:rPr>
      </w:pPr>
      <w:r w:rsidRPr="000933C2">
        <w:rPr>
          <w:noProof/>
        </w:rPr>
        <w:t>IEEE P802.1</w:t>
      </w:r>
      <w:r w:rsidR="000112DA">
        <w:rPr>
          <w:noProof/>
        </w:rPr>
        <w:t>8</w:t>
      </w:r>
      <w:r w:rsidRPr="000933C2">
        <w:rPr>
          <w:noProof/>
        </w:rPr>
        <w:br/>
      </w:r>
      <w:r w:rsidR="000112DA">
        <w:rPr>
          <w:noProof/>
        </w:rP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0A508CAC" w:rsidR="000933C2" w:rsidRPr="004F7BA6" w:rsidRDefault="004F7BA6" w:rsidP="00EC6211">
            <w:pPr>
              <w:pStyle w:val="T2"/>
              <w:rPr>
                <w:b w:val="0"/>
                <w:bCs/>
                <w:noProof/>
              </w:rPr>
            </w:pPr>
            <w:r w:rsidRPr="004F7BA6">
              <w:rPr>
                <w:b w:val="0"/>
                <w:bCs/>
              </w:rPr>
              <w:t xml:space="preserve">Proposed Response to MIIT of China </w:t>
            </w:r>
            <w:r>
              <w:rPr>
                <w:b w:val="0"/>
                <w:bCs/>
              </w:rPr>
              <w:t>Consultation</w:t>
            </w:r>
            <w:r w:rsidRPr="004F7BA6">
              <w:rPr>
                <w:b w:val="0"/>
                <w:bCs/>
              </w:rPr>
              <w:t xml:space="preserve"> an “</w:t>
            </w:r>
            <w:proofErr w:type="spellStart"/>
            <w:r w:rsidRPr="004F7BA6">
              <w:rPr>
                <w:b w:val="0"/>
                <w:bCs/>
              </w:rPr>
              <w:t>Ultra</w:t>
            </w:r>
            <w:r>
              <w:rPr>
                <w:b w:val="0"/>
                <w:bCs/>
              </w:rPr>
              <w:t xml:space="preserve"> </w:t>
            </w:r>
            <w:r w:rsidRPr="004F7BA6">
              <w:rPr>
                <w:b w:val="0"/>
                <w:bCs/>
              </w:rPr>
              <w:t>Wideband</w:t>
            </w:r>
            <w:proofErr w:type="spellEnd"/>
            <w:r w:rsidRPr="004F7BA6">
              <w:rPr>
                <w:b w:val="0"/>
                <w:bCs/>
              </w:rPr>
              <w:t xml:space="preserve"> (UWB) Equipment Radio Management Regulations</w:t>
            </w:r>
            <w:r>
              <w:rPr>
                <w:b w:val="0"/>
                <w:bCs/>
              </w:rPr>
              <w: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4F7BA6" w:rsidRPr="000933C2" w14:paraId="29186A80" w14:textId="77777777" w:rsidTr="001B7DD6">
        <w:trPr>
          <w:trHeight w:val="385"/>
          <w:jc w:val="center"/>
        </w:trPr>
        <w:tc>
          <w:tcPr>
            <w:tcW w:w="1548" w:type="dxa"/>
            <w:vAlign w:val="center"/>
          </w:tcPr>
          <w:p w14:paraId="596F423B" w14:textId="7864C909" w:rsidR="004F7BA6" w:rsidRDefault="004F7BA6" w:rsidP="00FC10E0">
            <w:pPr>
              <w:pStyle w:val="T2"/>
              <w:spacing w:after="0"/>
              <w:ind w:left="0" w:right="0"/>
              <w:jc w:val="left"/>
              <w:rPr>
                <w:rFonts w:eastAsiaTheme="minorEastAsia"/>
                <w:b w:val="0"/>
                <w:noProof/>
                <w:sz w:val="20"/>
                <w:lang w:eastAsia="zh-CN"/>
              </w:rPr>
            </w:pPr>
            <w:r>
              <w:rPr>
                <w:b w:val="0"/>
                <w:noProof/>
                <w:sz w:val="20"/>
              </w:rPr>
              <w:t>Dries Neirynck</w:t>
            </w:r>
          </w:p>
        </w:tc>
        <w:tc>
          <w:tcPr>
            <w:tcW w:w="1852" w:type="dxa"/>
            <w:vAlign w:val="center"/>
          </w:tcPr>
          <w:p w14:paraId="1C4CC25A" w14:textId="740FBC5C" w:rsidR="004F7BA6" w:rsidRDefault="004F7BA6" w:rsidP="00FC10E0">
            <w:pPr>
              <w:pStyle w:val="T2"/>
              <w:spacing w:after="0"/>
              <w:ind w:left="0" w:right="0"/>
              <w:jc w:val="left"/>
              <w:rPr>
                <w:rFonts w:eastAsia="DengXian"/>
                <w:b w:val="0"/>
                <w:noProof/>
                <w:sz w:val="20"/>
                <w:lang w:eastAsia="zh-CN"/>
              </w:rPr>
            </w:pPr>
            <w:r>
              <w:rPr>
                <w:b w:val="0"/>
                <w:noProof/>
                <w:sz w:val="20"/>
              </w:rPr>
              <w:t>Ultra Radio Ltd</w:t>
            </w:r>
          </w:p>
        </w:tc>
        <w:tc>
          <w:tcPr>
            <w:tcW w:w="2832" w:type="dxa"/>
            <w:vAlign w:val="center"/>
          </w:tcPr>
          <w:p w14:paraId="47C8C645" w14:textId="77777777" w:rsidR="004F7BA6" w:rsidRPr="000933C2" w:rsidRDefault="004F7BA6" w:rsidP="00FC10E0">
            <w:pPr>
              <w:pStyle w:val="T2"/>
              <w:spacing w:after="0"/>
              <w:ind w:left="0" w:right="0"/>
              <w:jc w:val="left"/>
              <w:rPr>
                <w:b w:val="0"/>
                <w:noProof/>
                <w:sz w:val="20"/>
              </w:rPr>
            </w:pPr>
          </w:p>
        </w:tc>
        <w:tc>
          <w:tcPr>
            <w:tcW w:w="1418" w:type="dxa"/>
            <w:vAlign w:val="center"/>
          </w:tcPr>
          <w:p w14:paraId="7C6B1B28" w14:textId="77777777" w:rsidR="004F7BA6" w:rsidRPr="000933C2" w:rsidRDefault="004F7BA6" w:rsidP="00FC10E0">
            <w:pPr>
              <w:pStyle w:val="T2"/>
              <w:spacing w:after="0"/>
              <w:ind w:left="0" w:right="0"/>
              <w:jc w:val="left"/>
              <w:rPr>
                <w:b w:val="0"/>
                <w:noProof/>
                <w:sz w:val="20"/>
              </w:rPr>
            </w:pPr>
          </w:p>
        </w:tc>
        <w:tc>
          <w:tcPr>
            <w:tcW w:w="1926" w:type="dxa"/>
            <w:vAlign w:val="center"/>
          </w:tcPr>
          <w:p w14:paraId="33FDC26C" w14:textId="77777777" w:rsidR="004F7BA6" w:rsidRPr="000933C2" w:rsidRDefault="004F7BA6" w:rsidP="00FC10E0">
            <w:pPr>
              <w:pStyle w:val="T2"/>
              <w:spacing w:after="0"/>
              <w:ind w:left="0" w:right="0"/>
              <w:jc w:val="left"/>
              <w:rPr>
                <w:b w:val="0"/>
                <w:noProof/>
                <w:sz w:val="16"/>
              </w:rPr>
            </w:pPr>
          </w:p>
        </w:tc>
      </w:tr>
      <w:tr w:rsidR="004F7BA6" w:rsidRPr="000933C2" w14:paraId="20C6AD87" w14:textId="77777777" w:rsidTr="001B7DD6">
        <w:trPr>
          <w:trHeight w:val="385"/>
          <w:jc w:val="center"/>
        </w:trPr>
        <w:tc>
          <w:tcPr>
            <w:tcW w:w="1548" w:type="dxa"/>
            <w:vAlign w:val="center"/>
          </w:tcPr>
          <w:p w14:paraId="6CEE3F96" w14:textId="6FA00FA9" w:rsidR="004F7BA6" w:rsidRDefault="004F7BA6" w:rsidP="00FC10E0">
            <w:pPr>
              <w:pStyle w:val="T2"/>
              <w:spacing w:after="0"/>
              <w:ind w:left="0" w:right="0"/>
              <w:jc w:val="left"/>
              <w:rPr>
                <w:rFonts w:eastAsiaTheme="minorEastAsia"/>
                <w:b w:val="0"/>
                <w:noProof/>
                <w:sz w:val="20"/>
                <w:lang w:eastAsia="zh-CN"/>
              </w:rPr>
            </w:pPr>
            <w:r>
              <w:rPr>
                <w:b w:val="0"/>
                <w:noProof/>
                <w:sz w:val="20"/>
              </w:rPr>
              <w:t>Ben Rolfe</w:t>
            </w:r>
          </w:p>
        </w:tc>
        <w:tc>
          <w:tcPr>
            <w:tcW w:w="1852" w:type="dxa"/>
            <w:vAlign w:val="center"/>
          </w:tcPr>
          <w:p w14:paraId="0B0A40ED" w14:textId="26DEE766" w:rsidR="004F7BA6" w:rsidRDefault="004F7BA6" w:rsidP="00FC10E0">
            <w:pPr>
              <w:pStyle w:val="T2"/>
              <w:spacing w:after="0"/>
              <w:ind w:left="0" w:right="0"/>
              <w:jc w:val="left"/>
              <w:rPr>
                <w:rFonts w:eastAsia="DengXian"/>
                <w:b w:val="0"/>
                <w:noProof/>
                <w:sz w:val="20"/>
                <w:lang w:eastAsia="zh-CN"/>
              </w:rPr>
            </w:pPr>
            <w:r>
              <w:rPr>
                <w:rFonts w:eastAsia="DengXian"/>
                <w:b w:val="0"/>
                <w:noProof/>
                <w:sz w:val="20"/>
                <w:lang w:eastAsia="zh-CN"/>
              </w:rPr>
              <w:t>Blind Creek Associates</w:t>
            </w:r>
          </w:p>
        </w:tc>
        <w:tc>
          <w:tcPr>
            <w:tcW w:w="2832" w:type="dxa"/>
            <w:vAlign w:val="center"/>
          </w:tcPr>
          <w:p w14:paraId="23697913" w14:textId="77777777" w:rsidR="004F7BA6" w:rsidRPr="000933C2" w:rsidRDefault="004F7BA6" w:rsidP="00FC10E0">
            <w:pPr>
              <w:pStyle w:val="T2"/>
              <w:spacing w:after="0"/>
              <w:ind w:left="0" w:right="0"/>
              <w:jc w:val="left"/>
              <w:rPr>
                <w:b w:val="0"/>
                <w:noProof/>
                <w:sz w:val="20"/>
              </w:rPr>
            </w:pPr>
          </w:p>
        </w:tc>
        <w:tc>
          <w:tcPr>
            <w:tcW w:w="1418" w:type="dxa"/>
            <w:vAlign w:val="center"/>
          </w:tcPr>
          <w:p w14:paraId="2056917D" w14:textId="77777777" w:rsidR="004F7BA6" w:rsidRPr="000933C2" w:rsidRDefault="004F7BA6" w:rsidP="00FC10E0">
            <w:pPr>
              <w:pStyle w:val="T2"/>
              <w:spacing w:after="0"/>
              <w:ind w:left="0" w:right="0"/>
              <w:jc w:val="left"/>
              <w:rPr>
                <w:b w:val="0"/>
                <w:noProof/>
                <w:sz w:val="20"/>
              </w:rPr>
            </w:pPr>
          </w:p>
        </w:tc>
        <w:tc>
          <w:tcPr>
            <w:tcW w:w="1926" w:type="dxa"/>
            <w:vAlign w:val="center"/>
          </w:tcPr>
          <w:p w14:paraId="34183C1B" w14:textId="77777777" w:rsidR="004F7BA6" w:rsidRPr="000933C2" w:rsidRDefault="004F7BA6" w:rsidP="00FC10E0">
            <w:pPr>
              <w:pStyle w:val="T2"/>
              <w:spacing w:after="0"/>
              <w:ind w:left="0" w:right="0"/>
              <w:jc w:val="left"/>
              <w:rPr>
                <w:b w:val="0"/>
                <w:noProof/>
                <w:sz w:val="16"/>
              </w:rPr>
            </w:pPr>
          </w:p>
        </w:tc>
      </w:tr>
      <w:tr w:rsidR="004F7BA6" w:rsidRPr="000933C2" w14:paraId="27EF0569" w14:textId="77777777" w:rsidTr="001B7DD6">
        <w:trPr>
          <w:trHeight w:val="385"/>
          <w:jc w:val="center"/>
        </w:trPr>
        <w:tc>
          <w:tcPr>
            <w:tcW w:w="1548" w:type="dxa"/>
            <w:vAlign w:val="center"/>
          </w:tcPr>
          <w:p w14:paraId="2AC85DBC" w14:textId="50600BB8" w:rsidR="004F7BA6" w:rsidRDefault="004F7BA6" w:rsidP="00FC10E0">
            <w:pPr>
              <w:pStyle w:val="T2"/>
              <w:spacing w:after="0"/>
              <w:ind w:left="0" w:right="0"/>
              <w:jc w:val="left"/>
              <w:rPr>
                <w:rFonts w:eastAsiaTheme="minorEastAsia"/>
                <w:b w:val="0"/>
                <w:noProof/>
                <w:sz w:val="20"/>
                <w:lang w:eastAsia="zh-CN"/>
              </w:rPr>
            </w:pPr>
            <w:r>
              <w:rPr>
                <w:rFonts w:eastAsiaTheme="minorEastAsia"/>
                <w:b w:val="0"/>
                <w:noProof/>
                <w:sz w:val="20"/>
                <w:lang w:eastAsia="zh-CN"/>
              </w:rPr>
              <w:t>Riku Pirhonen</w:t>
            </w:r>
          </w:p>
        </w:tc>
        <w:tc>
          <w:tcPr>
            <w:tcW w:w="1852" w:type="dxa"/>
            <w:vAlign w:val="center"/>
          </w:tcPr>
          <w:p w14:paraId="63C0C8B1" w14:textId="0FAE7F9E" w:rsidR="004F7BA6" w:rsidRDefault="004F7BA6" w:rsidP="00FC10E0">
            <w:pPr>
              <w:pStyle w:val="T2"/>
              <w:spacing w:after="0"/>
              <w:ind w:left="0" w:right="0"/>
              <w:jc w:val="left"/>
              <w:rPr>
                <w:rFonts w:eastAsia="DengXian"/>
                <w:b w:val="0"/>
                <w:noProof/>
                <w:sz w:val="20"/>
                <w:lang w:eastAsia="zh-CN"/>
              </w:rPr>
            </w:pPr>
            <w:r>
              <w:rPr>
                <w:rFonts w:eastAsia="DengXian"/>
                <w:b w:val="0"/>
                <w:noProof/>
                <w:sz w:val="20"/>
                <w:lang w:eastAsia="zh-CN"/>
              </w:rPr>
              <w:t>NXP Semiconductors</w:t>
            </w:r>
          </w:p>
        </w:tc>
        <w:tc>
          <w:tcPr>
            <w:tcW w:w="2832" w:type="dxa"/>
            <w:vAlign w:val="center"/>
          </w:tcPr>
          <w:p w14:paraId="75E00E81" w14:textId="77777777" w:rsidR="004F7BA6" w:rsidRPr="000933C2" w:rsidRDefault="004F7BA6" w:rsidP="00FC10E0">
            <w:pPr>
              <w:pStyle w:val="T2"/>
              <w:spacing w:after="0"/>
              <w:ind w:left="0" w:right="0"/>
              <w:jc w:val="left"/>
              <w:rPr>
                <w:b w:val="0"/>
                <w:noProof/>
                <w:sz w:val="20"/>
              </w:rPr>
            </w:pPr>
          </w:p>
        </w:tc>
        <w:tc>
          <w:tcPr>
            <w:tcW w:w="1418" w:type="dxa"/>
            <w:vAlign w:val="center"/>
          </w:tcPr>
          <w:p w14:paraId="2F9973C2" w14:textId="77777777" w:rsidR="004F7BA6" w:rsidRPr="000933C2" w:rsidRDefault="004F7BA6" w:rsidP="00FC10E0">
            <w:pPr>
              <w:pStyle w:val="T2"/>
              <w:spacing w:after="0"/>
              <w:ind w:left="0" w:right="0"/>
              <w:jc w:val="left"/>
              <w:rPr>
                <w:b w:val="0"/>
                <w:noProof/>
                <w:sz w:val="20"/>
              </w:rPr>
            </w:pPr>
          </w:p>
        </w:tc>
        <w:tc>
          <w:tcPr>
            <w:tcW w:w="1926" w:type="dxa"/>
            <w:vAlign w:val="center"/>
          </w:tcPr>
          <w:p w14:paraId="2CFAADEC" w14:textId="2F200FE8" w:rsidR="004F7BA6" w:rsidRPr="000933C2" w:rsidRDefault="004F7BA6" w:rsidP="00FC10E0">
            <w:pPr>
              <w:pStyle w:val="T2"/>
              <w:spacing w:after="0"/>
              <w:ind w:left="0" w:right="0"/>
              <w:jc w:val="left"/>
              <w:rPr>
                <w:b w:val="0"/>
                <w:noProof/>
                <w:sz w:val="16"/>
              </w:rPr>
            </w:pPr>
            <w:r>
              <w:rPr>
                <w:b w:val="0"/>
                <w:noProof/>
                <w:sz w:val="16"/>
              </w:rPr>
              <w:t>riku.pirhonen@nxp.com</w:t>
            </w:r>
          </w:p>
        </w:tc>
      </w:tr>
      <w:tr w:rsidR="004F7BA6" w:rsidRPr="000933C2" w14:paraId="6D3EB831" w14:textId="77777777" w:rsidTr="001B7DD6">
        <w:trPr>
          <w:trHeight w:val="385"/>
          <w:jc w:val="center"/>
        </w:trPr>
        <w:tc>
          <w:tcPr>
            <w:tcW w:w="1548" w:type="dxa"/>
            <w:vAlign w:val="center"/>
          </w:tcPr>
          <w:p w14:paraId="132529C9" w14:textId="346287D9" w:rsidR="004F7BA6" w:rsidRDefault="004F7BA6" w:rsidP="00FC10E0">
            <w:pPr>
              <w:pStyle w:val="T2"/>
              <w:spacing w:after="0"/>
              <w:ind w:left="0" w:right="0"/>
              <w:jc w:val="left"/>
              <w:rPr>
                <w:rFonts w:eastAsiaTheme="minorEastAsia"/>
                <w:b w:val="0"/>
                <w:noProof/>
                <w:sz w:val="20"/>
                <w:lang w:eastAsia="zh-CN"/>
              </w:rPr>
            </w:pPr>
            <w:r>
              <w:rPr>
                <w:rFonts w:eastAsiaTheme="minorEastAsia"/>
                <w:b w:val="0"/>
                <w:noProof/>
                <w:sz w:val="20"/>
                <w:lang w:eastAsia="zh-CN"/>
              </w:rPr>
              <w:t>BiIly Vero</w:t>
            </w:r>
          </w:p>
        </w:tc>
        <w:tc>
          <w:tcPr>
            <w:tcW w:w="1852" w:type="dxa"/>
            <w:vAlign w:val="center"/>
          </w:tcPr>
          <w:p w14:paraId="13C0B986" w14:textId="43025331" w:rsidR="004F7BA6" w:rsidRDefault="004F7BA6" w:rsidP="00FC10E0">
            <w:pPr>
              <w:pStyle w:val="T2"/>
              <w:spacing w:after="0"/>
              <w:ind w:left="0" w:right="0"/>
              <w:jc w:val="left"/>
              <w:rPr>
                <w:rFonts w:eastAsia="DengXian"/>
                <w:b w:val="0"/>
                <w:noProof/>
                <w:sz w:val="20"/>
                <w:lang w:eastAsia="zh-CN"/>
              </w:rPr>
            </w:pPr>
            <w:r>
              <w:rPr>
                <w:rFonts w:eastAsia="DengXian"/>
                <w:b w:val="0"/>
                <w:noProof/>
                <w:sz w:val="20"/>
                <w:lang w:eastAsia="zh-CN"/>
              </w:rPr>
              <w:t>Qorvo</w:t>
            </w:r>
          </w:p>
        </w:tc>
        <w:tc>
          <w:tcPr>
            <w:tcW w:w="2832" w:type="dxa"/>
            <w:vAlign w:val="center"/>
          </w:tcPr>
          <w:p w14:paraId="6399FFAF" w14:textId="77777777" w:rsidR="004F7BA6" w:rsidRPr="000933C2" w:rsidRDefault="004F7BA6" w:rsidP="00FC10E0">
            <w:pPr>
              <w:pStyle w:val="T2"/>
              <w:spacing w:after="0"/>
              <w:ind w:left="0" w:right="0"/>
              <w:jc w:val="left"/>
              <w:rPr>
                <w:b w:val="0"/>
                <w:noProof/>
                <w:sz w:val="20"/>
              </w:rPr>
            </w:pPr>
          </w:p>
        </w:tc>
        <w:tc>
          <w:tcPr>
            <w:tcW w:w="1418" w:type="dxa"/>
            <w:vAlign w:val="center"/>
          </w:tcPr>
          <w:p w14:paraId="25F2BCD7" w14:textId="77777777" w:rsidR="004F7BA6" w:rsidRPr="000933C2" w:rsidRDefault="004F7BA6" w:rsidP="00FC10E0">
            <w:pPr>
              <w:pStyle w:val="T2"/>
              <w:spacing w:after="0"/>
              <w:ind w:left="0" w:right="0"/>
              <w:jc w:val="left"/>
              <w:rPr>
                <w:b w:val="0"/>
                <w:noProof/>
                <w:sz w:val="20"/>
              </w:rPr>
            </w:pPr>
          </w:p>
        </w:tc>
        <w:tc>
          <w:tcPr>
            <w:tcW w:w="1926" w:type="dxa"/>
            <w:vAlign w:val="center"/>
          </w:tcPr>
          <w:p w14:paraId="6C434F1B" w14:textId="77777777" w:rsidR="004F7BA6" w:rsidRPr="000933C2" w:rsidRDefault="004F7BA6" w:rsidP="00FC10E0">
            <w:pPr>
              <w:pStyle w:val="T2"/>
              <w:spacing w:after="0"/>
              <w:ind w:left="0" w:right="0"/>
              <w:jc w:val="left"/>
              <w:rPr>
                <w:b w:val="0"/>
                <w:noProof/>
                <w:sz w:val="16"/>
              </w:rPr>
            </w:pPr>
          </w:p>
        </w:tc>
      </w:tr>
      <w:tr w:rsidR="0065540D" w:rsidRPr="000933C2" w14:paraId="1756E0F4" w14:textId="77777777" w:rsidTr="001B7DD6">
        <w:trPr>
          <w:trHeight w:val="385"/>
          <w:jc w:val="center"/>
        </w:trPr>
        <w:tc>
          <w:tcPr>
            <w:tcW w:w="1548" w:type="dxa"/>
            <w:vAlign w:val="center"/>
          </w:tcPr>
          <w:p w14:paraId="20670B58" w14:textId="77777777" w:rsidR="0065540D" w:rsidRDefault="0065540D" w:rsidP="00FC10E0">
            <w:pPr>
              <w:pStyle w:val="T2"/>
              <w:spacing w:after="0"/>
              <w:ind w:left="0" w:right="0"/>
              <w:jc w:val="left"/>
              <w:rPr>
                <w:rFonts w:eastAsiaTheme="minorEastAsia"/>
                <w:b w:val="0"/>
                <w:noProof/>
                <w:sz w:val="20"/>
                <w:lang w:eastAsia="zh-CN"/>
              </w:rPr>
            </w:pPr>
          </w:p>
        </w:tc>
        <w:tc>
          <w:tcPr>
            <w:tcW w:w="1852" w:type="dxa"/>
            <w:vAlign w:val="center"/>
          </w:tcPr>
          <w:p w14:paraId="2C2B04FD" w14:textId="77777777" w:rsidR="0065540D" w:rsidRDefault="0065540D" w:rsidP="00FC10E0">
            <w:pPr>
              <w:pStyle w:val="T2"/>
              <w:spacing w:after="0"/>
              <w:ind w:left="0" w:right="0"/>
              <w:jc w:val="left"/>
              <w:rPr>
                <w:rFonts w:eastAsia="DengXian"/>
                <w:b w:val="0"/>
                <w:noProof/>
                <w:sz w:val="20"/>
                <w:lang w:eastAsia="zh-CN"/>
              </w:rPr>
            </w:pPr>
          </w:p>
        </w:tc>
        <w:tc>
          <w:tcPr>
            <w:tcW w:w="2832" w:type="dxa"/>
            <w:vAlign w:val="center"/>
          </w:tcPr>
          <w:p w14:paraId="096B2578" w14:textId="77777777" w:rsidR="0065540D" w:rsidRPr="000933C2" w:rsidRDefault="0065540D" w:rsidP="00FC10E0">
            <w:pPr>
              <w:pStyle w:val="T2"/>
              <w:spacing w:after="0"/>
              <w:ind w:left="0" w:right="0"/>
              <w:jc w:val="left"/>
              <w:rPr>
                <w:b w:val="0"/>
                <w:noProof/>
                <w:sz w:val="20"/>
              </w:rPr>
            </w:pPr>
          </w:p>
        </w:tc>
        <w:tc>
          <w:tcPr>
            <w:tcW w:w="1418" w:type="dxa"/>
            <w:vAlign w:val="center"/>
          </w:tcPr>
          <w:p w14:paraId="6E8931FA" w14:textId="77777777" w:rsidR="0065540D" w:rsidRPr="000933C2" w:rsidRDefault="0065540D" w:rsidP="00FC10E0">
            <w:pPr>
              <w:pStyle w:val="T2"/>
              <w:spacing w:after="0"/>
              <w:ind w:left="0" w:right="0"/>
              <w:jc w:val="left"/>
              <w:rPr>
                <w:b w:val="0"/>
                <w:noProof/>
                <w:sz w:val="20"/>
              </w:rPr>
            </w:pPr>
          </w:p>
        </w:tc>
        <w:tc>
          <w:tcPr>
            <w:tcW w:w="1926" w:type="dxa"/>
            <w:vAlign w:val="center"/>
          </w:tcPr>
          <w:p w14:paraId="204F254E" w14:textId="77777777" w:rsidR="0065540D" w:rsidRPr="000933C2" w:rsidRDefault="0065540D" w:rsidP="00FC10E0">
            <w:pPr>
              <w:pStyle w:val="T2"/>
              <w:spacing w:after="0"/>
              <w:ind w:left="0" w:right="0"/>
              <w:jc w:val="left"/>
              <w:rPr>
                <w:b w:val="0"/>
                <w:noProof/>
                <w:sz w:val="16"/>
              </w:rPr>
            </w:pPr>
          </w:p>
        </w:tc>
      </w:tr>
      <w:tr w:rsidR="0065540D" w:rsidRPr="000933C2" w14:paraId="522EDCAB" w14:textId="77777777" w:rsidTr="001B7DD6">
        <w:trPr>
          <w:trHeight w:val="385"/>
          <w:jc w:val="center"/>
        </w:trPr>
        <w:tc>
          <w:tcPr>
            <w:tcW w:w="1548" w:type="dxa"/>
            <w:vAlign w:val="center"/>
          </w:tcPr>
          <w:p w14:paraId="0E50468D" w14:textId="77777777" w:rsidR="0065540D" w:rsidRDefault="0065540D" w:rsidP="00FC10E0">
            <w:pPr>
              <w:pStyle w:val="T2"/>
              <w:spacing w:after="0"/>
              <w:ind w:left="0" w:right="0"/>
              <w:jc w:val="left"/>
              <w:rPr>
                <w:rFonts w:eastAsiaTheme="minorEastAsia"/>
                <w:b w:val="0"/>
                <w:noProof/>
                <w:sz w:val="20"/>
                <w:lang w:eastAsia="zh-CN"/>
              </w:rPr>
            </w:pPr>
          </w:p>
        </w:tc>
        <w:tc>
          <w:tcPr>
            <w:tcW w:w="1852" w:type="dxa"/>
            <w:vAlign w:val="center"/>
          </w:tcPr>
          <w:p w14:paraId="38AF49BE" w14:textId="77777777" w:rsidR="0065540D" w:rsidRDefault="0065540D" w:rsidP="00FC10E0">
            <w:pPr>
              <w:pStyle w:val="T2"/>
              <w:spacing w:after="0"/>
              <w:ind w:left="0" w:right="0"/>
              <w:jc w:val="left"/>
              <w:rPr>
                <w:rFonts w:eastAsia="DengXian"/>
                <w:b w:val="0"/>
                <w:noProof/>
                <w:sz w:val="20"/>
                <w:lang w:eastAsia="zh-CN"/>
              </w:rPr>
            </w:pPr>
          </w:p>
        </w:tc>
        <w:tc>
          <w:tcPr>
            <w:tcW w:w="2832" w:type="dxa"/>
            <w:vAlign w:val="center"/>
          </w:tcPr>
          <w:p w14:paraId="37ACD28B" w14:textId="77777777" w:rsidR="0065540D" w:rsidRPr="000933C2" w:rsidRDefault="0065540D" w:rsidP="00FC10E0">
            <w:pPr>
              <w:pStyle w:val="T2"/>
              <w:spacing w:after="0"/>
              <w:ind w:left="0" w:right="0"/>
              <w:jc w:val="left"/>
              <w:rPr>
                <w:b w:val="0"/>
                <w:noProof/>
                <w:sz w:val="20"/>
              </w:rPr>
            </w:pPr>
          </w:p>
        </w:tc>
        <w:tc>
          <w:tcPr>
            <w:tcW w:w="1418" w:type="dxa"/>
            <w:vAlign w:val="center"/>
          </w:tcPr>
          <w:p w14:paraId="7C15F423" w14:textId="77777777" w:rsidR="0065540D" w:rsidRPr="000933C2" w:rsidRDefault="0065540D" w:rsidP="00FC10E0">
            <w:pPr>
              <w:pStyle w:val="T2"/>
              <w:spacing w:after="0"/>
              <w:ind w:left="0" w:right="0"/>
              <w:jc w:val="left"/>
              <w:rPr>
                <w:b w:val="0"/>
                <w:noProof/>
                <w:sz w:val="20"/>
              </w:rPr>
            </w:pPr>
          </w:p>
        </w:tc>
        <w:tc>
          <w:tcPr>
            <w:tcW w:w="1926" w:type="dxa"/>
            <w:vAlign w:val="center"/>
          </w:tcPr>
          <w:p w14:paraId="7143D427" w14:textId="77777777" w:rsidR="0065540D" w:rsidRPr="000933C2" w:rsidRDefault="0065540D" w:rsidP="00FC10E0">
            <w:pPr>
              <w:pStyle w:val="T2"/>
              <w:spacing w:after="0"/>
              <w:ind w:left="0" w:right="0"/>
              <w:jc w:val="left"/>
              <w:rPr>
                <w:b w:val="0"/>
                <w:noProof/>
                <w:sz w:val="16"/>
              </w:rPr>
            </w:pPr>
          </w:p>
        </w:tc>
      </w:tr>
      <w:tr w:rsidR="0065540D" w:rsidRPr="000933C2" w14:paraId="3CB2FD80" w14:textId="77777777" w:rsidTr="001B7DD6">
        <w:trPr>
          <w:trHeight w:val="385"/>
          <w:jc w:val="center"/>
        </w:trPr>
        <w:tc>
          <w:tcPr>
            <w:tcW w:w="1548" w:type="dxa"/>
            <w:vAlign w:val="center"/>
          </w:tcPr>
          <w:p w14:paraId="0449FE72" w14:textId="77777777" w:rsidR="0065540D" w:rsidRDefault="0065540D" w:rsidP="00FC10E0">
            <w:pPr>
              <w:pStyle w:val="T2"/>
              <w:spacing w:after="0"/>
              <w:ind w:left="0" w:right="0"/>
              <w:jc w:val="left"/>
              <w:rPr>
                <w:rFonts w:eastAsiaTheme="minorEastAsia"/>
                <w:b w:val="0"/>
                <w:noProof/>
                <w:sz w:val="20"/>
                <w:lang w:eastAsia="zh-CN"/>
              </w:rPr>
            </w:pPr>
          </w:p>
        </w:tc>
        <w:tc>
          <w:tcPr>
            <w:tcW w:w="1852" w:type="dxa"/>
            <w:vAlign w:val="center"/>
          </w:tcPr>
          <w:p w14:paraId="25B30513" w14:textId="77777777" w:rsidR="0065540D" w:rsidRDefault="0065540D" w:rsidP="00FC10E0">
            <w:pPr>
              <w:pStyle w:val="T2"/>
              <w:spacing w:after="0"/>
              <w:ind w:left="0" w:right="0"/>
              <w:jc w:val="left"/>
              <w:rPr>
                <w:rFonts w:eastAsia="DengXian"/>
                <w:b w:val="0"/>
                <w:noProof/>
                <w:sz w:val="20"/>
                <w:lang w:eastAsia="zh-CN"/>
              </w:rPr>
            </w:pPr>
          </w:p>
        </w:tc>
        <w:tc>
          <w:tcPr>
            <w:tcW w:w="2832" w:type="dxa"/>
            <w:vAlign w:val="center"/>
          </w:tcPr>
          <w:p w14:paraId="5FD68371" w14:textId="77777777" w:rsidR="0065540D" w:rsidRPr="000933C2" w:rsidRDefault="0065540D" w:rsidP="00FC10E0">
            <w:pPr>
              <w:pStyle w:val="T2"/>
              <w:spacing w:after="0"/>
              <w:ind w:left="0" w:right="0"/>
              <w:jc w:val="left"/>
              <w:rPr>
                <w:b w:val="0"/>
                <w:noProof/>
                <w:sz w:val="20"/>
              </w:rPr>
            </w:pPr>
          </w:p>
        </w:tc>
        <w:tc>
          <w:tcPr>
            <w:tcW w:w="1418" w:type="dxa"/>
            <w:vAlign w:val="center"/>
          </w:tcPr>
          <w:p w14:paraId="437D6236" w14:textId="77777777" w:rsidR="0065540D" w:rsidRPr="000933C2" w:rsidRDefault="0065540D" w:rsidP="00FC10E0">
            <w:pPr>
              <w:pStyle w:val="T2"/>
              <w:spacing w:after="0"/>
              <w:ind w:left="0" w:right="0"/>
              <w:jc w:val="left"/>
              <w:rPr>
                <w:b w:val="0"/>
                <w:noProof/>
                <w:sz w:val="20"/>
              </w:rPr>
            </w:pPr>
          </w:p>
        </w:tc>
        <w:tc>
          <w:tcPr>
            <w:tcW w:w="1926" w:type="dxa"/>
            <w:vAlign w:val="center"/>
          </w:tcPr>
          <w:p w14:paraId="3C2D9B7E" w14:textId="77777777" w:rsidR="0065540D" w:rsidRPr="000933C2" w:rsidRDefault="0065540D" w:rsidP="00FC10E0">
            <w:pPr>
              <w:pStyle w:val="T2"/>
              <w:spacing w:after="0"/>
              <w:ind w:left="0" w:right="0"/>
              <w:jc w:val="left"/>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11EEE681" w:rsidR="000933C2" w:rsidRPr="00A80E9A" w:rsidRDefault="004F7BA6" w:rsidP="000933C2">
                            <w:pPr>
                              <w:rPr>
                                <w:rFonts w:eastAsia="DengXian"/>
                              </w:rPr>
                            </w:pPr>
                            <w:r>
                              <w:rPr>
                                <w:rFonts w:ascii="Times New Roman" w:hAnsi="Times New Roman" w:cs="Times New Roman"/>
                              </w:rPr>
                              <w:t xml:space="preserve">This document drafts a response to MIIT of China consultation on new UWB regulations, especially new spectrum </w:t>
                            </w:r>
                            <w:r w:rsidR="00FC10E0">
                              <w:rPr>
                                <w:rFonts w:ascii="Times New Roman" w:hAnsi="Times New Roman" w:cs="Times New Roman"/>
                              </w:rPr>
                              <w:t>limits. Consultation is introduced in contribution IEEE 15-23-0023-02-04ab (</w:t>
                            </w:r>
                            <w:hyperlink r:id="rId8" w:history="1">
                              <w:r w:rsidR="00FC10E0" w:rsidRPr="00FC10E0">
                                <w:rPr>
                                  <w:rStyle w:val="Hyperlink"/>
                                  <w:rFonts w:ascii="Times New Roman" w:hAnsi="Times New Roman" w:cs="Times New Roman"/>
                                </w:rPr>
                                <w:t>link</w:t>
                              </w:r>
                            </w:hyperlink>
                            <w:r w:rsidR="00FC10E0">
                              <w:rPr>
                                <w:rFonts w:ascii="Times New Roman" w:hAnsi="Times New Roman" w:cs="Times New Roman"/>
                              </w:rPr>
                              <w:t>). Responses are due at MIIT by February 6</w:t>
                            </w:r>
                            <w:r w:rsidR="00FC10E0" w:rsidRPr="00FC10E0">
                              <w:rPr>
                                <w:rFonts w:ascii="Times New Roman" w:hAnsi="Times New Roman" w:cs="Times New Roman"/>
                                <w:vertAlign w:val="superscript"/>
                              </w:rPr>
                              <w:t>th</w:t>
                            </w:r>
                            <w:proofErr w:type="gramStart"/>
                            <w:r w:rsidR="00FC10E0">
                              <w:rPr>
                                <w:rFonts w:ascii="Times New Roman" w:hAnsi="Times New Roman" w:cs="Times New Roman"/>
                              </w:rPr>
                              <w:t xml:space="preserve"> 2023</w:t>
                            </w:r>
                            <w:proofErr w:type="gramEnd"/>
                            <w:r w:rsidR="00FC10E0">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Y39AEAAMsDAAAOAAAAZHJzL2Uyb0RvYy54bWysU1Fv0zAQfkfiP1h+p0lLt5W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" stroked="f">
                <v:textbox>
                  <w:txbxContent>
                    <w:p w14:paraId="627B5D26" w14:textId="77777777" w:rsidR="000933C2" w:rsidRDefault="000933C2" w:rsidP="000933C2">
                      <w:pPr>
                        <w:pStyle w:val="T1"/>
                        <w:spacing w:after="120"/>
                      </w:pPr>
                      <w:r>
                        <w:t>Abstract</w:t>
                      </w:r>
                    </w:p>
                    <w:p w14:paraId="67E40F4A" w14:textId="11EEE681" w:rsidR="000933C2" w:rsidRPr="00A80E9A" w:rsidRDefault="004F7BA6" w:rsidP="000933C2">
                      <w:pPr>
                        <w:rPr>
                          <w:rFonts w:eastAsia="DengXian"/>
                        </w:rPr>
                      </w:pPr>
                      <w:r>
                        <w:rPr>
                          <w:rFonts w:ascii="Times New Roman" w:hAnsi="Times New Roman" w:cs="Times New Roman"/>
                        </w:rPr>
                        <w:t xml:space="preserve">This document drafts a response to MIIT of China consultation on new UWB regulations, especially new spectrum </w:t>
                      </w:r>
                      <w:r w:rsidR="00FC10E0">
                        <w:rPr>
                          <w:rFonts w:ascii="Times New Roman" w:hAnsi="Times New Roman" w:cs="Times New Roman"/>
                        </w:rPr>
                        <w:t>limits. Consultation is introduced in contribution IEEE 15-23-0023-02-04ab (</w:t>
                      </w:r>
                      <w:hyperlink r:id="rId9" w:history="1">
                        <w:r w:rsidR="00FC10E0" w:rsidRPr="00FC10E0">
                          <w:rPr>
                            <w:rStyle w:val="Hyperlink"/>
                            <w:rFonts w:ascii="Times New Roman" w:hAnsi="Times New Roman" w:cs="Times New Roman"/>
                          </w:rPr>
                          <w:t>link</w:t>
                        </w:r>
                      </w:hyperlink>
                      <w:r w:rsidR="00FC10E0">
                        <w:rPr>
                          <w:rFonts w:ascii="Times New Roman" w:hAnsi="Times New Roman" w:cs="Times New Roman"/>
                        </w:rPr>
                        <w:t>). Responses are due at MIIT by February 6</w:t>
                      </w:r>
                      <w:r w:rsidR="00FC10E0" w:rsidRPr="00FC10E0">
                        <w:rPr>
                          <w:rFonts w:ascii="Times New Roman" w:hAnsi="Times New Roman" w:cs="Times New Roman"/>
                          <w:vertAlign w:val="superscript"/>
                        </w:rPr>
                        <w:t>th</w:t>
                      </w:r>
                      <w:r w:rsidR="00FC10E0">
                        <w:rPr>
                          <w:rFonts w:ascii="Times New Roman" w:hAnsi="Times New Roman" w:cs="Times New Roman"/>
                        </w:rPr>
                        <w:t xml:space="preserve"> 2023. </w:t>
                      </w:r>
                    </w:p>
                  </w:txbxContent>
                </v:textbox>
              </v:shape>
            </w:pict>
          </mc:Fallback>
        </mc:AlternateContent>
      </w:r>
    </w:p>
    <w:p w14:paraId="11917F62" w14:textId="353B7661" w:rsidR="0065540D" w:rsidRPr="00DC0087" w:rsidRDefault="000933C2" w:rsidP="006C24DB">
      <w:pPr>
        <w:pStyle w:val="Heading2"/>
      </w:pPr>
      <w:r w:rsidRPr="000933C2">
        <w:rPr>
          <w:noProof/>
        </w:rPr>
        <w:br w:type="page"/>
      </w:r>
      <w:r w:rsidR="0065540D" w:rsidRPr="00DC0087">
        <w:lastRenderedPageBreak/>
        <w:t>Introduction</w:t>
      </w:r>
    </w:p>
    <w:p w14:paraId="453948DF" w14:textId="77777777" w:rsidR="0065540D" w:rsidRPr="00DC0087" w:rsidRDefault="0065540D" w:rsidP="0065540D">
      <w:pPr>
        <w:rPr>
          <w:rFonts w:ascii="Times New Roman" w:hAnsi="Times New Roman" w:cs="Times New Roman"/>
        </w:rPr>
      </w:pPr>
    </w:p>
    <w:p w14:paraId="15D08482" w14:textId="2F3EF8CE" w:rsidR="0065540D" w:rsidRDefault="0065540D" w:rsidP="0065540D">
      <w:pPr>
        <w:rPr>
          <w:rFonts w:ascii="Times New Roman" w:hAnsi="Times New Roman" w:cs="Times New Roman"/>
        </w:rPr>
      </w:pPr>
      <w:r w:rsidRPr="00DC0087">
        <w:rPr>
          <w:rFonts w:ascii="Times New Roman" w:hAnsi="Times New Roman" w:cs="Times New Roman"/>
        </w:rPr>
        <w:t>The IEEE Standards Association (IEEE-SA) Organizational Unit oversees the development of technical standards, some of which specify the key global technologies using license-exempt spectrum globally. The IEEE-SA technical standards volunteer participants are major contributors to the published standards incorporating industry leading wireless technologies. Participation in the development of IEEE standards is open to any interested party without restriction. IEEE-SA supports the position that spectrum allocation and management is needed for both licensed and license-exempt technologies to meet the explosive growth in the demand for wireless communication and sensing.</w:t>
      </w:r>
    </w:p>
    <w:p w14:paraId="1DDBD300" w14:textId="38DB8097" w:rsidR="006C24DB" w:rsidRDefault="006C24DB" w:rsidP="006C24DB">
      <w:pPr>
        <w:pStyle w:val="Heading2"/>
      </w:pPr>
      <w:r>
        <w:t>UWB</w:t>
      </w:r>
    </w:p>
    <w:p w14:paraId="57E100B0" w14:textId="77777777" w:rsidR="006C24DB" w:rsidRPr="006C24DB" w:rsidRDefault="006C24DB" w:rsidP="006C24DB"/>
    <w:p w14:paraId="7B7821A6" w14:textId="559FB614" w:rsidR="0065540D" w:rsidRPr="00DC0087" w:rsidRDefault="0065540D" w:rsidP="0065540D">
      <w:pPr>
        <w:rPr>
          <w:rFonts w:ascii="Times New Roman" w:hAnsi="Times New Roman" w:cs="Times New Roman"/>
        </w:rPr>
      </w:pPr>
      <w:r w:rsidRPr="00DC0087">
        <w:rPr>
          <w:rFonts w:ascii="Times New Roman" w:hAnsi="Times New Roman" w:cs="Times New Roman"/>
        </w:rPr>
        <w:t xml:space="preserve">IEEE802.15 has developed UWB standards, most recently amendment 4z to IEEE802.15.4. The capability of the latter to support secure ranging has led to a renewed interest in UWB from both industry and regulators. The automotive industry was the driving force behind 4z </w:t>
      </w:r>
      <w:proofErr w:type="gramStart"/>
      <w:r w:rsidRPr="00DC0087">
        <w:rPr>
          <w:rFonts w:ascii="Times New Roman" w:hAnsi="Times New Roman" w:cs="Times New Roman"/>
        </w:rPr>
        <w:t>and also</w:t>
      </w:r>
      <w:proofErr w:type="gramEnd"/>
      <w:r w:rsidRPr="00DC0087">
        <w:rPr>
          <w:rFonts w:ascii="Times New Roman" w:hAnsi="Times New Roman" w:cs="Times New Roman"/>
        </w:rPr>
        <w:t xml:space="preserve"> the first to include UWB in consumer products. Mobile handset makers have followed closely. This is generating significant economic and social value, attracting further interest which is demonstrated by the popularity of the 4ab group that is developing future UWB standards.</w:t>
      </w:r>
    </w:p>
    <w:p w14:paraId="6B18FA66" w14:textId="77777777" w:rsidR="0065540D" w:rsidRPr="00DC0087" w:rsidRDefault="0065540D" w:rsidP="0065540D">
      <w:pPr>
        <w:rPr>
          <w:rFonts w:ascii="Times New Roman" w:hAnsi="Times New Roman" w:cs="Times New Roman"/>
        </w:rPr>
      </w:pPr>
    </w:p>
    <w:p w14:paraId="4AAFE6DF" w14:textId="4B81A7D2" w:rsidR="0065540D" w:rsidRDefault="0065540D" w:rsidP="0065540D">
      <w:pPr>
        <w:rPr>
          <w:rFonts w:ascii="Times New Roman" w:hAnsi="Times New Roman" w:cs="Times New Roman"/>
        </w:rPr>
      </w:pPr>
      <w:r w:rsidRPr="00DC0087">
        <w:rPr>
          <w:rFonts w:ascii="Times New Roman" w:hAnsi="Times New Roman" w:cs="Times New Roman"/>
        </w:rPr>
        <w:t xml:space="preserve">The fact that UWB is now in consumer products has led many regulators to look at UWB again. Many countries that previously did not have UWB regulations are now introducing them, while other regulatory bodies such as CEPT have added capabilities in response to industry demand, </w:t>
      </w:r>
      <w:proofErr w:type="gramStart"/>
      <w:r w:rsidRPr="00DC0087">
        <w:rPr>
          <w:rFonts w:ascii="Times New Roman" w:hAnsi="Times New Roman" w:cs="Times New Roman"/>
        </w:rPr>
        <w:t>e.g.</w:t>
      </w:r>
      <w:proofErr w:type="gramEnd"/>
      <w:r w:rsidRPr="00DC0087">
        <w:rPr>
          <w:rFonts w:ascii="Times New Roman" w:hAnsi="Times New Roman" w:cs="Times New Roman"/>
        </w:rPr>
        <w:t xml:space="preserve"> by introducing fixed outdoor transmissions, which were forbidden in Europe, and 10 dB extra power indoors. Also in the US, FCC is willing to look at UWB regulations again.</w:t>
      </w:r>
    </w:p>
    <w:p w14:paraId="480FEF7E" w14:textId="77777777" w:rsidR="006C24DB" w:rsidRPr="00DC0087" w:rsidRDefault="006C24DB" w:rsidP="0065540D">
      <w:pPr>
        <w:rPr>
          <w:rFonts w:ascii="Times New Roman" w:hAnsi="Times New Roman" w:cs="Times New Roman"/>
        </w:rPr>
      </w:pPr>
    </w:p>
    <w:p w14:paraId="5938E5BB" w14:textId="384B12CA" w:rsidR="0065540D" w:rsidRPr="00DC0087" w:rsidRDefault="0065540D" w:rsidP="0065540D">
      <w:pPr>
        <w:rPr>
          <w:rFonts w:ascii="Times New Roman" w:hAnsi="Times New Roman" w:cs="Times New Roman"/>
        </w:rPr>
      </w:pPr>
      <w:r w:rsidRPr="00DC0087">
        <w:rPr>
          <w:rFonts w:ascii="Times New Roman" w:hAnsi="Times New Roman" w:cs="Times New Roman"/>
        </w:rPr>
        <w:t>It therefore makes sense for China to also review its UWB regulations. However, the changes China is introducing are going in opposite direction from rest of the world by reducing the amount of spectrum available to UWB. There have not been any reports of low power UWB systems causing interference to other systems anywhere in the world, so this restriction does not seem necessary to protect other spectrum users.</w:t>
      </w:r>
    </w:p>
    <w:p w14:paraId="331CB36A" w14:textId="77777777" w:rsidR="0065540D" w:rsidRPr="00DC0087" w:rsidRDefault="0065540D" w:rsidP="0065540D">
      <w:pPr>
        <w:rPr>
          <w:rFonts w:ascii="Times New Roman" w:hAnsi="Times New Roman" w:cs="Times New Roman"/>
        </w:rPr>
      </w:pPr>
    </w:p>
    <w:p w14:paraId="76D22646" w14:textId="26638433" w:rsidR="0065540D" w:rsidRDefault="0065540D" w:rsidP="0065540D">
      <w:pPr>
        <w:rPr>
          <w:rFonts w:ascii="Times New Roman" w:hAnsi="Times New Roman" w:cs="Times New Roman"/>
        </w:rPr>
      </w:pPr>
      <w:r w:rsidRPr="00DC0087">
        <w:rPr>
          <w:rFonts w:ascii="Times New Roman" w:hAnsi="Times New Roman" w:cs="Times New Roman"/>
        </w:rPr>
        <w:t>Throughout the world, license free spectrum allocation between 6 and 7 GHz has provided significant value. Both UWB and RLAN based on 802 wireless standards are examples of such applications. Restricting UWB to frequencies above 7125 MHz will prohibit access to two very popular IEEE HRP UWB PHY channels, channels 5 and 6. IEEE would therefore like China to consider keeping the existing 6-9 GHz allocation.</w:t>
      </w:r>
    </w:p>
    <w:p w14:paraId="52D360AF" w14:textId="5FB2350F" w:rsidR="006C24DB" w:rsidRPr="00DC0087" w:rsidRDefault="006C24DB" w:rsidP="006C24DB">
      <w:pPr>
        <w:pStyle w:val="Heading2"/>
      </w:pPr>
      <w:r>
        <w:t>Detailed comments on proposed changes</w:t>
      </w:r>
    </w:p>
    <w:p w14:paraId="7713487B" w14:textId="3170362F" w:rsidR="0065540D" w:rsidRPr="00DC0087" w:rsidRDefault="0065540D" w:rsidP="0065540D">
      <w:pPr>
        <w:rPr>
          <w:rFonts w:ascii="Times New Roman" w:hAnsi="Times New Roman" w:cs="Times New Roman"/>
        </w:rPr>
      </w:pPr>
      <w:r w:rsidRPr="00DC0087">
        <w:rPr>
          <w:rFonts w:ascii="Times New Roman" w:hAnsi="Times New Roman" w:cs="Times New Roman"/>
        </w:rPr>
        <w:t xml:space="preserve">We notice that the proposed changes do not align well with the transmit spectral masks in IEEE </w:t>
      </w:r>
      <w:r w:rsidR="006C24DB">
        <w:rPr>
          <w:rFonts w:ascii="Times New Roman" w:hAnsi="Times New Roman" w:cs="Times New Roman"/>
        </w:rPr>
        <w:t xml:space="preserve">802.15.4 </w:t>
      </w:r>
      <w:r w:rsidRPr="00DC0087">
        <w:rPr>
          <w:rFonts w:ascii="Times New Roman" w:hAnsi="Times New Roman" w:cs="Times New Roman"/>
        </w:rPr>
        <w:t xml:space="preserve">UWB standard. The proposed band cut-off frequencies come close to those required for IEEE HRP UWB PHY channels 8, 9 and 10, but extra spectrum is required to </w:t>
      </w:r>
      <w:proofErr w:type="gramStart"/>
      <w:r w:rsidRPr="00DC0087">
        <w:rPr>
          <w:rFonts w:ascii="Times New Roman" w:hAnsi="Times New Roman" w:cs="Times New Roman"/>
        </w:rPr>
        <w:t>take into account</w:t>
      </w:r>
      <w:proofErr w:type="gramEnd"/>
      <w:r w:rsidRPr="00DC0087">
        <w:rPr>
          <w:rFonts w:ascii="Times New Roman" w:hAnsi="Times New Roman" w:cs="Times New Roman"/>
        </w:rPr>
        <w:t xml:space="preserve"> the roll-off for 500 MHz wide transmissions. Section 15.4.5 of 802.15.4-2020 specifies </w:t>
      </w:r>
      <w:proofErr w:type="gramStart"/>
      <w:r w:rsidRPr="00DC0087">
        <w:rPr>
          <w:rFonts w:ascii="Times New Roman" w:hAnsi="Times New Roman" w:cs="Times New Roman"/>
        </w:rPr>
        <w:t>that</w:t>
      </w:r>
      <w:proofErr w:type="gramEnd"/>
    </w:p>
    <w:p w14:paraId="39D09D08" w14:textId="2076AD5E" w:rsidR="0065540D" w:rsidRPr="00DC0087" w:rsidRDefault="0065540D" w:rsidP="0065540D">
      <w:pPr>
        <w:ind w:left="720"/>
        <w:rPr>
          <w:rFonts w:ascii="Times New Roman" w:hAnsi="Times New Roman" w:cs="Times New Roman"/>
          <w:i/>
          <w:iCs/>
        </w:rPr>
      </w:pPr>
      <w:r w:rsidRPr="00DC0087">
        <w:rPr>
          <w:rFonts w:ascii="Times New Roman" w:hAnsi="Times New Roman" w:cs="Times New Roman"/>
          <w:i/>
          <w:iCs/>
        </w:rPr>
        <w:lastRenderedPageBreak/>
        <w:t>The transmitted spectrum shall be less than –10 dB relative to the maximum spectral density of the signal for 0.65/T</w:t>
      </w:r>
      <w:r w:rsidRPr="00DC0087">
        <w:rPr>
          <w:rFonts w:ascii="Times New Roman" w:hAnsi="Times New Roman" w:cs="Times New Roman"/>
          <w:i/>
          <w:iCs/>
          <w:vertAlign w:val="subscript"/>
        </w:rPr>
        <w:t>p</w:t>
      </w:r>
      <w:r w:rsidRPr="00DC0087">
        <w:rPr>
          <w:rFonts w:ascii="Times New Roman" w:hAnsi="Times New Roman" w:cs="Times New Roman"/>
          <w:i/>
          <w:iCs/>
        </w:rPr>
        <w:t xml:space="preserve"> &lt; |f – f</w:t>
      </w:r>
      <w:r w:rsidRPr="00DC0087">
        <w:rPr>
          <w:rFonts w:ascii="Times New Roman" w:hAnsi="Times New Roman" w:cs="Times New Roman"/>
          <w:i/>
          <w:iCs/>
          <w:vertAlign w:val="subscript"/>
        </w:rPr>
        <w:t>c</w:t>
      </w:r>
      <w:r w:rsidRPr="00DC0087">
        <w:rPr>
          <w:rFonts w:ascii="Times New Roman" w:hAnsi="Times New Roman" w:cs="Times New Roman"/>
          <w:i/>
          <w:iCs/>
        </w:rPr>
        <w:t>| &lt; 0.8/T</w:t>
      </w:r>
      <w:r w:rsidRPr="00DC0087">
        <w:rPr>
          <w:rFonts w:ascii="Times New Roman" w:hAnsi="Times New Roman" w:cs="Times New Roman"/>
          <w:i/>
          <w:iCs/>
          <w:vertAlign w:val="subscript"/>
        </w:rPr>
        <w:t>p</w:t>
      </w:r>
      <w:r w:rsidRPr="00DC0087">
        <w:rPr>
          <w:rFonts w:ascii="Times New Roman" w:hAnsi="Times New Roman" w:cs="Times New Roman"/>
          <w:i/>
          <w:iCs/>
        </w:rPr>
        <w:t xml:space="preserve"> and –18 dB for |f – f</w:t>
      </w:r>
      <w:r w:rsidRPr="00DC0087">
        <w:rPr>
          <w:rFonts w:ascii="Times New Roman" w:hAnsi="Times New Roman" w:cs="Times New Roman"/>
          <w:i/>
          <w:iCs/>
          <w:vertAlign w:val="subscript"/>
        </w:rPr>
        <w:t>c</w:t>
      </w:r>
      <w:r w:rsidRPr="00DC0087">
        <w:rPr>
          <w:rFonts w:ascii="Times New Roman" w:hAnsi="Times New Roman" w:cs="Times New Roman"/>
          <w:i/>
          <w:iCs/>
        </w:rPr>
        <w:t>| &gt; 0.8/T</w:t>
      </w:r>
      <w:r w:rsidRPr="00DC0087">
        <w:rPr>
          <w:rFonts w:ascii="Times New Roman" w:hAnsi="Times New Roman" w:cs="Times New Roman"/>
          <w:i/>
          <w:iCs/>
          <w:vertAlign w:val="subscript"/>
        </w:rPr>
        <w:t>p</w:t>
      </w:r>
      <w:r w:rsidRPr="00DC0087">
        <w:rPr>
          <w:rFonts w:ascii="Times New Roman" w:hAnsi="Times New Roman" w:cs="Times New Roman"/>
          <w:i/>
          <w:iCs/>
        </w:rPr>
        <w:t xml:space="preserve">. </w:t>
      </w:r>
    </w:p>
    <w:p w14:paraId="03E5AF4B" w14:textId="77777777" w:rsidR="0065540D" w:rsidRPr="00DC0087" w:rsidRDefault="0065540D" w:rsidP="0065540D">
      <w:pPr>
        <w:ind w:left="720"/>
        <w:rPr>
          <w:rFonts w:ascii="Times New Roman" w:hAnsi="Times New Roman" w:cs="Times New Roman"/>
        </w:rPr>
      </w:pPr>
    </w:p>
    <w:p w14:paraId="1325099C" w14:textId="785A91ED" w:rsidR="0065540D" w:rsidRPr="00DC0087" w:rsidRDefault="0065540D" w:rsidP="0065540D">
      <w:pPr>
        <w:rPr>
          <w:rFonts w:ascii="Times New Roman" w:hAnsi="Times New Roman" w:cs="Times New Roman"/>
        </w:rPr>
      </w:pPr>
      <w:r w:rsidRPr="00DC0087">
        <w:rPr>
          <w:rFonts w:ascii="Times New Roman" w:hAnsi="Times New Roman" w:cs="Times New Roman"/>
        </w:rPr>
        <w:t>For IEEE HRP UWB PHY channels 8, 9 and 10, T</w:t>
      </w:r>
      <w:r w:rsidRPr="00DC0087">
        <w:rPr>
          <w:rFonts w:ascii="Times New Roman" w:hAnsi="Times New Roman" w:cs="Times New Roman"/>
          <w:vertAlign w:val="subscript"/>
        </w:rPr>
        <w:t>p</w:t>
      </w:r>
      <w:r w:rsidRPr="00DC0087">
        <w:rPr>
          <w:rFonts w:ascii="Times New Roman" w:hAnsi="Times New Roman" w:cs="Times New Roman"/>
        </w:rPr>
        <w:t xml:space="preserve"> equal 1/499.2 MHz. The cent</w:t>
      </w:r>
      <w:r w:rsidR="009704EB" w:rsidRPr="00DC0087">
        <w:rPr>
          <w:rFonts w:ascii="Times New Roman" w:hAnsi="Times New Roman" w:cs="Times New Roman"/>
        </w:rPr>
        <w:t>er</w:t>
      </w:r>
      <w:r w:rsidRPr="00DC0087">
        <w:rPr>
          <w:rFonts w:ascii="Times New Roman" w:hAnsi="Times New Roman" w:cs="Times New Roman"/>
        </w:rPr>
        <w:t xml:space="preserve"> frequencies are defined in the standard as Table 1</w:t>
      </w:r>
    </w:p>
    <w:p w14:paraId="300D4406" w14:textId="7B00AC48" w:rsidR="0065540D" w:rsidRPr="00DC0087" w:rsidRDefault="0065540D" w:rsidP="0065540D">
      <w:pPr>
        <w:rPr>
          <w:rFonts w:ascii="Times New Roman" w:hAnsi="Times New Roman" w:cs="Times New Roman"/>
        </w:rPr>
      </w:pPr>
    </w:p>
    <w:p w14:paraId="63DE3679" w14:textId="5FDC8908" w:rsidR="0065540D" w:rsidRPr="00DC0087" w:rsidRDefault="0065540D" w:rsidP="0065540D">
      <w:pPr>
        <w:rPr>
          <w:rFonts w:ascii="Times New Roman" w:hAnsi="Times New Roman" w:cs="Times New Roman"/>
        </w:rPr>
      </w:pPr>
      <w:r w:rsidRPr="00DC0087">
        <w:rPr>
          <w:rFonts w:ascii="Times New Roman" w:hAnsi="Times New Roman" w:cs="Times New Roman"/>
        </w:rPr>
        <w:t xml:space="preserve">Table 1: </w:t>
      </w:r>
      <w:r w:rsidR="009704EB" w:rsidRPr="00DC0087">
        <w:rPr>
          <w:rFonts w:ascii="Times New Roman" w:hAnsi="Times New Roman" w:cs="Times New Roman"/>
        </w:rPr>
        <w:t>IEEE802.15.4 subchapter 15 UWB power spectral density limits</w:t>
      </w:r>
    </w:p>
    <w:tbl>
      <w:tblPr>
        <w:tblStyle w:val="TableGrid"/>
        <w:tblW w:w="0" w:type="auto"/>
        <w:tblLook w:val="04A0" w:firstRow="1" w:lastRow="0" w:firstColumn="1" w:lastColumn="0" w:noHBand="0" w:noVBand="1"/>
      </w:tblPr>
      <w:tblGrid>
        <w:gridCol w:w="947"/>
        <w:gridCol w:w="1395"/>
        <w:gridCol w:w="1394"/>
        <w:gridCol w:w="1569"/>
        <w:gridCol w:w="1231"/>
        <w:gridCol w:w="1400"/>
      </w:tblGrid>
      <w:tr w:rsidR="0065540D" w:rsidRPr="00DC0087" w14:paraId="492763B3" w14:textId="77777777" w:rsidTr="009704EB">
        <w:tc>
          <w:tcPr>
            <w:tcW w:w="947" w:type="dxa"/>
          </w:tcPr>
          <w:p w14:paraId="0EEE6703" w14:textId="77777777"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Channel</w:t>
            </w:r>
          </w:p>
        </w:tc>
        <w:tc>
          <w:tcPr>
            <w:tcW w:w="1395" w:type="dxa"/>
          </w:tcPr>
          <w:p w14:paraId="6AF2A08D" w14:textId="56147089"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Lower </w:t>
            </w:r>
            <w:r w:rsidRPr="00DC0087">
              <w:rPr>
                <w:rFonts w:ascii="Times New Roman" w:hAnsi="Times New Roman" w:cs="Times New Roman"/>
                <w:sz w:val="18"/>
                <w:szCs w:val="18"/>
              </w:rPr>
              <w:noBreakHyphen/>
              <w:t xml:space="preserve">18 dB </w:t>
            </w:r>
            <w:proofErr w:type="gramStart"/>
            <w:r w:rsidRPr="00DC0087">
              <w:rPr>
                <w:rFonts w:ascii="Times New Roman" w:hAnsi="Times New Roman" w:cs="Times New Roman"/>
                <w:sz w:val="18"/>
                <w:szCs w:val="18"/>
              </w:rPr>
              <w:t>point[</w:t>
            </w:r>
            <w:proofErr w:type="gramEnd"/>
            <w:r w:rsidRPr="00DC0087">
              <w:rPr>
                <w:rFonts w:ascii="Times New Roman" w:hAnsi="Times New Roman" w:cs="Times New Roman"/>
                <w:sz w:val="18"/>
                <w:szCs w:val="18"/>
              </w:rPr>
              <w:t>MHz]</w:t>
            </w:r>
          </w:p>
        </w:tc>
        <w:tc>
          <w:tcPr>
            <w:tcW w:w="1394" w:type="dxa"/>
          </w:tcPr>
          <w:p w14:paraId="79061F7B" w14:textId="45C94979"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Lower </w:t>
            </w:r>
            <w:r w:rsidRPr="00DC0087">
              <w:rPr>
                <w:rFonts w:ascii="Times New Roman" w:hAnsi="Times New Roman" w:cs="Times New Roman"/>
                <w:sz w:val="18"/>
                <w:szCs w:val="18"/>
              </w:rPr>
              <w:noBreakHyphen/>
              <w:t>10 dB point [MHz]</w:t>
            </w:r>
          </w:p>
        </w:tc>
        <w:tc>
          <w:tcPr>
            <w:tcW w:w="1569" w:type="dxa"/>
          </w:tcPr>
          <w:p w14:paraId="7AF29F00" w14:textId="3B028162"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lang w:val="en-US"/>
              </w:rPr>
              <w:t>Center</w:t>
            </w:r>
            <w:r w:rsidRPr="00DC0087">
              <w:rPr>
                <w:rFonts w:ascii="Times New Roman" w:hAnsi="Times New Roman" w:cs="Times New Roman"/>
                <w:sz w:val="18"/>
                <w:szCs w:val="18"/>
              </w:rPr>
              <w:t xml:space="preserve"> </w:t>
            </w:r>
            <w:r w:rsidR="009704EB" w:rsidRPr="00DC0087">
              <w:rPr>
                <w:rFonts w:ascii="Times New Roman" w:hAnsi="Times New Roman" w:cs="Times New Roman"/>
                <w:sz w:val="18"/>
                <w:szCs w:val="18"/>
              </w:rPr>
              <w:t>f</w:t>
            </w:r>
            <w:r w:rsidRPr="00DC0087">
              <w:rPr>
                <w:rFonts w:ascii="Times New Roman" w:hAnsi="Times New Roman" w:cs="Times New Roman"/>
                <w:sz w:val="18"/>
                <w:szCs w:val="18"/>
              </w:rPr>
              <w:t>requency</w:t>
            </w:r>
            <w:r w:rsidR="009704EB" w:rsidRPr="00DC0087">
              <w:rPr>
                <w:rFonts w:ascii="Times New Roman" w:hAnsi="Times New Roman" w:cs="Times New Roman"/>
                <w:sz w:val="18"/>
                <w:szCs w:val="18"/>
              </w:rPr>
              <w:t xml:space="preserve"> [</w:t>
            </w:r>
            <w:r w:rsidRPr="00DC0087">
              <w:rPr>
                <w:rFonts w:ascii="Times New Roman" w:hAnsi="Times New Roman" w:cs="Times New Roman"/>
                <w:sz w:val="18"/>
                <w:szCs w:val="18"/>
              </w:rPr>
              <w:t>MHz]</w:t>
            </w:r>
          </w:p>
        </w:tc>
        <w:tc>
          <w:tcPr>
            <w:tcW w:w="1231" w:type="dxa"/>
          </w:tcPr>
          <w:p w14:paraId="48CAC3CD" w14:textId="0F28E990"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Upper </w:t>
            </w:r>
            <w:r w:rsidRPr="00DC0087">
              <w:rPr>
                <w:rFonts w:ascii="Times New Roman" w:hAnsi="Times New Roman" w:cs="Times New Roman"/>
                <w:sz w:val="18"/>
                <w:szCs w:val="18"/>
              </w:rPr>
              <w:noBreakHyphen/>
              <w:t>10 dB point</w:t>
            </w:r>
            <w:r w:rsidR="009704EB" w:rsidRPr="00DC0087">
              <w:rPr>
                <w:rFonts w:ascii="Times New Roman" w:hAnsi="Times New Roman" w:cs="Times New Roman"/>
                <w:sz w:val="18"/>
                <w:szCs w:val="18"/>
              </w:rPr>
              <w:t xml:space="preserve"> </w:t>
            </w:r>
            <w:r w:rsidRPr="00DC0087">
              <w:rPr>
                <w:rFonts w:ascii="Times New Roman" w:hAnsi="Times New Roman" w:cs="Times New Roman"/>
                <w:sz w:val="18"/>
                <w:szCs w:val="18"/>
              </w:rPr>
              <w:t>[MHz]</w:t>
            </w:r>
          </w:p>
        </w:tc>
        <w:tc>
          <w:tcPr>
            <w:tcW w:w="1400" w:type="dxa"/>
          </w:tcPr>
          <w:p w14:paraId="25C6729B" w14:textId="01EA94ED"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Upper </w:t>
            </w:r>
            <w:r w:rsidRPr="00DC0087">
              <w:rPr>
                <w:rFonts w:ascii="Times New Roman" w:hAnsi="Times New Roman" w:cs="Times New Roman"/>
                <w:sz w:val="18"/>
                <w:szCs w:val="18"/>
              </w:rPr>
              <w:noBreakHyphen/>
              <w:t>18 dB point</w:t>
            </w:r>
            <w:r w:rsidR="009704EB" w:rsidRPr="00DC0087">
              <w:rPr>
                <w:rFonts w:ascii="Times New Roman" w:hAnsi="Times New Roman" w:cs="Times New Roman"/>
                <w:sz w:val="18"/>
                <w:szCs w:val="18"/>
              </w:rPr>
              <w:t xml:space="preserve"> </w:t>
            </w:r>
            <w:r w:rsidRPr="00DC0087">
              <w:rPr>
                <w:rFonts w:ascii="Times New Roman" w:hAnsi="Times New Roman" w:cs="Times New Roman"/>
                <w:sz w:val="18"/>
                <w:szCs w:val="18"/>
              </w:rPr>
              <w:t>[MHz]</w:t>
            </w:r>
          </w:p>
        </w:tc>
      </w:tr>
      <w:tr w:rsidR="0065540D" w:rsidRPr="00DC0087" w14:paraId="327DDA2C" w14:textId="77777777" w:rsidTr="009704EB">
        <w:tc>
          <w:tcPr>
            <w:tcW w:w="947" w:type="dxa"/>
          </w:tcPr>
          <w:p w14:paraId="07289722"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w:t>
            </w:r>
          </w:p>
        </w:tc>
        <w:tc>
          <w:tcPr>
            <w:tcW w:w="1395" w:type="dxa"/>
          </w:tcPr>
          <w:p w14:paraId="3B3AA34E" w14:textId="692E1FD8"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7088.64 </w:t>
            </w:r>
          </w:p>
        </w:tc>
        <w:tc>
          <w:tcPr>
            <w:tcW w:w="1394" w:type="dxa"/>
          </w:tcPr>
          <w:p w14:paraId="5397CAC4" w14:textId="298886C6"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7163.52 </w:t>
            </w:r>
          </w:p>
        </w:tc>
        <w:tc>
          <w:tcPr>
            <w:tcW w:w="1569" w:type="dxa"/>
          </w:tcPr>
          <w:p w14:paraId="014A9C78" w14:textId="75A72395"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7448.0 </w:t>
            </w:r>
          </w:p>
        </w:tc>
        <w:tc>
          <w:tcPr>
            <w:tcW w:w="1231" w:type="dxa"/>
          </w:tcPr>
          <w:p w14:paraId="26616436"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7812.48</w:t>
            </w:r>
          </w:p>
        </w:tc>
        <w:tc>
          <w:tcPr>
            <w:tcW w:w="1400" w:type="dxa"/>
          </w:tcPr>
          <w:p w14:paraId="014E4370"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7887.36</w:t>
            </w:r>
          </w:p>
        </w:tc>
      </w:tr>
      <w:tr w:rsidR="0065540D" w:rsidRPr="00DC0087" w14:paraId="34FA1C2C" w14:textId="77777777" w:rsidTr="009704EB">
        <w:tc>
          <w:tcPr>
            <w:tcW w:w="947" w:type="dxa"/>
          </w:tcPr>
          <w:p w14:paraId="212787D7"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9</w:t>
            </w:r>
          </w:p>
        </w:tc>
        <w:tc>
          <w:tcPr>
            <w:tcW w:w="1395" w:type="dxa"/>
          </w:tcPr>
          <w:p w14:paraId="04931322"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7587.84</w:t>
            </w:r>
          </w:p>
        </w:tc>
        <w:tc>
          <w:tcPr>
            <w:tcW w:w="1394" w:type="dxa"/>
          </w:tcPr>
          <w:p w14:paraId="1951B288"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7662.72</w:t>
            </w:r>
          </w:p>
        </w:tc>
        <w:tc>
          <w:tcPr>
            <w:tcW w:w="1569" w:type="dxa"/>
          </w:tcPr>
          <w:p w14:paraId="6E3AC134"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7987.2</w:t>
            </w:r>
          </w:p>
        </w:tc>
        <w:tc>
          <w:tcPr>
            <w:tcW w:w="1231" w:type="dxa"/>
          </w:tcPr>
          <w:p w14:paraId="5F12D1C3"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8311.68</w:t>
            </w:r>
          </w:p>
        </w:tc>
        <w:tc>
          <w:tcPr>
            <w:tcW w:w="1400" w:type="dxa"/>
          </w:tcPr>
          <w:p w14:paraId="70061901"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8386.56</w:t>
            </w:r>
          </w:p>
        </w:tc>
      </w:tr>
      <w:tr w:rsidR="0065540D" w:rsidRPr="00DC0087" w14:paraId="223EC777" w14:textId="77777777" w:rsidTr="009704EB">
        <w:tc>
          <w:tcPr>
            <w:tcW w:w="947" w:type="dxa"/>
          </w:tcPr>
          <w:p w14:paraId="7A179188"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10</w:t>
            </w:r>
          </w:p>
        </w:tc>
        <w:tc>
          <w:tcPr>
            <w:tcW w:w="1395" w:type="dxa"/>
          </w:tcPr>
          <w:p w14:paraId="75370E88"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8087.04</w:t>
            </w:r>
          </w:p>
        </w:tc>
        <w:tc>
          <w:tcPr>
            <w:tcW w:w="1394" w:type="dxa"/>
          </w:tcPr>
          <w:p w14:paraId="5C35689F"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8161.92</w:t>
            </w:r>
          </w:p>
        </w:tc>
        <w:tc>
          <w:tcPr>
            <w:tcW w:w="1569" w:type="dxa"/>
          </w:tcPr>
          <w:p w14:paraId="07FB874A" w14:textId="280CFA2D"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8486.4 </w:t>
            </w:r>
          </w:p>
        </w:tc>
        <w:tc>
          <w:tcPr>
            <w:tcW w:w="1231" w:type="dxa"/>
          </w:tcPr>
          <w:p w14:paraId="5781C818" w14:textId="14E64B52"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8810.88 </w:t>
            </w:r>
          </w:p>
        </w:tc>
        <w:tc>
          <w:tcPr>
            <w:tcW w:w="1400" w:type="dxa"/>
          </w:tcPr>
          <w:p w14:paraId="28E632FC" w14:textId="61E43A64"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8885.76 </w:t>
            </w:r>
          </w:p>
        </w:tc>
      </w:tr>
    </w:tbl>
    <w:p w14:paraId="5D76D282" w14:textId="77777777" w:rsidR="0065540D" w:rsidRPr="00DC0087" w:rsidRDefault="0065540D" w:rsidP="0065540D">
      <w:pPr>
        <w:rPr>
          <w:rFonts w:ascii="Times New Roman" w:hAnsi="Times New Roman" w:cs="Times New Roman"/>
        </w:rPr>
      </w:pPr>
    </w:p>
    <w:p w14:paraId="1444C669" w14:textId="287BA890" w:rsidR="009704EB" w:rsidRPr="00DC0087" w:rsidRDefault="009704EB" w:rsidP="0065540D">
      <w:pPr>
        <w:rPr>
          <w:rFonts w:ascii="Times New Roman" w:hAnsi="Times New Roman" w:cs="Times New Roman"/>
        </w:rPr>
      </w:pPr>
      <w:r w:rsidRPr="00DC0087">
        <w:rPr>
          <w:rFonts w:ascii="Times New Roman" w:hAnsi="Times New Roman" w:cs="Times New Roman"/>
        </w:rPr>
        <w:t>Figure one below shows the power</w:t>
      </w:r>
      <w:r w:rsidR="00BB73D4" w:rsidRPr="00DC0087">
        <w:rPr>
          <w:rFonts w:ascii="Times New Roman" w:hAnsi="Times New Roman" w:cs="Times New Roman"/>
        </w:rPr>
        <w:t xml:space="preserve"> spectral</w:t>
      </w:r>
      <w:r w:rsidRPr="00DC0087">
        <w:rPr>
          <w:rFonts w:ascii="Times New Roman" w:hAnsi="Times New Roman" w:cs="Times New Roman"/>
        </w:rPr>
        <w:t xml:space="preserve"> density</w:t>
      </w:r>
      <w:r w:rsidR="00BB73D4" w:rsidRPr="00DC0087">
        <w:rPr>
          <w:rFonts w:ascii="Times New Roman" w:hAnsi="Times New Roman" w:cs="Times New Roman"/>
        </w:rPr>
        <w:t xml:space="preserve"> (PSD)</w:t>
      </w:r>
      <w:r w:rsidRPr="00DC0087">
        <w:rPr>
          <w:rFonts w:ascii="Times New Roman" w:hAnsi="Times New Roman" w:cs="Times New Roman"/>
        </w:rPr>
        <w:t xml:space="preserve"> ma</w:t>
      </w:r>
      <w:r w:rsidR="00BB73D4" w:rsidRPr="00DC0087">
        <w:rPr>
          <w:rFonts w:ascii="Times New Roman" w:hAnsi="Times New Roman" w:cs="Times New Roman"/>
        </w:rPr>
        <w:t>sks for IEEE 802.15.4 UWB channels 8 and 10</w:t>
      </w:r>
      <w:r w:rsidR="00F0131A">
        <w:rPr>
          <w:rFonts w:ascii="Times New Roman" w:hAnsi="Times New Roman" w:cs="Times New Roman"/>
        </w:rPr>
        <w:t xml:space="preserve"> vs the proposed China requirements</w:t>
      </w:r>
      <w:r w:rsidR="00BB73D4" w:rsidRPr="00DC0087">
        <w:rPr>
          <w:rFonts w:ascii="Times New Roman" w:hAnsi="Times New Roman" w:cs="Times New Roman"/>
        </w:rPr>
        <w:t xml:space="preserve">,  </w:t>
      </w:r>
    </w:p>
    <w:p w14:paraId="1679B5F0" w14:textId="30D4C8E6" w:rsidR="009704EB" w:rsidRPr="00DC0087" w:rsidRDefault="00392ADA" w:rsidP="0065540D">
      <w:pPr>
        <w:rPr>
          <w:rFonts w:ascii="Times New Roman" w:hAnsi="Times New Roman" w:cs="Times New Roman"/>
        </w:rPr>
      </w:pPr>
      <w:r w:rsidRPr="00392ADA">
        <w:rPr>
          <w:rFonts w:ascii="Times New Roman" w:hAnsi="Times New Roman" w:cs="Times New Roman"/>
          <w:noProof/>
        </w:rPr>
        <w:drawing>
          <wp:inline distT="0" distB="0" distL="0" distR="0" wp14:anchorId="529DF839" wp14:editId="2E54D1DC">
            <wp:extent cx="5274310" cy="3642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42360"/>
                    </a:xfrm>
                    <a:prstGeom prst="rect">
                      <a:avLst/>
                    </a:prstGeom>
                    <a:noFill/>
                    <a:ln>
                      <a:noFill/>
                    </a:ln>
                  </pic:spPr>
                </pic:pic>
              </a:graphicData>
            </a:graphic>
          </wp:inline>
        </w:drawing>
      </w:r>
      <w:r w:rsidRPr="00392ADA">
        <w:rPr>
          <w:rFonts w:ascii="Times New Roman" w:hAnsi="Times New Roman" w:cs="Times New Roman"/>
          <w:noProof/>
        </w:rPr>
        <w:t xml:space="preserve"> </w:t>
      </w:r>
    </w:p>
    <w:p w14:paraId="48B58CD2" w14:textId="48F6A3A2" w:rsidR="00BB73D4" w:rsidRPr="00DC0087" w:rsidRDefault="00BB73D4" w:rsidP="0065540D">
      <w:pPr>
        <w:rPr>
          <w:rFonts w:ascii="Times New Roman" w:hAnsi="Times New Roman" w:cs="Times New Roman"/>
        </w:rPr>
      </w:pPr>
      <w:r w:rsidRPr="00DC0087">
        <w:rPr>
          <w:rFonts w:ascii="Times New Roman" w:hAnsi="Times New Roman" w:cs="Times New Roman"/>
        </w:rPr>
        <w:t>Figure 1; UWB PSD masks for channels 8 and 10 compared to the proposed requirements.</w:t>
      </w:r>
    </w:p>
    <w:p w14:paraId="41821BF2" w14:textId="77777777" w:rsidR="009704EB" w:rsidRPr="00DC0087" w:rsidRDefault="009704EB" w:rsidP="0065540D">
      <w:pPr>
        <w:rPr>
          <w:rFonts w:ascii="Times New Roman" w:hAnsi="Times New Roman" w:cs="Times New Roman"/>
        </w:rPr>
      </w:pPr>
    </w:p>
    <w:p w14:paraId="68263CA1" w14:textId="624EC25B" w:rsidR="009704EB" w:rsidRDefault="00F0131A" w:rsidP="0065540D">
      <w:pPr>
        <w:rPr>
          <w:rFonts w:ascii="Times New Roman" w:hAnsi="Times New Roman" w:cs="Times New Roman"/>
        </w:rPr>
      </w:pPr>
      <w:r>
        <w:rPr>
          <w:rFonts w:ascii="Times New Roman" w:hAnsi="Times New Roman" w:cs="Times New Roman"/>
        </w:rPr>
        <w:t>The figure illustrates two issues with the proposed limit for the IEEE standard UWB. First, the power spectrum density mask doesn’t fit inside the proposed limits. Secondly, the</w:t>
      </w:r>
      <w:r w:rsidR="00BB73D4" w:rsidRPr="00DC0087">
        <w:rPr>
          <w:rFonts w:ascii="Times New Roman" w:hAnsi="Times New Roman" w:cs="Times New Roman"/>
        </w:rPr>
        <w:t xml:space="preserve"> -10 dB minimum bandwidth is defined to be 500 MHz. </w:t>
      </w:r>
      <w:r>
        <w:rPr>
          <w:rFonts w:ascii="Times New Roman" w:hAnsi="Times New Roman" w:cs="Times New Roman"/>
        </w:rPr>
        <w:t>The figure</w:t>
      </w:r>
      <w:r w:rsidR="00BB73D4" w:rsidRPr="00DC0087">
        <w:rPr>
          <w:rFonts w:ascii="Times New Roman" w:hAnsi="Times New Roman" w:cs="Times New Roman"/>
        </w:rPr>
        <w:t xml:space="preserve"> shows that </w:t>
      </w:r>
      <w:r>
        <w:rPr>
          <w:rFonts w:ascii="Times New Roman" w:hAnsi="Times New Roman" w:cs="Times New Roman"/>
        </w:rPr>
        <w:t>meeting</w:t>
      </w:r>
      <w:r w:rsidR="009755B8">
        <w:rPr>
          <w:rFonts w:ascii="Times New Roman" w:hAnsi="Times New Roman" w:cs="Times New Roman"/>
        </w:rPr>
        <w:t xml:space="preserve"> </w:t>
      </w:r>
      <w:r w:rsidR="00BB73D4" w:rsidRPr="00DC0087">
        <w:rPr>
          <w:rFonts w:ascii="Times New Roman" w:hAnsi="Times New Roman" w:cs="Times New Roman"/>
        </w:rPr>
        <w:t>the minimum bandwidth requirement</w:t>
      </w:r>
      <w:r w:rsidR="009755B8">
        <w:rPr>
          <w:rFonts w:ascii="Times New Roman" w:hAnsi="Times New Roman" w:cs="Times New Roman"/>
        </w:rPr>
        <w:t xml:space="preserve"> (</w:t>
      </w:r>
      <w:r>
        <w:rPr>
          <w:rFonts w:ascii="Times New Roman" w:hAnsi="Times New Roman" w:cs="Times New Roman"/>
        </w:rPr>
        <w:t xml:space="preserve">staying above the </w:t>
      </w:r>
      <w:r w:rsidR="009755B8">
        <w:rPr>
          <w:rFonts w:ascii="Times New Roman" w:hAnsi="Times New Roman" w:cs="Times New Roman"/>
        </w:rPr>
        <w:t>dotted black line)</w:t>
      </w:r>
      <w:r w:rsidR="00BB73D4" w:rsidRPr="00DC0087">
        <w:rPr>
          <w:rFonts w:ascii="Times New Roman" w:hAnsi="Times New Roman" w:cs="Times New Roman"/>
        </w:rPr>
        <w:t xml:space="preserve"> and</w:t>
      </w:r>
      <w:r>
        <w:rPr>
          <w:rFonts w:ascii="Times New Roman" w:hAnsi="Times New Roman" w:cs="Times New Roman"/>
        </w:rPr>
        <w:t>, at the same time,</w:t>
      </w:r>
      <w:r w:rsidR="00BB73D4" w:rsidRPr="00DC0087">
        <w:rPr>
          <w:rFonts w:ascii="Times New Roman" w:hAnsi="Times New Roman" w:cs="Times New Roman"/>
        </w:rPr>
        <w:t xml:space="preserve"> </w:t>
      </w:r>
      <w:r w:rsidR="009755B8">
        <w:rPr>
          <w:rFonts w:ascii="Times New Roman" w:hAnsi="Times New Roman" w:cs="Times New Roman"/>
        </w:rPr>
        <w:t>staying within the</w:t>
      </w:r>
      <w:r w:rsidR="00BB73D4" w:rsidRPr="00DC0087">
        <w:rPr>
          <w:rFonts w:ascii="Times New Roman" w:hAnsi="Times New Roman" w:cs="Times New Roman"/>
        </w:rPr>
        <w:t xml:space="preserve"> proposed emission limits</w:t>
      </w:r>
      <w:r w:rsidR="009755B8">
        <w:rPr>
          <w:rFonts w:ascii="Times New Roman" w:hAnsi="Times New Roman" w:cs="Times New Roman"/>
        </w:rPr>
        <w:t xml:space="preserve"> (blue line)</w:t>
      </w:r>
      <w:r w:rsidR="00BB73D4" w:rsidRPr="00DC0087">
        <w:rPr>
          <w:rFonts w:ascii="Times New Roman" w:hAnsi="Times New Roman" w:cs="Times New Roman"/>
        </w:rPr>
        <w:t xml:space="preserve"> using the UWB channels defined by standard [2] is impossible with </w:t>
      </w:r>
      <w:r w:rsidR="009755B8">
        <w:rPr>
          <w:rFonts w:ascii="Times New Roman" w:hAnsi="Times New Roman" w:cs="Times New Roman"/>
        </w:rPr>
        <w:t xml:space="preserve">a </w:t>
      </w:r>
      <w:r w:rsidR="00BB73D4" w:rsidRPr="00DC0087">
        <w:rPr>
          <w:rFonts w:ascii="Times New Roman" w:hAnsi="Times New Roman" w:cs="Times New Roman"/>
        </w:rPr>
        <w:t xml:space="preserve">practical implementation. </w:t>
      </w:r>
    </w:p>
    <w:p w14:paraId="1B6782D4" w14:textId="6D12C958" w:rsidR="006C24DB" w:rsidRDefault="006C24DB" w:rsidP="0065540D">
      <w:pPr>
        <w:rPr>
          <w:rFonts w:ascii="Times New Roman" w:hAnsi="Times New Roman" w:cs="Times New Roman"/>
        </w:rPr>
      </w:pPr>
    </w:p>
    <w:p w14:paraId="42D2737A" w14:textId="5BA4CDC9" w:rsidR="006C24DB" w:rsidRDefault="006C24DB" w:rsidP="0065540D">
      <w:pPr>
        <w:rPr>
          <w:rFonts w:ascii="Times New Roman" w:hAnsi="Times New Roman" w:cs="Times New Roman"/>
        </w:rPr>
      </w:pPr>
      <w:r>
        <w:rPr>
          <w:rFonts w:ascii="Times New Roman" w:hAnsi="Times New Roman" w:cs="Times New Roman"/>
        </w:rPr>
        <w:t xml:space="preserve">For comparison Figure 2 shows channel 5 PSD mask and European regulatory emission limits </w:t>
      </w:r>
      <w:r w:rsidR="00392ADA">
        <w:rPr>
          <w:rFonts w:ascii="Times New Roman" w:hAnsi="Times New Roman" w:cs="Times New Roman"/>
        </w:rPr>
        <w:t xml:space="preserve">at </w:t>
      </w:r>
      <w:r w:rsidR="00392ADA">
        <w:rPr>
          <w:rFonts w:ascii="Times New Roman" w:hAnsi="Times New Roman" w:cs="Times New Roman"/>
        </w:rPr>
        <w:lastRenderedPageBreak/>
        <w:t>band edge.</w:t>
      </w:r>
      <w:r w:rsidR="00F0131A">
        <w:rPr>
          <w:rFonts w:ascii="Times New Roman" w:hAnsi="Times New Roman" w:cs="Times New Roman"/>
        </w:rPr>
        <w:t xml:space="preserve"> This could be used as a reference for a </w:t>
      </w:r>
      <w:proofErr w:type="gramStart"/>
      <w:r w:rsidR="00F0131A">
        <w:rPr>
          <w:rFonts w:ascii="Times New Roman" w:hAnsi="Times New Roman" w:cs="Times New Roman"/>
        </w:rPr>
        <w:t>possible limits</w:t>
      </w:r>
      <w:proofErr w:type="gramEnd"/>
      <w:r w:rsidR="00F0131A">
        <w:rPr>
          <w:rFonts w:ascii="Times New Roman" w:hAnsi="Times New Roman" w:cs="Times New Roman"/>
        </w:rPr>
        <w:t>. The European limit at 6 GHz is not relaxed by any mean, but it does allow a feasible implementation.</w:t>
      </w:r>
      <w:r w:rsidR="00F0131A" w:rsidRPr="00F0131A">
        <w:rPr>
          <w:rFonts w:ascii="Times New Roman" w:hAnsi="Times New Roman" w:cs="Times New Roman"/>
        </w:rPr>
        <w:t xml:space="preserve"> </w:t>
      </w:r>
      <w:r w:rsidR="00F0131A">
        <w:rPr>
          <w:rFonts w:ascii="Times New Roman" w:hAnsi="Times New Roman" w:cs="Times New Roman"/>
        </w:rPr>
        <w:t>The 500 MHz minimum bandwidth limit is presented in the picture for reference, but it is not a requirement in Europe.</w:t>
      </w:r>
    </w:p>
    <w:p w14:paraId="359D7212" w14:textId="77777777" w:rsidR="006C24DB" w:rsidRDefault="006C24DB" w:rsidP="0065540D">
      <w:pPr>
        <w:rPr>
          <w:rFonts w:ascii="Times New Roman" w:hAnsi="Times New Roman" w:cs="Times New Roman"/>
        </w:rPr>
      </w:pPr>
    </w:p>
    <w:p w14:paraId="04C31601" w14:textId="55E7CCCD" w:rsidR="006C24DB" w:rsidRDefault="006C24DB" w:rsidP="0065540D">
      <w:pPr>
        <w:rPr>
          <w:rFonts w:ascii="Times New Roman" w:hAnsi="Times New Roman" w:cs="Times New Roman"/>
        </w:rPr>
      </w:pPr>
      <w:r>
        <w:rPr>
          <w:rFonts w:ascii="Times New Roman" w:hAnsi="Times New Roman" w:cs="Times New Roman"/>
        </w:rPr>
        <w:t>.</w:t>
      </w:r>
      <w:r w:rsidR="00392ADA" w:rsidRPr="00392ADA">
        <w:rPr>
          <w:rFonts w:ascii="Times New Roman" w:hAnsi="Times New Roman" w:cs="Times New Roman"/>
        </w:rPr>
        <w:t xml:space="preserve"> </w:t>
      </w:r>
      <w:r w:rsidR="00392ADA" w:rsidRPr="00392ADA">
        <w:rPr>
          <w:rFonts w:ascii="Times New Roman" w:hAnsi="Times New Roman" w:cs="Times New Roman"/>
          <w:noProof/>
        </w:rPr>
        <w:drawing>
          <wp:inline distT="0" distB="0" distL="0" distR="0" wp14:anchorId="2E729007" wp14:editId="11BD65D7">
            <wp:extent cx="5274310" cy="4080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80510"/>
                    </a:xfrm>
                    <a:prstGeom prst="rect">
                      <a:avLst/>
                    </a:prstGeom>
                    <a:noFill/>
                    <a:ln>
                      <a:noFill/>
                    </a:ln>
                  </pic:spPr>
                </pic:pic>
              </a:graphicData>
            </a:graphic>
          </wp:inline>
        </w:drawing>
      </w:r>
    </w:p>
    <w:p w14:paraId="44B30653" w14:textId="44111F8D" w:rsidR="00392ADA" w:rsidRDefault="00392ADA" w:rsidP="0065540D">
      <w:pPr>
        <w:rPr>
          <w:rFonts w:ascii="Times New Roman" w:hAnsi="Times New Roman" w:cs="Times New Roman"/>
        </w:rPr>
      </w:pPr>
      <w:r>
        <w:rPr>
          <w:rFonts w:ascii="Times New Roman" w:hAnsi="Times New Roman" w:cs="Times New Roman"/>
        </w:rPr>
        <w:t xml:space="preserve">Figure 2: </w:t>
      </w:r>
      <w:r w:rsidR="0091702F">
        <w:rPr>
          <w:rFonts w:ascii="Times New Roman" w:hAnsi="Times New Roman" w:cs="Times New Roman"/>
        </w:rPr>
        <w:t xml:space="preserve">UWB channel </w:t>
      </w:r>
      <w:r w:rsidR="00EE66E9">
        <w:rPr>
          <w:rFonts w:ascii="Times New Roman" w:hAnsi="Times New Roman" w:cs="Times New Roman"/>
        </w:rPr>
        <w:t>5</w:t>
      </w:r>
      <w:r w:rsidR="0091702F">
        <w:rPr>
          <w:rFonts w:ascii="Times New Roman" w:hAnsi="Times New Roman" w:cs="Times New Roman"/>
        </w:rPr>
        <w:t xml:space="preserve"> (f</w:t>
      </w:r>
      <w:r w:rsidR="0091702F" w:rsidRPr="0091702F">
        <w:rPr>
          <w:rFonts w:ascii="Times New Roman" w:hAnsi="Times New Roman" w:cs="Times New Roman"/>
          <w:vertAlign w:val="subscript"/>
        </w:rPr>
        <w:t>c</w:t>
      </w:r>
      <w:r w:rsidR="0091702F">
        <w:rPr>
          <w:rFonts w:ascii="Times New Roman" w:hAnsi="Times New Roman" w:cs="Times New Roman"/>
        </w:rPr>
        <w:t xml:space="preserve">=6489.6 MHz) PSD and </w:t>
      </w:r>
      <w:r>
        <w:rPr>
          <w:rFonts w:ascii="Times New Roman" w:hAnsi="Times New Roman" w:cs="Times New Roman"/>
        </w:rPr>
        <w:t>European band edge at</w:t>
      </w:r>
      <w:r w:rsidR="0091702F">
        <w:rPr>
          <w:rFonts w:ascii="Times New Roman" w:hAnsi="Times New Roman" w:cs="Times New Roman"/>
        </w:rPr>
        <w:t xml:space="preserve"> 6</w:t>
      </w:r>
      <w:r>
        <w:rPr>
          <w:rFonts w:ascii="Times New Roman" w:hAnsi="Times New Roman" w:cs="Times New Roman"/>
        </w:rPr>
        <w:t xml:space="preserve"> GHz</w:t>
      </w:r>
    </w:p>
    <w:p w14:paraId="06C595C8" w14:textId="77777777" w:rsidR="006C24DB" w:rsidRPr="00DC0087" w:rsidRDefault="006C24DB" w:rsidP="0065540D">
      <w:pPr>
        <w:rPr>
          <w:rFonts w:ascii="Times New Roman" w:hAnsi="Times New Roman" w:cs="Times New Roman"/>
        </w:rPr>
      </w:pPr>
    </w:p>
    <w:p w14:paraId="65BE893C" w14:textId="1B3B49C9" w:rsidR="00392ADA" w:rsidRDefault="00F0131A" w:rsidP="0065540D">
      <w:pPr>
        <w:rPr>
          <w:rFonts w:ascii="Times New Roman" w:hAnsi="Times New Roman" w:cs="Times New Roman"/>
        </w:rPr>
      </w:pPr>
      <w:r>
        <w:rPr>
          <w:rFonts w:ascii="Times New Roman" w:hAnsi="Times New Roman" w:cs="Times New Roman"/>
        </w:rPr>
        <w:t>Channel</w:t>
      </w:r>
      <w:r w:rsidR="00CD24F0">
        <w:rPr>
          <w:rFonts w:ascii="Times New Roman" w:hAnsi="Times New Roman" w:cs="Times New Roman"/>
        </w:rPr>
        <w:t xml:space="preserve"> </w:t>
      </w:r>
      <w:r>
        <w:rPr>
          <w:rFonts w:ascii="Times New Roman" w:hAnsi="Times New Roman" w:cs="Times New Roman"/>
        </w:rPr>
        <w:t>5</w:t>
      </w:r>
      <w:r w:rsidR="00CD24F0">
        <w:rPr>
          <w:rFonts w:ascii="Times New Roman" w:hAnsi="Times New Roman" w:cs="Times New Roman"/>
        </w:rPr>
        <w:t xml:space="preserve"> center frequency is 6489.6 MHz, so </w:t>
      </w:r>
      <w:r w:rsidR="006039A8">
        <w:rPr>
          <w:rFonts w:ascii="Times New Roman" w:hAnsi="Times New Roman" w:cs="Times New Roman"/>
        </w:rPr>
        <w:t xml:space="preserve">European rules define </w:t>
      </w:r>
      <w:r w:rsidR="00CD24F0">
        <w:rPr>
          <w:rFonts w:ascii="Times New Roman" w:hAnsi="Times New Roman" w:cs="Times New Roman"/>
        </w:rPr>
        <w:t>489.6 MHz separation to the band edge</w:t>
      </w:r>
      <w:r w:rsidR="005B713C">
        <w:rPr>
          <w:rFonts w:ascii="Times New Roman" w:hAnsi="Times New Roman" w:cs="Times New Roman"/>
        </w:rPr>
        <w:t xml:space="preserve"> with</w:t>
      </w:r>
      <w:r w:rsidR="00EE66E9">
        <w:rPr>
          <w:rFonts w:ascii="Times New Roman" w:hAnsi="Times New Roman" w:cs="Times New Roman"/>
        </w:rPr>
        <w:t xml:space="preserve"> -70 dBm limit</w:t>
      </w:r>
      <w:r w:rsidR="00CD24F0">
        <w:rPr>
          <w:rFonts w:ascii="Times New Roman" w:hAnsi="Times New Roman" w:cs="Times New Roman"/>
        </w:rPr>
        <w:t>. Similar separation for ch</w:t>
      </w:r>
      <w:r>
        <w:rPr>
          <w:rFonts w:ascii="Times New Roman" w:hAnsi="Times New Roman" w:cs="Times New Roman"/>
        </w:rPr>
        <w:t xml:space="preserve">annel </w:t>
      </w:r>
      <w:r w:rsidR="00CD24F0">
        <w:rPr>
          <w:rFonts w:ascii="Times New Roman" w:hAnsi="Times New Roman" w:cs="Times New Roman"/>
        </w:rPr>
        <w:t xml:space="preserve">8 </w:t>
      </w:r>
      <w:r w:rsidR="00EE66E9">
        <w:rPr>
          <w:rFonts w:ascii="Times New Roman" w:hAnsi="Times New Roman" w:cs="Times New Roman"/>
        </w:rPr>
        <w:t xml:space="preserve">(centered at 7488 MHz) </w:t>
      </w:r>
      <w:r w:rsidR="00CD24F0">
        <w:rPr>
          <w:rFonts w:ascii="Times New Roman" w:hAnsi="Times New Roman" w:cs="Times New Roman"/>
        </w:rPr>
        <w:t xml:space="preserve">would </w:t>
      </w:r>
      <w:r w:rsidR="005F6922">
        <w:rPr>
          <w:rFonts w:ascii="Times New Roman" w:hAnsi="Times New Roman" w:cs="Times New Roman"/>
        </w:rPr>
        <w:t>require</w:t>
      </w:r>
      <w:r w:rsidR="00CD24F0">
        <w:rPr>
          <w:rFonts w:ascii="Times New Roman" w:hAnsi="Times New Roman" w:cs="Times New Roman"/>
        </w:rPr>
        <w:t xml:space="preserve"> the </w:t>
      </w:r>
      <w:r w:rsidR="005B713C">
        <w:rPr>
          <w:rFonts w:ascii="Times New Roman" w:hAnsi="Times New Roman" w:cs="Times New Roman"/>
        </w:rPr>
        <w:t>upper -70 dBm</w:t>
      </w:r>
      <w:r w:rsidR="00CD24F0">
        <w:rPr>
          <w:rFonts w:ascii="Times New Roman" w:hAnsi="Times New Roman" w:cs="Times New Roman"/>
        </w:rPr>
        <w:t xml:space="preserve"> band edge </w:t>
      </w:r>
      <w:r>
        <w:rPr>
          <w:rFonts w:ascii="Times New Roman" w:hAnsi="Times New Roman" w:cs="Times New Roman"/>
        </w:rPr>
        <w:t xml:space="preserve">not </w:t>
      </w:r>
      <w:r w:rsidR="00CD24F0">
        <w:rPr>
          <w:rFonts w:ascii="Times New Roman" w:hAnsi="Times New Roman" w:cs="Times New Roman"/>
        </w:rPr>
        <w:t xml:space="preserve">to </w:t>
      </w:r>
      <w:r w:rsidR="005F6922">
        <w:rPr>
          <w:rFonts w:ascii="Times New Roman" w:hAnsi="Times New Roman" w:cs="Times New Roman"/>
        </w:rPr>
        <w:t>be higher than</w:t>
      </w:r>
      <w:r w:rsidR="00CD24F0">
        <w:rPr>
          <w:rFonts w:ascii="Times New Roman" w:hAnsi="Times New Roman" w:cs="Times New Roman"/>
        </w:rPr>
        <w:t xml:space="preserve"> </w:t>
      </w:r>
      <w:r w:rsidR="00EE66E9">
        <w:rPr>
          <w:rFonts w:ascii="Times New Roman" w:hAnsi="Times New Roman" w:cs="Times New Roman"/>
        </w:rPr>
        <w:t>6998</w:t>
      </w:r>
      <w:r w:rsidR="00CD24F0">
        <w:rPr>
          <w:rFonts w:ascii="Times New Roman" w:hAnsi="Times New Roman" w:cs="Times New Roman"/>
        </w:rPr>
        <w:t xml:space="preserve"> MHz. If -51 dBm limit is considered necessary, it should </w:t>
      </w:r>
      <w:r w:rsidR="006039A8">
        <w:rPr>
          <w:rFonts w:ascii="Times New Roman" w:hAnsi="Times New Roman" w:cs="Times New Roman"/>
        </w:rPr>
        <w:t xml:space="preserve">not </w:t>
      </w:r>
      <w:r>
        <w:rPr>
          <w:rFonts w:ascii="Times New Roman" w:hAnsi="Times New Roman" w:cs="Times New Roman"/>
        </w:rPr>
        <w:t>b</w:t>
      </w:r>
      <w:r w:rsidR="006039A8">
        <w:rPr>
          <w:rFonts w:ascii="Times New Roman" w:hAnsi="Times New Roman" w:cs="Times New Roman"/>
        </w:rPr>
        <w:t xml:space="preserve">e </w:t>
      </w:r>
      <w:proofErr w:type="gramStart"/>
      <w:r w:rsidR="006039A8">
        <w:rPr>
          <w:rFonts w:ascii="Times New Roman" w:hAnsi="Times New Roman" w:cs="Times New Roman"/>
        </w:rPr>
        <w:t>more strict</w:t>
      </w:r>
      <w:proofErr w:type="gramEnd"/>
      <w:r w:rsidR="00CD24F0">
        <w:rPr>
          <w:rFonts w:ascii="Times New Roman" w:hAnsi="Times New Roman" w:cs="Times New Roman"/>
        </w:rPr>
        <w:t xml:space="preserve"> than the IEEE spectrum mask</w:t>
      </w:r>
      <w:r w:rsidR="006039A8">
        <w:rPr>
          <w:rFonts w:ascii="Times New Roman" w:hAnsi="Times New Roman" w:cs="Times New Roman"/>
        </w:rPr>
        <w:t xml:space="preserve">, which </w:t>
      </w:r>
      <w:r w:rsidR="009755B8">
        <w:rPr>
          <w:rFonts w:ascii="Times New Roman" w:hAnsi="Times New Roman" w:cs="Times New Roman"/>
        </w:rPr>
        <w:t xml:space="preserve">would set the </w:t>
      </w:r>
      <w:r>
        <w:rPr>
          <w:rFonts w:ascii="Times New Roman" w:hAnsi="Times New Roman" w:cs="Times New Roman"/>
        </w:rPr>
        <w:t xml:space="preserve">-51 dBm </w:t>
      </w:r>
      <w:r w:rsidR="009755B8">
        <w:rPr>
          <w:rFonts w:ascii="Times New Roman" w:hAnsi="Times New Roman" w:cs="Times New Roman"/>
        </w:rPr>
        <w:t xml:space="preserve">limit </w:t>
      </w:r>
      <w:r>
        <w:rPr>
          <w:rFonts w:ascii="Times New Roman" w:hAnsi="Times New Roman" w:cs="Times New Roman"/>
        </w:rPr>
        <w:t>at</w:t>
      </w:r>
      <w:r w:rsidR="006039A8">
        <w:rPr>
          <w:rFonts w:ascii="Times New Roman" w:hAnsi="Times New Roman" w:cs="Times New Roman"/>
        </w:rPr>
        <w:t xml:space="preserve"> 7</w:t>
      </w:r>
      <w:r w:rsidR="00EE66E9">
        <w:rPr>
          <w:rFonts w:ascii="Times New Roman" w:hAnsi="Times New Roman" w:cs="Times New Roman"/>
        </w:rPr>
        <w:t>163</w:t>
      </w:r>
      <w:r w:rsidR="006039A8">
        <w:rPr>
          <w:rFonts w:ascii="Times New Roman" w:hAnsi="Times New Roman" w:cs="Times New Roman"/>
        </w:rPr>
        <w:t xml:space="preserve"> MHz</w:t>
      </w:r>
      <w:r w:rsidR="005B713C">
        <w:rPr>
          <w:rFonts w:ascii="Times New Roman" w:hAnsi="Times New Roman" w:cs="Times New Roman"/>
        </w:rPr>
        <w:t xml:space="preserve"> or below</w:t>
      </w:r>
      <w:r w:rsidR="006039A8">
        <w:rPr>
          <w:rFonts w:ascii="Times New Roman" w:hAnsi="Times New Roman" w:cs="Times New Roman"/>
        </w:rPr>
        <w:t xml:space="preserve">. </w:t>
      </w:r>
    </w:p>
    <w:p w14:paraId="33F41E3A" w14:textId="77777777" w:rsidR="005F6922" w:rsidRDefault="005F6922" w:rsidP="0065540D">
      <w:pPr>
        <w:rPr>
          <w:rFonts w:ascii="Times New Roman" w:hAnsi="Times New Roman" w:cs="Times New Roman"/>
        </w:rPr>
      </w:pPr>
    </w:p>
    <w:p w14:paraId="2708B501" w14:textId="4C77EC9F" w:rsidR="00392ADA" w:rsidRDefault="005F6922" w:rsidP="0065540D">
      <w:pPr>
        <w:rPr>
          <w:rFonts w:ascii="Times New Roman" w:hAnsi="Times New Roman" w:cs="Times New Roman"/>
        </w:rPr>
      </w:pPr>
      <w:r>
        <w:rPr>
          <w:rFonts w:ascii="Times New Roman" w:hAnsi="Times New Roman" w:cs="Times New Roman"/>
        </w:rPr>
        <w:t>Similar expansion of the available band would be needed for ch10</w:t>
      </w:r>
      <w:r w:rsidR="00EE66E9">
        <w:rPr>
          <w:rFonts w:ascii="Times New Roman" w:hAnsi="Times New Roman" w:cs="Times New Roman"/>
        </w:rPr>
        <w:t xml:space="preserve"> (centered at 8486.4 MHz)</w:t>
      </w:r>
      <w:r>
        <w:rPr>
          <w:rFonts w:ascii="Times New Roman" w:hAnsi="Times New Roman" w:cs="Times New Roman"/>
        </w:rPr>
        <w:t xml:space="preserve">, where -70 limit should be set to </w:t>
      </w:r>
      <w:r w:rsidR="005B713C">
        <w:rPr>
          <w:rFonts w:ascii="Times New Roman" w:hAnsi="Times New Roman" w:cs="Times New Roman"/>
        </w:rPr>
        <w:t>8976</w:t>
      </w:r>
      <w:r>
        <w:rPr>
          <w:rFonts w:ascii="Times New Roman" w:hAnsi="Times New Roman" w:cs="Times New Roman"/>
        </w:rPr>
        <w:t xml:space="preserve"> MHz or above, and the possible -51 dB limit at or above </w:t>
      </w:r>
      <w:r w:rsidR="00F2477F">
        <w:rPr>
          <w:rFonts w:ascii="Times New Roman" w:hAnsi="Times New Roman" w:cs="Times New Roman"/>
        </w:rPr>
        <w:t>8810</w:t>
      </w:r>
      <w:r>
        <w:rPr>
          <w:rFonts w:ascii="Times New Roman" w:hAnsi="Times New Roman" w:cs="Times New Roman"/>
        </w:rPr>
        <w:t xml:space="preserve"> MHz.</w:t>
      </w:r>
    </w:p>
    <w:p w14:paraId="7AA1459C" w14:textId="77777777" w:rsidR="00F2477F" w:rsidRDefault="00F2477F" w:rsidP="0065540D">
      <w:pPr>
        <w:rPr>
          <w:rFonts w:ascii="Times New Roman" w:hAnsi="Times New Roman" w:cs="Times New Roman"/>
        </w:rPr>
      </w:pPr>
    </w:p>
    <w:p w14:paraId="32549F1E" w14:textId="31F172CB" w:rsidR="00F2477F" w:rsidRDefault="00F2477F" w:rsidP="0065540D">
      <w:pPr>
        <w:rPr>
          <w:rFonts w:ascii="Times New Roman" w:hAnsi="Times New Roman" w:cs="Times New Roman"/>
        </w:rPr>
      </w:pPr>
      <w:r>
        <w:rPr>
          <w:rFonts w:ascii="Times New Roman" w:hAnsi="Times New Roman" w:cs="Times New Roman"/>
        </w:rPr>
        <w:t xml:space="preserve">Table 2 – </w:t>
      </w:r>
      <w:r w:rsidR="005F2714">
        <w:rPr>
          <w:rFonts w:ascii="Times New Roman" w:hAnsi="Times New Roman" w:cs="Times New Roman"/>
        </w:rPr>
        <w:t>Emission l</w:t>
      </w:r>
      <w:r>
        <w:rPr>
          <w:rFonts w:ascii="Times New Roman" w:hAnsi="Times New Roman" w:cs="Times New Roman"/>
        </w:rPr>
        <w:t xml:space="preserve">imits </w:t>
      </w:r>
      <w:r w:rsidR="005F2714">
        <w:rPr>
          <w:rFonts w:ascii="Times New Roman" w:hAnsi="Times New Roman" w:cs="Times New Roman"/>
        </w:rPr>
        <w:t>allowing use</w:t>
      </w:r>
      <w:r>
        <w:rPr>
          <w:rFonts w:ascii="Times New Roman" w:hAnsi="Times New Roman" w:cs="Times New Roman"/>
        </w:rPr>
        <w:t xml:space="preserve"> of ch8</w:t>
      </w:r>
      <w:r w:rsidR="005F2714">
        <w:rPr>
          <w:rFonts w:ascii="Times New Roman" w:hAnsi="Times New Roman" w:cs="Times New Roman"/>
        </w:rPr>
        <w:t>, ch9</w:t>
      </w:r>
      <w:r>
        <w:rPr>
          <w:rFonts w:ascii="Times New Roman" w:hAnsi="Times New Roman" w:cs="Times New Roman"/>
        </w:rPr>
        <w:t xml:space="preserve"> and </w:t>
      </w:r>
      <w:proofErr w:type="gramStart"/>
      <w:r>
        <w:rPr>
          <w:rFonts w:ascii="Times New Roman" w:hAnsi="Times New Roman" w:cs="Times New Roman"/>
        </w:rPr>
        <w:t>ch10</w:t>
      </w:r>
      <w:proofErr w:type="gramEnd"/>
    </w:p>
    <w:tbl>
      <w:tblPr>
        <w:tblStyle w:val="TableGrid"/>
        <w:tblW w:w="0" w:type="auto"/>
        <w:tblLook w:val="04A0" w:firstRow="1" w:lastRow="0" w:firstColumn="1" w:lastColumn="0" w:noHBand="0" w:noVBand="1"/>
      </w:tblPr>
      <w:tblGrid>
        <w:gridCol w:w="1778"/>
        <w:gridCol w:w="1178"/>
      </w:tblGrid>
      <w:tr w:rsidR="005F2714" w14:paraId="7BE7F0DE" w14:textId="77777777" w:rsidTr="005F2714">
        <w:trPr>
          <w:trHeight w:val="152"/>
        </w:trPr>
        <w:tc>
          <w:tcPr>
            <w:tcW w:w="1778" w:type="dxa"/>
          </w:tcPr>
          <w:p w14:paraId="6FCE3CAA" w14:textId="4B287729"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Frequency range</w:t>
            </w:r>
          </w:p>
        </w:tc>
        <w:tc>
          <w:tcPr>
            <w:tcW w:w="1178" w:type="dxa"/>
          </w:tcPr>
          <w:p w14:paraId="55FA3C4B" w14:textId="768ED8CC"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EIRP limit</w:t>
            </w:r>
          </w:p>
        </w:tc>
      </w:tr>
      <w:tr w:rsidR="005F2714" w14:paraId="04FE07DF" w14:textId="77777777" w:rsidTr="005F2714">
        <w:trPr>
          <w:trHeight w:val="188"/>
        </w:trPr>
        <w:tc>
          <w:tcPr>
            <w:tcW w:w="1778" w:type="dxa"/>
          </w:tcPr>
          <w:p w14:paraId="32F2D3FA" w14:textId="142956D5"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Below 6998 MHz</w:t>
            </w:r>
          </w:p>
        </w:tc>
        <w:tc>
          <w:tcPr>
            <w:tcW w:w="1178" w:type="dxa"/>
          </w:tcPr>
          <w:p w14:paraId="28BAFFAE" w14:textId="3F63D3FB"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-70 dBm</w:t>
            </w:r>
          </w:p>
        </w:tc>
      </w:tr>
      <w:tr w:rsidR="005F2714" w14:paraId="57C7D847" w14:textId="77777777" w:rsidTr="005F2714">
        <w:trPr>
          <w:trHeight w:val="143"/>
        </w:trPr>
        <w:tc>
          <w:tcPr>
            <w:tcW w:w="1778" w:type="dxa"/>
          </w:tcPr>
          <w:p w14:paraId="20809F99" w14:textId="081C325A"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6998 – 7163 MHz</w:t>
            </w:r>
          </w:p>
        </w:tc>
        <w:tc>
          <w:tcPr>
            <w:tcW w:w="1178" w:type="dxa"/>
          </w:tcPr>
          <w:p w14:paraId="01778328" w14:textId="470068B4"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-51 dBm</w:t>
            </w:r>
          </w:p>
        </w:tc>
      </w:tr>
      <w:tr w:rsidR="005F2714" w14:paraId="40D26CD5" w14:textId="77777777" w:rsidTr="005F2714">
        <w:tc>
          <w:tcPr>
            <w:tcW w:w="1778" w:type="dxa"/>
          </w:tcPr>
          <w:p w14:paraId="28C0F782" w14:textId="559895CA"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7163 – 8810 MHz</w:t>
            </w:r>
          </w:p>
        </w:tc>
        <w:tc>
          <w:tcPr>
            <w:tcW w:w="1178" w:type="dxa"/>
          </w:tcPr>
          <w:p w14:paraId="0DE3F64B" w14:textId="4830E719"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-41 dBm</w:t>
            </w:r>
          </w:p>
        </w:tc>
      </w:tr>
      <w:tr w:rsidR="005F2714" w14:paraId="5865850D" w14:textId="77777777" w:rsidTr="005F2714">
        <w:tc>
          <w:tcPr>
            <w:tcW w:w="1778" w:type="dxa"/>
          </w:tcPr>
          <w:p w14:paraId="63A60E41" w14:textId="3AAB3253"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8810 – 8</w:t>
            </w:r>
            <w:r>
              <w:rPr>
                <w:rFonts w:ascii="Times New Roman" w:hAnsi="Times New Roman" w:cs="Times New Roman"/>
                <w:sz w:val="18"/>
                <w:szCs w:val="18"/>
              </w:rPr>
              <w:t>976</w:t>
            </w:r>
            <w:r w:rsidRPr="005F2714">
              <w:rPr>
                <w:rFonts w:ascii="Times New Roman" w:hAnsi="Times New Roman" w:cs="Times New Roman"/>
                <w:sz w:val="18"/>
                <w:szCs w:val="18"/>
              </w:rPr>
              <w:t xml:space="preserve"> MHz</w:t>
            </w:r>
          </w:p>
        </w:tc>
        <w:tc>
          <w:tcPr>
            <w:tcW w:w="1178" w:type="dxa"/>
          </w:tcPr>
          <w:p w14:paraId="747DBC83" w14:textId="7D504140"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-51 dBm</w:t>
            </w:r>
          </w:p>
        </w:tc>
      </w:tr>
      <w:tr w:rsidR="005F2714" w14:paraId="3FAA170C" w14:textId="77777777" w:rsidTr="005F2714">
        <w:trPr>
          <w:trHeight w:val="42"/>
        </w:trPr>
        <w:tc>
          <w:tcPr>
            <w:tcW w:w="1778" w:type="dxa"/>
          </w:tcPr>
          <w:p w14:paraId="4B9E6709" w14:textId="445E2427"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Above 8</w:t>
            </w:r>
            <w:r>
              <w:rPr>
                <w:rFonts w:ascii="Times New Roman" w:hAnsi="Times New Roman" w:cs="Times New Roman"/>
                <w:sz w:val="18"/>
                <w:szCs w:val="18"/>
              </w:rPr>
              <w:t>976</w:t>
            </w:r>
            <w:r w:rsidRPr="005F2714">
              <w:rPr>
                <w:rFonts w:ascii="Times New Roman" w:hAnsi="Times New Roman" w:cs="Times New Roman"/>
                <w:sz w:val="18"/>
                <w:szCs w:val="18"/>
              </w:rPr>
              <w:t xml:space="preserve"> MHz</w:t>
            </w:r>
          </w:p>
        </w:tc>
        <w:tc>
          <w:tcPr>
            <w:tcW w:w="1178" w:type="dxa"/>
          </w:tcPr>
          <w:p w14:paraId="16E39C9D" w14:textId="7B3F6DF1"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-70 dBm</w:t>
            </w:r>
          </w:p>
        </w:tc>
      </w:tr>
    </w:tbl>
    <w:p w14:paraId="3861BB00" w14:textId="0D4508A9" w:rsidR="0065540D" w:rsidRDefault="0065540D" w:rsidP="0065540D">
      <w:pPr>
        <w:rPr>
          <w:rFonts w:ascii="Times New Roman" w:hAnsi="Times New Roman" w:cs="Times New Roman"/>
        </w:rPr>
      </w:pPr>
    </w:p>
    <w:p w14:paraId="2C69F53E" w14:textId="77F207B0" w:rsidR="00F2477F" w:rsidRDefault="00F2477F" w:rsidP="0065540D">
      <w:pPr>
        <w:rPr>
          <w:rFonts w:ascii="Times New Roman" w:hAnsi="Times New Roman" w:cs="Times New Roman"/>
        </w:rPr>
      </w:pPr>
    </w:p>
    <w:p w14:paraId="5753908F" w14:textId="4706F091" w:rsidR="00BB73D4" w:rsidRDefault="0065540D" w:rsidP="0065540D">
      <w:pPr>
        <w:rPr>
          <w:rFonts w:ascii="Times New Roman" w:hAnsi="Times New Roman" w:cs="Times New Roman"/>
        </w:rPr>
      </w:pPr>
      <w:r w:rsidRPr="00DC0087">
        <w:rPr>
          <w:rFonts w:ascii="Times New Roman" w:hAnsi="Times New Roman" w:cs="Times New Roman"/>
        </w:rPr>
        <w:t>Better alignment with the spectral masks in the standard would benefit both in terms of availability of products, time to market, and better international harmonization.</w:t>
      </w:r>
    </w:p>
    <w:p w14:paraId="7047BCA5" w14:textId="77777777" w:rsidR="009755B8" w:rsidRPr="00DC0087" w:rsidRDefault="009755B8" w:rsidP="0065540D">
      <w:pPr>
        <w:rPr>
          <w:rFonts w:ascii="Times New Roman" w:hAnsi="Times New Roman" w:cs="Times New Roman"/>
        </w:rPr>
      </w:pPr>
    </w:p>
    <w:p w14:paraId="3ACDDADC" w14:textId="6365FFD9" w:rsidR="00BB73D4" w:rsidRPr="00DC0087" w:rsidRDefault="00BB73D4" w:rsidP="006C24DB">
      <w:pPr>
        <w:pStyle w:val="Heading2"/>
      </w:pPr>
      <w:r w:rsidRPr="00DC0087">
        <w:t>References</w:t>
      </w:r>
    </w:p>
    <w:p w14:paraId="5B150D35" w14:textId="77777777" w:rsidR="00BB73D4" w:rsidRPr="00DC0087" w:rsidRDefault="00BB73D4" w:rsidP="0065540D">
      <w:pPr>
        <w:rPr>
          <w:rFonts w:ascii="Times New Roman" w:hAnsi="Times New Roman" w:cs="Times New Roman"/>
        </w:rPr>
      </w:pPr>
    </w:p>
    <w:p w14:paraId="1C978291" w14:textId="234100A5" w:rsidR="0065540D" w:rsidRDefault="006C24DB" w:rsidP="006C24DB">
      <w:pPr>
        <w:pStyle w:val="ListParagraph"/>
      </w:pPr>
      <w:r>
        <w:t>[1]</w:t>
      </w:r>
      <w:r>
        <w:tab/>
      </w:r>
      <w:r w:rsidRPr="006C24DB">
        <w:t>https://mentor.ieee.org/802.15/dcn/23/15-23-0023-02-04ab-china-miit-s-consultation-on-uwb.pptx</w:t>
      </w:r>
    </w:p>
    <w:p w14:paraId="4640D201" w14:textId="0FC27450" w:rsidR="006C24DB" w:rsidRPr="00DC0087" w:rsidRDefault="006C24DB" w:rsidP="006C24DB">
      <w:pPr>
        <w:pStyle w:val="ListParagraph"/>
      </w:pPr>
      <w:r>
        <w:t xml:space="preserve">[2] </w:t>
      </w:r>
      <w:r>
        <w:tab/>
        <w:t>IEEE 802.15.4-2020</w:t>
      </w:r>
    </w:p>
    <w:p w14:paraId="57E469A1" w14:textId="7B78B111" w:rsidR="00AE13EC" w:rsidRPr="00DC0087" w:rsidRDefault="00AE13EC" w:rsidP="00FC10E0">
      <w:pPr>
        <w:rPr>
          <w:rFonts w:ascii="Times New Roman" w:hAnsi="Times New Roman" w:cs="Times New Roman"/>
        </w:rPr>
      </w:pPr>
    </w:p>
    <w:sectPr w:rsidR="00AE13EC" w:rsidRPr="00DC0087" w:rsidSect="00E737A6">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07CD" w14:textId="77777777" w:rsidR="0048324D" w:rsidRDefault="0048324D" w:rsidP="00B45C71">
      <w:r>
        <w:separator/>
      </w:r>
    </w:p>
  </w:endnote>
  <w:endnote w:type="continuationSeparator" w:id="0">
    <w:p w14:paraId="588FFCA2" w14:textId="77777777" w:rsidR="0048324D" w:rsidRDefault="0048324D"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BA7C" w14:textId="547BE2CB" w:rsidR="00CE0DFB" w:rsidRDefault="00CE0DFB" w:rsidP="00CE0DFB">
    <w:pPr>
      <w:pStyle w:val="Footer"/>
      <w:widowControl/>
      <w:pBdr>
        <w:top w:val="single" w:sz="6" w:space="1" w:color="auto"/>
      </w:pBdr>
      <w:tabs>
        <w:tab w:val="clear" w:pos="4153"/>
        <w:tab w:val="clear" w:pos="8306"/>
        <w:tab w:val="center" w:pos="4680"/>
        <w:tab w:val="right" w:pos="9360"/>
        <w:tab w:val="right" w:pos="12960"/>
      </w:tabs>
      <w:snapToGrid/>
    </w:pP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sidR="00FC10E0">
      <w:rPr>
        <w:rFonts w:ascii="Times New Roman" w:eastAsia="MS Mincho" w:hAnsi="Times New Roman" w:cs="Times New Roman"/>
        <w:kern w:val="0"/>
        <w:sz w:val="24"/>
        <w:szCs w:val="20"/>
        <w:lang w:val="fr-FR" w:eastAsia="en-US"/>
      </w:rPr>
      <w:t>Dries Neirynck (Ultra Radio)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226F" w14:textId="77777777" w:rsidR="0048324D" w:rsidRDefault="0048324D" w:rsidP="00B45C71">
      <w:r>
        <w:separator/>
      </w:r>
    </w:p>
  </w:footnote>
  <w:footnote w:type="continuationSeparator" w:id="0">
    <w:p w14:paraId="6D5AD3BE" w14:textId="77777777" w:rsidR="0048324D" w:rsidRDefault="0048324D"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BE31" w14:textId="65F3B16F" w:rsidR="00A264B9" w:rsidRPr="00CE0DFB" w:rsidRDefault="00CE0DFB">
    <w:pPr>
      <w:pStyle w:val="Header"/>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Pr="00CE0DFB">
      <w:rPr>
        <w:rFonts w:ascii="Times New Roman" w:eastAsia="MS Mincho" w:hAnsi="Times New Roman" w:cs="Times New Roman" w:hint="eastAsia"/>
        <w:b/>
        <w:kern w:val="0"/>
        <w:sz w:val="28"/>
        <w:szCs w:val="20"/>
        <w:lang w:eastAsia="en-US"/>
      </w:rPr>
      <w:t>d</w:t>
    </w:r>
    <w:r w:rsidRPr="00CE0DFB">
      <w:rPr>
        <w:rFonts w:ascii="Times New Roman" w:eastAsia="MS Mincho" w:hAnsi="Times New Roman" w:cs="Times New Roman"/>
        <w:b/>
        <w:kern w:val="0"/>
        <w:sz w:val="28"/>
        <w:szCs w:val="20"/>
        <w:lang w:eastAsia="en-US"/>
      </w:rPr>
      <w:t>oc.: IEEE 802.1</w:t>
    </w:r>
    <w:r w:rsidR="004F7113">
      <w:rPr>
        <w:rFonts w:ascii="Times New Roman" w:eastAsia="MS Mincho" w:hAnsi="Times New Roman" w:cs="Times New Roman"/>
        <w:b/>
        <w:kern w:val="0"/>
        <w:sz w:val="28"/>
        <w:szCs w:val="20"/>
        <w:lang w:eastAsia="en-US"/>
      </w:rPr>
      <w:t>8</w:t>
    </w:r>
    <w:r w:rsidR="00A264B9" w:rsidRPr="00CE0DFB">
      <w:rPr>
        <w:rFonts w:ascii="Times New Roman" w:eastAsia="MS Mincho" w:hAnsi="Times New Roman" w:cs="Times New Roman"/>
        <w:b/>
        <w:kern w:val="0"/>
        <w:sz w:val="28"/>
        <w:szCs w:val="20"/>
        <w:lang w:eastAsia="en-US"/>
      </w:rPr>
      <w:t>-</w:t>
    </w:r>
    <w:r w:rsidRPr="00CE0DFB">
      <w:rPr>
        <w:rFonts w:ascii="Times New Roman" w:eastAsia="MS Mincho" w:hAnsi="Times New Roman" w:cs="Times New Roman"/>
        <w:b/>
        <w:kern w:val="0"/>
        <w:sz w:val="28"/>
        <w:szCs w:val="20"/>
        <w:lang w:eastAsia="en-US"/>
      </w:rPr>
      <w:t>2</w:t>
    </w:r>
    <w:r w:rsidR="004F7113">
      <w:rPr>
        <w:rFonts w:ascii="Times New Roman" w:eastAsia="MS Mincho" w:hAnsi="Times New Roman" w:cs="Times New Roman"/>
        <w:b/>
        <w:kern w:val="0"/>
        <w:sz w:val="28"/>
        <w:szCs w:val="20"/>
        <w:lang w:eastAsia="en-US"/>
      </w:rPr>
      <w:t>3</w:t>
    </w:r>
    <w:r w:rsidRPr="00CE0DFB">
      <w:rPr>
        <w:rFonts w:ascii="Times New Roman" w:eastAsia="MS Mincho" w:hAnsi="Times New Roman" w:cs="Times New Roman"/>
        <w:b/>
        <w:kern w:val="0"/>
        <w:sz w:val="28"/>
        <w:szCs w:val="20"/>
        <w:lang w:eastAsia="en-US"/>
      </w:rPr>
      <w:t>/</w:t>
    </w:r>
    <w:r w:rsidR="00A264B9" w:rsidRPr="00CE0DFB">
      <w:rPr>
        <w:rFonts w:ascii="Times New Roman" w:eastAsia="MS Mincho" w:hAnsi="Times New Roman" w:cs="Times New Roman"/>
        <w:b/>
        <w:kern w:val="0"/>
        <w:sz w:val="28"/>
        <w:szCs w:val="20"/>
        <w:lang w:eastAsia="en-US"/>
      </w:rPr>
      <w:t>0</w:t>
    </w:r>
    <w:r w:rsidR="004F7BA6">
      <w:rPr>
        <w:rFonts w:ascii="Times New Roman" w:eastAsia="MS Mincho" w:hAnsi="Times New Roman" w:cs="Times New Roman"/>
        <w:b/>
        <w:kern w:val="0"/>
        <w:sz w:val="28"/>
        <w:szCs w:val="20"/>
        <w:lang w:eastAsia="en-US"/>
      </w:rPr>
      <w:t>xxx</w:t>
    </w:r>
    <w:r w:rsidRPr="00CE0DFB">
      <w:rPr>
        <w:rFonts w:ascii="Times New Roman" w:eastAsia="MS Mincho" w:hAnsi="Times New Roman" w:cs="Times New Roman"/>
        <w:b/>
        <w:kern w:val="0"/>
        <w:sz w:val="28"/>
        <w:szCs w:val="20"/>
        <w:lang w:eastAsia="en-US"/>
      </w:rPr>
      <w:t>/r</w:t>
    </w:r>
    <w:r w:rsidR="0048344A">
      <w:rPr>
        <w:rFonts w:ascii="Times New Roman" w:eastAsia="MS Mincho" w:hAnsi="Times New Roman" w:cs="Times New Roman"/>
        <w:b/>
        <w:kern w:val="0"/>
        <w:sz w:val="28"/>
        <w:szCs w:val="20"/>
        <w:lang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685836">
    <w:abstractNumId w:val="1"/>
  </w:num>
  <w:num w:numId="2" w16cid:durableId="785851155">
    <w:abstractNumId w:val="0"/>
  </w:num>
  <w:num w:numId="3" w16cid:durableId="43216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112DA"/>
    <w:rsid w:val="000672FF"/>
    <w:rsid w:val="00083F9F"/>
    <w:rsid w:val="000933C2"/>
    <w:rsid w:val="000D4D60"/>
    <w:rsid w:val="00110C5C"/>
    <w:rsid w:val="00164F1B"/>
    <w:rsid w:val="0017550F"/>
    <w:rsid w:val="001A0437"/>
    <w:rsid w:val="001B7DD6"/>
    <w:rsid w:val="001D6C11"/>
    <w:rsid w:val="002233CA"/>
    <w:rsid w:val="00232E24"/>
    <w:rsid w:val="0024535B"/>
    <w:rsid w:val="00247581"/>
    <w:rsid w:val="002A56E6"/>
    <w:rsid w:val="002A7235"/>
    <w:rsid w:val="002C3537"/>
    <w:rsid w:val="00307B02"/>
    <w:rsid w:val="00341BCF"/>
    <w:rsid w:val="00370174"/>
    <w:rsid w:val="00392ADA"/>
    <w:rsid w:val="00396F4D"/>
    <w:rsid w:val="003B34A2"/>
    <w:rsid w:val="004144FA"/>
    <w:rsid w:val="0046346C"/>
    <w:rsid w:val="0048324D"/>
    <w:rsid w:val="0048344A"/>
    <w:rsid w:val="004F7113"/>
    <w:rsid w:val="004F7BA6"/>
    <w:rsid w:val="005B713C"/>
    <w:rsid w:val="005E7914"/>
    <w:rsid w:val="005F2714"/>
    <w:rsid w:val="005F27B2"/>
    <w:rsid w:val="005F6922"/>
    <w:rsid w:val="006039A8"/>
    <w:rsid w:val="0065540D"/>
    <w:rsid w:val="0067627E"/>
    <w:rsid w:val="00686EE2"/>
    <w:rsid w:val="006A1065"/>
    <w:rsid w:val="006B06E7"/>
    <w:rsid w:val="006C24DB"/>
    <w:rsid w:val="007313D7"/>
    <w:rsid w:val="007440AE"/>
    <w:rsid w:val="0078754B"/>
    <w:rsid w:val="00797545"/>
    <w:rsid w:val="007C74B2"/>
    <w:rsid w:val="007F2A48"/>
    <w:rsid w:val="008074EF"/>
    <w:rsid w:val="008178E5"/>
    <w:rsid w:val="00874689"/>
    <w:rsid w:val="00881EFB"/>
    <w:rsid w:val="008B7CCD"/>
    <w:rsid w:val="008D3365"/>
    <w:rsid w:val="00912B17"/>
    <w:rsid w:val="0091702F"/>
    <w:rsid w:val="009704EB"/>
    <w:rsid w:val="009755B8"/>
    <w:rsid w:val="00995E5B"/>
    <w:rsid w:val="009F3D8A"/>
    <w:rsid w:val="00A264B9"/>
    <w:rsid w:val="00A449AE"/>
    <w:rsid w:val="00AE13EC"/>
    <w:rsid w:val="00B25FFC"/>
    <w:rsid w:val="00B45C71"/>
    <w:rsid w:val="00B71C8C"/>
    <w:rsid w:val="00B76DC7"/>
    <w:rsid w:val="00B96FAA"/>
    <w:rsid w:val="00BA7825"/>
    <w:rsid w:val="00BB73D4"/>
    <w:rsid w:val="00C03256"/>
    <w:rsid w:val="00C474A0"/>
    <w:rsid w:val="00C515CC"/>
    <w:rsid w:val="00C65C0A"/>
    <w:rsid w:val="00CC0C20"/>
    <w:rsid w:val="00CD24F0"/>
    <w:rsid w:val="00CE0DFB"/>
    <w:rsid w:val="00CE7A82"/>
    <w:rsid w:val="00D05BD9"/>
    <w:rsid w:val="00D43F6B"/>
    <w:rsid w:val="00D526C7"/>
    <w:rsid w:val="00D639CF"/>
    <w:rsid w:val="00D77B52"/>
    <w:rsid w:val="00DA0149"/>
    <w:rsid w:val="00DB4EE7"/>
    <w:rsid w:val="00DC0087"/>
    <w:rsid w:val="00E626BD"/>
    <w:rsid w:val="00E66E1A"/>
    <w:rsid w:val="00E737A6"/>
    <w:rsid w:val="00E8300C"/>
    <w:rsid w:val="00E87036"/>
    <w:rsid w:val="00EB6C35"/>
    <w:rsid w:val="00EE66E9"/>
    <w:rsid w:val="00F0131A"/>
    <w:rsid w:val="00F15AC5"/>
    <w:rsid w:val="00F15EAA"/>
    <w:rsid w:val="00F2477F"/>
    <w:rsid w:val="00F515A3"/>
    <w:rsid w:val="00F81BF9"/>
    <w:rsid w:val="00F85AFB"/>
    <w:rsid w:val="00F87551"/>
    <w:rsid w:val="00F93A4F"/>
    <w:rsid w:val="00FA789B"/>
    <w:rsid w:val="00FC10E0"/>
    <w:rsid w:val="00FC19CF"/>
    <w:rsid w:val="00FD00FD"/>
    <w:rsid w:val="00FE4125"/>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D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6C24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45C71"/>
    <w:rPr>
      <w:sz w:val="18"/>
      <w:szCs w:val="18"/>
    </w:rPr>
  </w:style>
  <w:style w:type="paragraph" w:styleId="Footer">
    <w:name w:val="footer"/>
    <w:basedOn w:val="Normal"/>
    <w:link w:val="FooterChar"/>
    <w:uiPriority w:val="99"/>
    <w:unhideWhenUsed/>
    <w:rsid w:val="00B45C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45C71"/>
    <w:rPr>
      <w:sz w:val="18"/>
      <w:szCs w:val="18"/>
    </w:rPr>
  </w:style>
  <w:style w:type="paragraph" w:styleId="BalloonText">
    <w:name w:val="Balloon Text"/>
    <w:basedOn w:val="Normal"/>
    <w:link w:val="BalloonTextChar"/>
    <w:uiPriority w:val="99"/>
    <w:semiHidden/>
    <w:unhideWhenUsed/>
    <w:rsid w:val="00B45C71"/>
    <w:rPr>
      <w:sz w:val="18"/>
      <w:szCs w:val="18"/>
    </w:rPr>
  </w:style>
  <w:style w:type="character" w:customStyle="1" w:styleId="BalloonTextChar">
    <w:name w:val="Balloon Text Char"/>
    <w:basedOn w:val="DefaultParagraphFont"/>
    <w:link w:val="BalloonText"/>
    <w:uiPriority w:val="99"/>
    <w:semiHidden/>
    <w:rsid w:val="00B45C71"/>
    <w:rPr>
      <w:sz w:val="18"/>
      <w:szCs w:val="18"/>
    </w:rPr>
  </w:style>
  <w:style w:type="paragraph" w:styleId="NormalWeb">
    <w:name w:val="Normal (Web)"/>
    <w:basedOn w:val="Normal"/>
    <w:uiPriority w:val="99"/>
    <w:semiHidden/>
    <w:unhideWhenUsed/>
    <w:rsid w:val="00B45C71"/>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aliases w:val="ECC Hyperlink"/>
    <w:basedOn w:val="DefaultParagraphFont"/>
    <w:uiPriority w:val="99"/>
    <w:unhideWhenUsed/>
    <w:rsid w:val="00912B17"/>
    <w:rPr>
      <w:color w:val="0563C1" w:themeColor="hyperlink"/>
      <w:u w:val="single"/>
    </w:rPr>
  </w:style>
  <w:style w:type="paragraph" w:styleId="ListParagraph">
    <w:name w:val="List Paragraph"/>
    <w:basedOn w:val="Normal"/>
    <w:uiPriority w:val="34"/>
    <w:qFormat/>
    <w:rsid w:val="00912B17"/>
    <w:pPr>
      <w:ind w:firstLineChars="200" w:firstLine="420"/>
    </w:pPr>
  </w:style>
  <w:style w:type="character" w:styleId="UnresolvedMention">
    <w:name w:val="Unresolved Mention"/>
    <w:basedOn w:val="DefaultParagraphFont"/>
    <w:uiPriority w:val="99"/>
    <w:semiHidden/>
    <w:unhideWhenUsed/>
    <w:rsid w:val="00912B17"/>
    <w:rPr>
      <w:color w:val="605E5C"/>
      <w:shd w:val="clear" w:color="auto" w:fill="E1DFDD"/>
    </w:rPr>
  </w:style>
  <w:style w:type="character" w:styleId="FollowedHyperlink">
    <w:name w:val="FollowedHyperlink"/>
    <w:basedOn w:val="DefaultParagraphFont"/>
    <w:uiPriority w:val="99"/>
    <w:semiHidden/>
    <w:unhideWhenUsed/>
    <w:rsid w:val="00FF6598"/>
    <w:rPr>
      <w:color w:val="954F72" w:themeColor="followedHyperlink"/>
      <w:u w:val="single"/>
    </w:rPr>
  </w:style>
  <w:style w:type="paragraph" w:styleId="Revision">
    <w:name w:val="Revision"/>
    <w:hidden/>
    <w:uiPriority w:val="99"/>
    <w:semiHidden/>
    <w:rsid w:val="001A0437"/>
  </w:style>
  <w:style w:type="character" w:styleId="CommentReference">
    <w:name w:val="annotation reference"/>
    <w:basedOn w:val="DefaultParagraphFont"/>
    <w:uiPriority w:val="99"/>
    <w:semiHidden/>
    <w:unhideWhenUsed/>
    <w:rsid w:val="00C03256"/>
    <w:rPr>
      <w:sz w:val="16"/>
      <w:szCs w:val="16"/>
    </w:rPr>
  </w:style>
  <w:style w:type="paragraph" w:styleId="CommentText">
    <w:name w:val="annotation text"/>
    <w:basedOn w:val="Normal"/>
    <w:link w:val="CommentTextChar"/>
    <w:uiPriority w:val="99"/>
    <w:unhideWhenUsed/>
    <w:rsid w:val="00C03256"/>
    <w:rPr>
      <w:sz w:val="20"/>
      <w:szCs w:val="20"/>
    </w:rPr>
  </w:style>
  <w:style w:type="character" w:customStyle="1" w:styleId="CommentTextChar">
    <w:name w:val="Comment Text Char"/>
    <w:basedOn w:val="DefaultParagraphFont"/>
    <w:link w:val="CommentText"/>
    <w:uiPriority w:val="99"/>
    <w:rsid w:val="00C03256"/>
    <w:rPr>
      <w:sz w:val="20"/>
      <w:szCs w:val="20"/>
    </w:rPr>
  </w:style>
  <w:style w:type="paragraph" w:styleId="CommentSubject">
    <w:name w:val="annotation subject"/>
    <w:basedOn w:val="CommentText"/>
    <w:next w:val="CommentText"/>
    <w:link w:val="CommentSubjectChar"/>
    <w:uiPriority w:val="99"/>
    <w:semiHidden/>
    <w:unhideWhenUsed/>
    <w:rsid w:val="00C03256"/>
    <w:rPr>
      <w:b/>
      <w:bCs/>
    </w:rPr>
  </w:style>
  <w:style w:type="character" w:customStyle="1" w:styleId="CommentSubjectChar">
    <w:name w:val="Comment Subject Char"/>
    <w:basedOn w:val="CommentTextChar"/>
    <w:link w:val="CommentSubject"/>
    <w:uiPriority w:val="99"/>
    <w:semiHidden/>
    <w:rsid w:val="00C03256"/>
    <w:rPr>
      <w:b/>
      <w:bCs/>
      <w:sz w:val="20"/>
      <w:szCs w:val="20"/>
    </w:rPr>
  </w:style>
  <w:style w:type="paragraph" w:customStyle="1" w:styleId="T1">
    <w:name w:val="T1"/>
    <w:basedOn w:val="Normal"/>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 w:type="table" w:styleId="TableGrid">
    <w:name w:val="Table Grid"/>
    <w:basedOn w:val="TableNormal"/>
    <w:uiPriority w:val="39"/>
    <w:rsid w:val="0065540D"/>
    <w:rPr>
      <w:rFonts w:eastAsiaTheme="minorHAns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540D"/>
    <w:pPr>
      <w:widowControl/>
      <w:jc w:val="left"/>
    </w:pPr>
    <w:rPr>
      <w:rFonts w:eastAsiaTheme="minorHAnsi"/>
      <w:kern w:val="0"/>
      <w:sz w:val="20"/>
      <w:szCs w:val="20"/>
      <w:lang w:val="en-GB" w:eastAsia="en-US"/>
    </w:rPr>
  </w:style>
  <w:style w:type="character" w:customStyle="1" w:styleId="FootnoteTextChar">
    <w:name w:val="Footnote Text Char"/>
    <w:basedOn w:val="DefaultParagraphFont"/>
    <w:link w:val="FootnoteText"/>
    <w:uiPriority w:val="99"/>
    <w:semiHidden/>
    <w:rsid w:val="0065540D"/>
    <w:rPr>
      <w:rFonts w:eastAsiaTheme="minorHAnsi"/>
      <w:kern w:val="0"/>
      <w:sz w:val="20"/>
      <w:szCs w:val="20"/>
      <w:lang w:val="en-GB" w:eastAsia="en-US"/>
    </w:rPr>
  </w:style>
  <w:style w:type="character" w:styleId="FootnoteReference">
    <w:name w:val="footnote reference"/>
    <w:basedOn w:val="DefaultParagraphFont"/>
    <w:uiPriority w:val="99"/>
    <w:semiHidden/>
    <w:unhideWhenUsed/>
    <w:rsid w:val="0065540D"/>
    <w:rPr>
      <w:vertAlign w:val="superscript"/>
    </w:rPr>
  </w:style>
  <w:style w:type="character" w:customStyle="1" w:styleId="Heading2Char">
    <w:name w:val="Heading 2 Char"/>
    <w:basedOn w:val="DefaultParagraphFont"/>
    <w:link w:val="Heading2"/>
    <w:uiPriority w:val="9"/>
    <w:rsid w:val="006C24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23-02-04ab-china-miit-s-consultation-on-uwb.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ntor.ieee.org/802.15/dcn/23/15-23-0023-02-04ab-china-miit-s-consultation-on-uwb.ppt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12C1-D696-4A24-83F7-064C86BB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2023-01-19T12:54:00Z</dcterms:created>
  <dcterms:modified xsi:type="dcterms:W3CDTF">2023-01-19T12:54:00Z</dcterms:modified>
</cp:coreProperties>
</file>