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8 December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1</w:t>
            </w:r>
            <w:r>
              <w:rPr>
                <w:b w:val="false"/>
                <w:sz w:val="20"/>
              </w:rPr>
              <w:t>4</w:t>
            </w:r>
            <w:r>
              <w:rPr>
                <w:b w:val="false"/>
                <w:sz w:val="20"/>
              </w:rPr>
              <w:t xml:space="preserve"> December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6B8F44B">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8 December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p>
                            <w:pPr>
                              <w:pStyle w:val="Raminnehll"/>
                              <w:rPr/>
                            </w:pPr>
                            <w:r>
                              <w:rPr/>
                            </w:r>
                          </w:p>
                          <w:p>
                            <w:pPr>
                              <w:pStyle w:val="Raminnehll"/>
                              <w:rPr/>
                            </w:pPr>
                            <w:r>
                              <w:rPr/>
                              <w:t>r1: corrected attendance report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6B8F44B">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8 December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p>
                      <w:pPr>
                        <w:pStyle w:val="Raminnehll"/>
                        <w:rPr/>
                      </w:pPr>
                      <w:r>
                        <w:rPr/>
                      </w:r>
                    </w:p>
                    <w:p>
                      <w:pPr>
                        <w:pStyle w:val="Raminnehll"/>
                        <w:rPr/>
                      </w:pPr>
                      <w:r>
                        <w:rPr/>
                        <w:t>r1: corrected attendance report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w:t>
      </w:r>
      <w:r>
        <w:rPr>
          <w:sz w:val="24"/>
          <w:szCs w:val="24"/>
          <w:shd w:fill="auto" w:val="clear"/>
        </w:rPr>
        <w:t>y 8 Dec 2022, 15:00 ET.</w:t>
      </w:r>
      <w:r>
        <w:rPr>
          <w:sz w:val="24"/>
          <w:szCs w:val="24"/>
        </w:rPr>
        <w:br/>
      </w:r>
    </w:p>
    <w:p>
      <w:pPr>
        <w:pStyle w:val="Normal"/>
        <w:numPr>
          <w:ilvl w:val="0"/>
          <w:numId w:val="1"/>
        </w:numPr>
        <w:spacing w:before="0" w:after="0"/>
        <w:contextualSpacing/>
        <w:rPr/>
      </w:pPr>
      <w:r>
        <w:rPr>
          <w:sz w:val="24"/>
          <w:szCs w:val="24"/>
        </w:rPr>
        <w:t>Chair calls the meeting to order at 15:01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color w:val="0563C1" w:themeColor="hyperlink"/>
            <w:sz w:val="24"/>
            <w:szCs w:val="24"/>
          </w:rPr>
          <w:t>18-22/0150r1</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sz w:val="24"/>
          <w:szCs w:val="24"/>
        </w:rPr>
        <w:t xml:space="preserve">  </w:t>
      </w:r>
      <w:r>
        <w:rPr>
          <w:sz w:val="24"/>
          <w:szCs w:val="24"/>
        </w:rPr>
        <w:t xml:space="preserve">Voters:  49 (8 on LMSC) </w:t>
      </w:r>
    </w:p>
    <w:p>
      <w:pPr>
        <w:pStyle w:val="Normal"/>
        <w:numPr>
          <w:ilvl w:val="2"/>
          <w:numId w:val="1"/>
        </w:numPr>
        <w:spacing w:before="0" w:after="0"/>
        <w:contextualSpacing/>
        <w:rPr/>
      </w:pPr>
      <w:r>
        <w:rPr>
          <w:sz w:val="24"/>
          <w:szCs w:val="24"/>
        </w:rPr>
        <w:t xml:space="preserve">  </w:t>
      </w:r>
      <w:r>
        <w:rPr>
          <w:sz w:val="24"/>
          <w:szCs w:val="24"/>
        </w:rPr>
        <w:t>Nearly Voters: 3</w:t>
      </w:r>
    </w:p>
    <w:p>
      <w:pPr>
        <w:pStyle w:val="Normal"/>
        <w:numPr>
          <w:ilvl w:val="2"/>
          <w:numId w:val="1"/>
        </w:numPr>
        <w:spacing w:before="0" w:after="0"/>
        <w:contextualSpacing/>
        <w:rPr/>
      </w:pPr>
      <w:r>
        <w:rPr>
          <w:sz w:val="24"/>
          <w:szCs w:val="24"/>
        </w:rPr>
        <w:t xml:space="preserve">  </w:t>
      </w:r>
      <w:r>
        <w:rPr>
          <w:sz w:val="24"/>
          <w:szCs w:val="24"/>
        </w:rPr>
        <w:t>Aspirant members:  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 xml:space="preserve">Chair presents the agenda (slide #9). </w:t>
      </w:r>
      <w:r>
        <w:rPr>
          <w:i w:val="false"/>
          <w:iCs w:val="false"/>
          <w:sz w:val="24"/>
          <w:szCs w:val="24"/>
        </w:rPr>
        <w:t>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Amelia Andersdotter</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Chair presented draft meeting minutes from 1 December 2022 RR-TAG weekly teleconference. No one had questions or comments.</w:t>
        <w:br/>
      </w:r>
      <w:r>
        <w:rPr>
          <w:b/>
          <w:bCs/>
          <w:sz w:val="24"/>
          <w:szCs w:val="24"/>
        </w:rPr>
        <w:br/>
        <w:t>Motion #2 (internal):</w:t>
      </w:r>
      <w:r>
        <w:rPr>
          <w:sz w:val="24"/>
          <w:szCs w:val="24"/>
        </w:rPr>
        <w:t xml:space="preserve"> To approve the weekly meeting minutes of the 1 December 2022 RR-TAG call as shown in the document </w:t>
      </w:r>
      <w:hyperlink r:id="rId8">
        <w:r>
          <w:rPr>
            <w:rStyle w:val="InternetLink"/>
            <w:color w:val="0563C1" w:themeColor="hyperlink"/>
            <w:sz w:val="24"/>
            <w:szCs w:val="24"/>
            <w:u w:val="none"/>
          </w:rPr>
          <w:t>18-22/0151r0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Amelia Andersdotter</w:t>
      </w:r>
    </w:p>
    <w:p>
      <w:pPr>
        <w:pStyle w:val="Normal"/>
        <w:spacing w:before="0" w:after="0"/>
        <w:ind w:left="1440" w:hanging="0"/>
        <w:contextualSpacing/>
        <w:rPr/>
      </w:pPr>
      <w:r>
        <w:rPr>
          <w:sz w:val="24"/>
          <w:szCs w:val="24"/>
        </w:rPr>
        <w:t>Seconded by:  Mike Lynch</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r>
      <w:r>
        <w:rPr>
          <w:b w:val="false"/>
          <w:bCs w:val="false"/>
          <w:sz w:val="24"/>
          <w:szCs w:val="24"/>
        </w:rPr>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9">
        <w:r>
          <w:rPr>
            <w:rStyle w:val="InternetLink"/>
            <w:sz w:val="24"/>
            <w:szCs w:val="24"/>
          </w:rPr>
          <w:t>18-22-0035r49</w:t>
        </w:r>
      </w:hyperlink>
      <w:r>
        <w:rPr>
          <w:sz w:val="24"/>
          <w:szCs w:val="24"/>
        </w:rPr>
        <w:t>), Edward Au (Chair)</w:t>
        <w:br/>
        <w:br/>
      </w:r>
      <w:r>
        <w:rPr/>
        <w:t>The Chair reminded the group of the submission deadline for the consultations.</w:t>
        <w:br/>
      </w:r>
    </w:p>
    <w:p>
      <w:pPr>
        <w:pStyle w:val="ListParagraph"/>
        <w:numPr>
          <w:ilvl w:val="0"/>
          <w:numId w:val="1"/>
        </w:numPr>
        <w:spacing w:before="0" w:after="0"/>
        <w:contextualSpacing/>
        <w:rPr/>
      </w:pPr>
      <w:r>
        <w:rPr>
          <w:b/>
          <w:sz w:val="24"/>
          <w:szCs w:val="24"/>
        </w:rPr>
        <w:t xml:space="preserve">2022 Dec 802 LMSC Response to Japan MIC </w:t>
      </w:r>
      <w:r>
        <w:rPr>
          <w:b w:val="false"/>
          <w:bCs w:val="false"/>
          <w:sz w:val="24"/>
          <w:szCs w:val="24"/>
        </w:rPr>
        <w:t>(</w:t>
      </w:r>
      <w:hyperlink r:id="rId10">
        <w:r>
          <w:rPr>
            <w:rStyle w:val="InternetLink"/>
            <w:b w:val="false"/>
            <w:bCs w:val="false"/>
            <w:sz w:val="24"/>
            <w:szCs w:val="24"/>
          </w:rPr>
          <w:t>18-22-0152r1</w:t>
        </w:r>
      </w:hyperlink>
      <w:r>
        <w:rPr>
          <w:b w:val="false"/>
          <w:bCs w:val="false"/>
          <w:sz w:val="24"/>
          <w:szCs w:val="24"/>
        </w:rPr>
        <w:t>), Clint Powell (Meta Platforms)</w:t>
        <w:br/>
        <w:br/>
        <w:t>The 802.15 group captured inputs from contributors with view on the Japanese MIC proposals for WRC-23 preparations. The 802.11 group also captured inputs from contributors on the 6 GHz bands based on documents previously approved by the LMSC.</w:t>
        <w:br/>
        <w:br/>
        <w:t xml:space="preserve">Discussion on the order in which concerns on agenda item 1.2 (IMT identification) is raised with Japanese MIC. There is agreement the IEEE 802.11 IMT identification concern is of higher priority than BANs. Some clarification of the requests by IEEE 802.15 to MIC. </w:t>
        <w:br/>
        <w:br/>
      </w:r>
      <w:r>
        <w:rPr>
          <w:b w:val="false"/>
          <w:bCs w:val="false"/>
          <w:sz w:val="24"/>
          <w:szCs w:val="24"/>
          <w:shd w:fill="FFFF00" w:val="clear"/>
        </w:rPr>
        <w:t xml:space="preserve">Chair will work with 802.11 and 802.15 Chairs to develop the document further ahead of the LMSC meeting. </w:t>
      </w:r>
      <w:r>
        <w:rPr>
          <w:b w:val="false"/>
          <w:bCs w:val="false"/>
          <w:sz w:val="24"/>
          <w:szCs w:val="24"/>
        </w:rPr>
        <w:t>Additional points to be introduced include the already existing use of 802.15 technologies in the automotive sector, and the decision by Korea MSIT to allocate the entire 6 GHz band to WLAN technologies.</w:t>
        <w:br/>
        <w:br/>
      </w:r>
      <w:r>
        <w:rPr>
          <w:b/>
          <w:bCs/>
          <w:sz w:val="24"/>
          <w:szCs w:val="24"/>
        </w:rPr>
        <w:t xml:space="preserve">Motion #3 (External): </w:t>
      </w:r>
      <w:r>
        <w:rPr>
          <w:b w:val="false"/>
          <w:bCs w:val="false"/>
          <w:sz w:val="24"/>
          <w:szCs w:val="24"/>
        </w:rPr>
        <w:t xml:space="preserve"> Move to approve document 18-22/0152r2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br/>
        <w:tab/>
        <w:t>Moved by: Amelia Andersdotter</w:t>
        <w:br/>
        <w:tab/>
        <w:t>Seconded by: Mike Lynch</w:t>
        <w:br/>
        <w:tab/>
        <w:t>Discussion:</w:t>
        <w:br/>
        <w:tab/>
        <w:tab/>
      </w:r>
      <w:r>
        <w:rPr>
          <w:b/>
          <w:bCs/>
          <w:sz w:val="24"/>
          <w:szCs w:val="24"/>
        </w:rPr>
        <w:t>C:</w:t>
      </w:r>
      <w:r>
        <w:rPr>
          <w:b w:val="false"/>
          <w:bCs w:val="false"/>
          <w:sz w:val="24"/>
          <w:szCs w:val="24"/>
        </w:rPr>
        <w:t xml:space="preserve"> Is it clear that this captures coordination between the IEEE 802.18 Chair and the Chairs of IEEE 802.11 and 802.15?</w:t>
        <w:br/>
        <w:tab/>
        <w:tab/>
      </w:r>
      <w:r>
        <w:rPr>
          <w:b/>
          <w:bCs/>
          <w:sz w:val="24"/>
          <w:szCs w:val="24"/>
        </w:rPr>
        <w:t>C:</w:t>
      </w:r>
      <w:r>
        <w:rPr>
          <w:b w:val="false"/>
          <w:bCs w:val="false"/>
          <w:sz w:val="24"/>
          <w:szCs w:val="24"/>
        </w:rPr>
        <w:t xml:space="preserve"> Yes, it is clear.</w:t>
        <w:br/>
        <w:tab/>
        <w:t>Attendees: 18</w:t>
        <w:br/>
        <w:tab/>
        <w:t>Voters (present) : 16</w:t>
        <w:br/>
        <w:tab/>
        <w:t>Result: 9 Y, 1 N, 3 A (motion passes)</w:t>
        <w:br/>
        <w:tab/>
        <w:t>Remarks: The chair did not vote.</w:t>
        <w:br/>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b w:val="false"/>
          <w:bCs w:val="false"/>
          <w:sz w:val="24"/>
          <w:szCs w:val="24"/>
        </w:rPr>
        <w:t>UK Ofcom has published its position ahead of WRC-23. They now publicly support a "no change" position on the upper 6 GHz (no IMT identification).</w:t>
      </w:r>
      <w:r>
        <w:rPr>
          <w:sz w:val="24"/>
          <w:szCs w:val="24"/>
        </w:rPr>
        <w:br/>
      </w:r>
    </w:p>
    <w:p>
      <w:pPr>
        <w:pStyle w:val="ListParagraph"/>
        <w:numPr>
          <w:ilvl w:val="1"/>
          <w:numId w:val="1"/>
        </w:numPr>
        <w:spacing w:before="0" w:after="0"/>
        <w:contextualSpacing/>
        <w:rPr/>
      </w:pPr>
      <w:r>
        <w:rPr>
          <w:b/>
          <w:bCs/>
          <w:sz w:val="24"/>
          <w:szCs w:val="24"/>
        </w:rPr>
        <w:t>Americas</w:t>
      </w:r>
      <w:r>
        <w:rPr>
          <w:sz w:val="24"/>
          <w:szCs w:val="24"/>
        </w:rPr>
        <w:br/>
        <w:br/>
        <w:t>The FCC open commission meeting is scheduled for 10:30AM ET on 21 December 2022.</w:t>
      </w:r>
    </w:p>
    <w:p>
      <w:pPr>
        <w:pStyle w:val="ListParagraph"/>
        <w:spacing w:before="0" w:after="0"/>
        <w:contextualSpacing/>
        <w:rPr/>
      </w:pPr>
      <w:r>
        <w:rPr/>
      </w:r>
    </w:p>
    <w:p>
      <w:pPr>
        <w:pStyle w:val="ListParagraph"/>
        <w:numPr>
          <w:ilvl w:val="1"/>
          <w:numId w:val="1"/>
        </w:numPr>
        <w:spacing w:before="0" w:after="0"/>
        <w:contextualSpacing/>
        <w:rPr/>
      </w:pPr>
      <w:r>
        <w:rPr>
          <w:b/>
          <w:bCs/>
          <w:sz w:val="24"/>
          <w:szCs w:val="24"/>
        </w:rPr>
        <w:t>Asia-Pacific</w:t>
      </w:r>
    </w:p>
    <w:p>
      <w:pPr>
        <w:pStyle w:val="ListParagraph"/>
        <w:rPr>
          <w:sz w:val="24"/>
          <w:szCs w:val="24"/>
        </w:rPr>
      </w:pPr>
      <w:r>
        <w:rPr>
          <w:sz w:val="24"/>
          <w:szCs w:val="24"/>
        </w:rPr>
      </w:r>
    </w:p>
    <w:p>
      <w:pPr>
        <w:pStyle w:val="ListParagraph"/>
        <w:rPr/>
      </w:pPr>
      <w:r>
        <w:rPr>
          <w:sz w:val="24"/>
          <w:szCs w:val="24"/>
        </w:rPr>
        <w:br/>
      </w:r>
    </w:p>
    <w:p>
      <w:pPr>
        <w:pStyle w:val="ListParagraph"/>
        <w:numPr>
          <w:ilvl w:val="1"/>
          <w:numId w:val="1"/>
        </w:numPr>
        <w:spacing w:before="0" w:after="0"/>
        <w:contextualSpacing/>
        <w:rPr/>
      </w:pPr>
      <w:r>
        <w:rPr>
          <w:b/>
          <w:bCs/>
          <w:sz w:val="24"/>
          <w:szCs w:val="24"/>
        </w:rPr>
        <w:t>Other countries or regions?</w:t>
      </w:r>
      <w:r>
        <w:rPr>
          <w:sz w:val="24"/>
          <w:szCs w:val="24"/>
        </w:rPr>
        <w:br/>
        <w:br/>
        <w:t>No updates.</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The ISUS Ad-hoc call will proceed on 9 December 2022.</w:t>
        <w:br/>
        <w:br/>
        <w:t>The regular weekly teleconference call will take place on 15 December 2022.</w:t>
        <w:br/>
        <w:br/>
        <w:t xml:space="preserve">Reminder of IEEE 802 Wireless Interim meeting in Baltimore, Maryland, US has an early-bird registration deadline of 9 December 2022. </w:t>
      </w:r>
      <w:r>
        <w:rPr>
          <w:b/>
          <w:sz w:val="24"/>
          <w:szCs w:val="24"/>
        </w:rPr>
        <w:br/>
      </w:r>
    </w:p>
    <w:p>
      <w:pPr>
        <w:pStyle w:val="Normal"/>
        <w:numPr>
          <w:ilvl w:val="0"/>
          <w:numId w:val="1"/>
        </w:numPr>
        <w:spacing w:before="0" w:after="0"/>
        <w:contextualSpacing/>
        <w:rPr/>
      </w:pPr>
      <w:r>
        <w:rPr>
          <w:b/>
          <w:sz w:val="24"/>
          <w:szCs w:val="24"/>
        </w:rPr>
        <w:t>Any other business</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pPr>
      <w:r>
        <w:rPr>
          <w:sz w:val="24"/>
          <w:szCs w:val="24"/>
        </w:rPr>
        <w:t>Chair called for AOB.  None heard.</w:t>
        <w:br/>
      </w:r>
    </w:p>
    <w:p>
      <w:pPr>
        <w:pStyle w:val="Normal"/>
        <w:numPr>
          <w:ilvl w:val="0"/>
          <w:numId w:val="1"/>
        </w:numPr>
        <w:spacing w:before="0" w:after="0"/>
        <w:contextualSpacing/>
        <w:rPr/>
      </w:pPr>
      <w:r>
        <w:rPr>
          <w:b/>
          <w:sz w:val="24"/>
          <w:szCs w:val="24"/>
        </w:rPr>
        <w:t>Final administrative items</w:t>
      </w:r>
    </w:p>
    <w:p>
      <w:pPr>
        <w:pStyle w:val="Normal"/>
        <w:spacing w:before="0" w:after="0"/>
        <w:ind w:left="720" w:hanging="0"/>
        <w:contextualSpacing/>
        <w:rPr/>
      </w:pPr>
      <w:r>
        <w:rPr>
          <w:color w:val="000000"/>
          <w:sz w:val="24"/>
          <w:szCs w:val="24"/>
        </w:rPr>
        <w:t>1</w:t>
      </w:r>
      <w:r>
        <w:rPr>
          <w:color w:val="000000"/>
          <w:sz w:val="24"/>
          <w:szCs w:val="24"/>
        </w:rPr>
        <w:t>8</w:t>
      </w:r>
      <w:r>
        <w:rPr>
          <w:color w:val="000000"/>
          <w:sz w:val="24"/>
          <w:szCs w:val="24"/>
        </w:rPr>
        <w:t xml:space="preserve"> attendees, 1</w:t>
      </w:r>
      <w:r>
        <w:rPr>
          <w:color w:val="000000"/>
          <w:sz w:val="24"/>
          <w:szCs w:val="24"/>
        </w:rPr>
        <w:t>6</w:t>
      </w:r>
      <w:r>
        <w:rPr>
          <w:color w:val="000000"/>
          <w:sz w:val="24"/>
          <w:szCs w:val="24"/>
        </w:rPr>
        <w:t xml:space="preserve"> voters (including the chair) [Report by Stuart Kerry]. </w:t>
      </w:r>
    </w:p>
    <w:p>
      <w:pPr>
        <w:pStyle w:val="Normal"/>
        <w:numPr>
          <w:ilvl w:val="1"/>
          <w:numId w:val="1"/>
        </w:numPr>
        <w:spacing w:before="0" w:after="0"/>
        <w:contextualSpacing/>
        <w:rPr/>
      </w:pPr>
      <w:r>
        <w:rPr>
          <w:color w:val="000000"/>
          <w:sz w:val="24"/>
          <w:szCs w:val="24"/>
        </w:rPr>
        <w:t xml:space="preserve">Next 802.18 weekly teleconference is scheduled for 15 Dec 2022, 15:00 ET. Next 802.18 plenary in-person and teleconference calls scheduled for week: 15 Jan to 20 Jan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https://mentor.ieee.org/802.18/dcn/16/18-16-0038-29-0000-teleconference-call-in-info.pptx</w:t>
      </w:r>
    </w:p>
    <w:p>
      <w:pPr>
        <w:pStyle w:val="Normal"/>
        <w:numPr>
          <w:ilvl w:val="3"/>
          <w:numId w:val="1"/>
        </w:numPr>
        <w:spacing w:before="0" w:after="0"/>
        <w:contextualSpacing/>
        <w:rPr/>
      </w:pPr>
      <w:r>
        <w:rPr>
          <w:color w:val="000000"/>
          <w:sz w:val="24"/>
          <w:szCs w:val="24"/>
        </w:rPr>
        <w:t xml:space="preserve">IEEE 802 Wireless Interim meeting is 15-20 January 2022 in Baltimore, Maryland, US.  </w:t>
      </w:r>
    </w:p>
    <w:p>
      <w:pPr>
        <w:pStyle w:val="Normal"/>
        <w:numPr>
          <w:ilvl w:val="3"/>
          <w:numId w:val="1"/>
        </w:numPr>
        <w:spacing w:before="0" w:after="0"/>
        <w:contextualSpacing/>
        <w:rPr/>
      </w:pPr>
      <w:r>
        <w:rPr>
          <w:color w:val="000000"/>
          <w:sz w:val="24"/>
          <w:szCs w:val="24"/>
        </w:rPr>
        <w:t xml:space="preserve">Currently, RR-TAG weekly teleconferences are scheduled until 25 May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15:45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tbl>
      <w:tblPr>
        <w:tblW w:w="5000" w:type="pct"/>
        <w:jc w:val="left"/>
        <w:tblInd w:w="0" w:type="dxa"/>
        <w:tblLayout w:type="fixed"/>
        <w:tblCellMar>
          <w:top w:w="0" w:type="dxa"/>
          <w:left w:w="0" w:type="dxa"/>
          <w:bottom w:w="0" w:type="dxa"/>
          <w:right w:w="0" w:type="dxa"/>
        </w:tblCellMar>
      </w:tblPr>
      <w:tblGrid>
        <w:gridCol w:w="232"/>
        <w:gridCol w:w="1261"/>
        <w:gridCol w:w="2376"/>
        <w:gridCol w:w="5310"/>
        <w:gridCol w:w="901"/>
      </w:tblGrid>
      <w:tr>
        <w:trPr/>
        <w:tc>
          <w:tcPr>
            <w:tcW w:w="9179" w:type="dxa"/>
            <w:gridSpan w:val="4"/>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Voting Attendees:</w:t>
            </w:r>
          </w:p>
        </w:tc>
        <w:tc>
          <w:tcPr>
            <w:tcW w:w="901" w:type="dxa"/>
            <w:tcBorders/>
            <w:vAlign w:val="center"/>
          </w:tcPr>
          <w:p>
            <w:pPr>
              <w:pStyle w:val="TableContents"/>
              <w:widowControl w:val="false"/>
              <w:spacing w:before="0" w:after="0"/>
              <w:jc w:val="center"/>
              <w:rPr>
                <w:rFonts w:ascii="Arial;sans-serif" w:hAnsi="Arial;sans-serif"/>
                <w:b/>
                <w:b/>
                <w:sz w:val="20"/>
              </w:rPr>
            </w:pPr>
            <w:r>
              <w:rPr>
                <w:rFonts w:ascii="Arial;sans-serif" w:hAnsi="Arial;sans-serif"/>
                <w:b/>
                <w:sz w:val="20"/>
              </w:rPr>
              <w:t>8-Dec</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Andersdotter</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Amelia</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Sky Group/Comcast</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Au</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Edward (Kwok Shum)</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Huawei Technologies Co., Ltd</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3</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Auluck</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Vijay</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Self</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4</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Boldy</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David</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Broadcom Corporation</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5</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Fang</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Yonggang</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MediaTek</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6</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Holcomb</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Jay</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Self</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7</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Jeffries</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Timothy</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FutureWei Technologies, Inc.</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8</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Kain</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Carl</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USDOT, Noblis, Inc.</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9</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Kerry</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Stuart</w:t>
            </w:r>
          </w:p>
        </w:tc>
        <w:tc>
          <w:tcPr>
            <w:tcW w:w="5310" w:type="dxa"/>
            <w:tcBorders/>
            <w:vAlign w:val="center"/>
          </w:tcPr>
          <w:p>
            <w:pPr>
              <w:pStyle w:val="TableContents"/>
              <w:widowControl w:val="false"/>
              <w:spacing w:before="0" w:after="0"/>
              <w:rPr/>
            </w:pPr>
            <w:r>
              <w:rPr>
                <w:rFonts w:ascii="Arial;sans-serif" w:hAnsi="Arial;sans-serif"/>
                <w:sz w:val="20"/>
              </w:rPr>
              <w:t>OK</w:t>
            </w:r>
            <w:r>
              <w:rPr/>
              <w:t>‐</w:t>
            </w:r>
            <w:r>
              <w:rPr>
                <w:rFonts w:ascii="Arial;sans-serif" w:hAnsi="Arial;sans-serif"/>
                <w:sz w:val="20"/>
              </w:rPr>
              <w:t>Brit, Self</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10</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Levy</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Joseph</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InterDigital, Inc.</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11</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Lynch</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Michael</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MJ Lynch &amp; Associates, LLC.</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12</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Petrick</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Al</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Skyworks Solutions Inc.</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13</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Powell</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Clint</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Meta Platforms, Inc.; Powell Wireless Commsulting, LLC</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14</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Scott</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Andy</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NCTA – The Internet &amp; Television Association</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15</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Stanley</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Dorothy</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Hewlett Packard Enterprise</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16</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Ward</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Lisa</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Rohde &amp; Schwarz</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rPr>
                <w:sz w:val="4"/>
                <w:szCs w:val="4"/>
              </w:rPr>
            </w:pPr>
            <w:r>
              <w:rPr>
                <w:sz w:val="4"/>
                <w:szCs w:val="4"/>
              </w:rPr>
            </w:r>
          </w:p>
        </w:tc>
        <w:tc>
          <w:tcPr>
            <w:tcW w:w="1261" w:type="dxa"/>
            <w:tcBorders/>
            <w:vAlign w:val="center"/>
          </w:tcPr>
          <w:p>
            <w:pPr>
              <w:pStyle w:val="TableContents"/>
              <w:widowControl w:val="false"/>
              <w:rPr>
                <w:sz w:val="4"/>
                <w:szCs w:val="4"/>
              </w:rPr>
            </w:pPr>
            <w:r>
              <w:rPr>
                <w:sz w:val="4"/>
                <w:szCs w:val="4"/>
              </w:rPr>
            </w:r>
          </w:p>
        </w:tc>
        <w:tc>
          <w:tcPr>
            <w:tcW w:w="2376" w:type="dxa"/>
            <w:tcBorders/>
            <w:vAlign w:val="center"/>
          </w:tcPr>
          <w:p>
            <w:pPr>
              <w:pStyle w:val="TableContents"/>
              <w:widowControl w:val="false"/>
              <w:rPr>
                <w:sz w:val="4"/>
                <w:szCs w:val="4"/>
              </w:rPr>
            </w:pPr>
            <w:r>
              <w:rPr>
                <w:sz w:val="4"/>
                <w:szCs w:val="4"/>
              </w:rPr>
            </w:r>
          </w:p>
        </w:tc>
        <w:tc>
          <w:tcPr>
            <w:tcW w:w="5310" w:type="dxa"/>
            <w:tcBorders/>
            <w:vAlign w:val="center"/>
          </w:tcPr>
          <w:p>
            <w:pPr>
              <w:pStyle w:val="TableContents"/>
              <w:widowControl w:val="false"/>
              <w:rPr>
                <w:sz w:val="4"/>
                <w:szCs w:val="4"/>
              </w:rPr>
            </w:pPr>
            <w:r>
              <w:rPr>
                <w:sz w:val="4"/>
                <w:szCs w:val="4"/>
              </w:rPr>
            </w:r>
          </w:p>
        </w:tc>
        <w:tc>
          <w:tcPr>
            <w:tcW w:w="901" w:type="dxa"/>
            <w:tcBorders/>
            <w:vAlign w:val="center"/>
          </w:tcPr>
          <w:p>
            <w:pPr>
              <w:pStyle w:val="TableContents"/>
              <w:widowControl w:val="false"/>
              <w:rPr>
                <w:sz w:val="4"/>
                <w:szCs w:val="4"/>
              </w:rPr>
            </w:pPr>
            <w:r>
              <w:rPr>
                <w:sz w:val="4"/>
                <w:szCs w:val="4"/>
              </w:rPr>
            </w:r>
          </w:p>
        </w:tc>
      </w:tr>
      <w:tr>
        <w:trPr/>
        <w:tc>
          <w:tcPr>
            <w:tcW w:w="9179" w:type="dxa"/>
            <w:gridSpan w:val="4"/>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Non-Voting Attendees:</w:t>
            </w:r>
          </w:p>
        </w:tc>
        <w:tc>
          <w:tcPr>
            <w:tcW w:w="901" w:type="dxa"/>
            <w:tcBorders/>
            <w:vAlign w:val="center"/>
          </w:tcPr>
          <w:p>
            <w:pPr>
              <w:pStyle w:val="TableContents"/>
              <w:widowControl w:val="false"/>
              <w:rPr>
                <w:sz w:val="4"/>
                <w:szCs w:val="4"/>
              </w:rPr>
            </w:pPr>
            <w:r>
              <w:rPr>
                <w:sz w:val="4"/>
                <w:szCs w:val="4"/>
              </w:rPr>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Halasz</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Dave</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Morse Micro</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Riegel</w:t>
            </w:r>
          </w:p>
        </w:tc>
        <w:tc>
          <w:tcPr>
            <w:tcW w:w="2376"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Max</w:t>
            </w:r>
          </w:p>
        </w:tc>
        <w:tc>
          <w:tcPr>
            <w:tcW w:w="5310"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Nokia</w:t>
            </w:r>
          </w:p>
        </w:tc>
        <w:tc>
          <w:tcPr>
            <w:tcW w:w="901"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bl>
    <w:p>
      <w:pPr>
        <w:pStyle w:val="ListParagraph"/>
        <w:ind w:left="0" w:hanging="0"/>
        <w:rPr>
          <w:rFonts w:ascii="Arial" w:hAnsi="Arial" w:eastAsia="Times New Roman" w:cs="Arial"/>
          <w:b/>
          <w:b/>
          <w:bCs/>
          <w:sz w:val="20"/>
          <w:szCs w:val="24"/>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Dec 2022</w:t>
      <w:tab/>
      <w:tab/>
      <w:t>doc.: IEEE 802.18-22-</w:t>
    </w:r>
    <w:r>
      <w:rPr>
        <w:shd w:fill="auto" w:val="clear"/>
      </w:rPr>
      <w:t>0155r</w:t>
    </w:r>
    <w:r>
      <w:rPr>
        <w:shd w:fill="auto" w:val="clea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name w:val="Default Drawing Style"/>
    <w:qFormat/>
    <w:pPr>
      <w:widowControl/>
      <w:suppressAutoHyphens w:val="true"/>
      <w:bidi w:val="0"/>
      <w:spacing w:lineRule="atLeast" w:line="200" w:before="0" w:after="0"/>
      <w:jc w:val="left"/>
    </w:pPr>
    <w:rPr>
      <w:rFonts w:ascii="Noto Sans Devanagari" w:hAnsi="Noto Sans Devanagari" w:eastAsia="Noto Sans" w:cs="Times New Roman"/>
      <w:b w:val="false"/>
      <w:i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Graphic">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ackgroundobjects">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suppressAutoHyphens w:val="true"/>
      <w:bidi w:val="0"/>
      <w:spacing w:before="0" w:after="0"/>
      <w:ind w:left="340" w:hanging="340"/>
      <w:jc w:val="left"/>
    </w:pPr>
    <w:rPr>
      <w:rFonts w:ascii="Noto Sans Devanagari" w:hAnsi="Noto Sans Devanagari" w:eastAsia="Noto Sans" w:cs="Times New Roman"/>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suppressAutoHyphens w:val="true"/>
      <w:bidi w:val="0"/>
      <w:spacing w:lineRule="atLeast" w:line="200" w:before="283" w:after="0"/>
      <w:jc w:val="left"/>
    </w:pPr>
    <w:rPr>
      <w:rFonts w:ascii="Noto Sans Devanagari" w:hAnsi="Noto Sans Devanagari" w:eastAsia="Noto Sans" w:cs="Times New Roman"/>
      <w:b/>
      <w:i w:val="false"/>
      <w:strike w:val="false"/>
      <w:dstrike w:val="false"/>
      <w:outline w:val="false"/>
      <w:shadow w:val="false"/>
      <w:color w:val="000000"/>
      <w:spacing w:val="0"/>
      <w:kern w:val="2"/>
      <w:sz w:val="48"/>
      <w:szCs w:val="24"/>
      <w:u w:val="none"/>
      <w:em w:val="none"/>
      <w:lang w:val="en-US" w:eastAsia="en-US" w:bidi="ar-SA"/>
    </w:rPr>
  </w:style>
  <w:style w:type="paragraph" w:styleId="Outline2">
    <w:name w:val="Outline 2"/>
    <w:basedOn w:val="Outline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36"/>
      <w:u w:val="none"/>
      <w:em w:val="none"/>
    </w:rPr>
  </w:style>
  <w:style w:type="paragraph" w:styleId="Outline3">
    <w:name w:val="Outline 3"/>
    <w:basedOn w:val="Outline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Outline4">
    <w:name w:val="Outline 4"/>
    <w:basedOn w:val="Outline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Outline5">
    <w:name w:val="Outline 5"/>
    <w:basedOn w:val="Outline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50-01-0000-rr-tag-agenda-8-dec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51-00-0000-weekly-teleconference-minutes-1-december-2022.docx" TargetMode="External"/><Relationship Id="rId9" Type="http://schemas.openxmlformats.org/officeDocument/2006/relationships/hyperlink" Target="https://mentor.ieee.org/802.18/dcn/22/18-22-0035-49-0000-status-of-ongoing-consultations-and-tag-documents-for-approval.docx" TargetMode="External"/><Relationship Id="rId10" Type="http://schemas.openxmlformats.org/officeDocument/2006/relationships/hyperlink" Target="https://mentor.ieee.org/802.18/dcn/22/18-22-0152-01-0000-2022-dec-802-lmsc-response-to-japan-mic.doc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EF6B-B6AB-4A13-9092-A30F19F8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TotalTime>
  <Application>LibreOffice/7.3.7.2$Linux_X86_64 LibreOffice_project/30$Build-2</Application>
  <AppVersion>15.0000</AppVersion>
  <Pages>4</Pages>
  <Words>1014</Words>
  <Characters>5513</Characters>
  <CharactersWithSpaces>6403</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2022-12-14T10:55:35Z</dcterms:modified>
  <cp:revision>31</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