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3D0D80FA" w:rsidR="005A2224" w:rsidRDefault="001850FE">
            <w:pPr>
              <w:pStyle w:val="T2"/>
              <w:widowControl w:val="0"/>
              <w:rPr>
                <w:b w:val="0"/>
              </w:rPr>
            </w:pPr>
            <w:r>
              <w:rPr>
                <w:b w:val="0"/>
              </w:rPr>
              <w:t xml:space="preserve">Proposed Response to Japan </w:t>
            </w:r>
            <w:r w:rsidR="00466B18" w:rsidRPr="00466B18">
              <w:rPr>
                <w:b w:val="0"/>
              </w:rPr>
              <w:t>Ministry of Internal Affairs and Communications (MIC)</w:t>
            </w:r>
            <w:r>
              <w:rPr>
                <w:b w:val="0"/>
              </w:rPr>
              <w:t xml:space="preserve"> consultation on WRC-23 </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5A4E4A47" w:rsidR="005A2224" w:rsidRDefault="00CC5960">
            <w:pPr>
              <w:pStyle w:val="T2"/>
              <w:widowControl w:val="0"/>
              <w:ind w:left="0"/>
              <w:rPr>
                <w:b w:val="0"/>
                <w:sz w:val="20"/>
              </w:rPr>
            </w:pPr>
            <w:r>
              <w:rPr>
                <w:b w:val="0"/>
                <w:sz w:val="20"/>
              </w:rPr>
              <w:t>Date:  2022-12-08</w:t>
            </w:r>
            <w:bookmarkStart w:id="0" w:name="_GoBack"/>
            <w:bookmarkEnd w:id="0"/>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5A2224" w14:paraId="02A4CA41"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77777777" w:rsidR="005A2224" w:rsidRDefault="001850FE">
            <w:pPr>
              <w:pStyle w:val="T2"/>
              <w:widowControl w:val="0"/>
              <w:spacing w:after="0"/>
              <w:ind w:left="0" w:right="0"/>
              <w:rPr>
                <w:b w:val="0"/>
                <w:sz w:val="20"/>
              </w:rPr>
            </w:pPr>
            <w:r>
              <w:rPr>
                <w:b w:val="0"/>
                <w:sz w:val="20"/>
              </w:rPr>
              <w:t>Thomas Kürner</w:t>
            </w:r>
          </w:p>
        </w:tc>
        <w:tc>
          <w:tcPr>
            <w:tcW w:w="1758" w:type="dxa"/>
            <w:tcBorders>
              <w:top w:val="single" w:sz="4" w:space="0" w:color="000000"/>
              <w:left w:val="single" w:sz="4" w:space="0" w:color="000000"/>
              <w:bottom w:val="single" w:sz="4" w:space="0" w:color="000000"/>
              <w:right w:val="single" w:sz="4" w:space="0" w:color="000000"/>
            </w:tcBorders>
            <w:vAlign w:val="center"/>
          </w:tcPr>
          <w:p w14:paraId="42306429" w14:textId="77777777" w:rsidR="005A2224" w:rsidRDefault="001850FE">
            <w:pPr>
              <w:pStyle w:val="T2"/>
              <w:widowControl w:val="0"/>
              <w:spacing w:after="0"/>
              <w:ind w:left="0" w:right="0"/>
              <w:rPr>
                <w:b w:val="0"/>
                <w:sz w:val="20"/>
              </w:rPr>
            </w:pPr>
            <w:r>
              <w:rPr>
                <w:b w:val="0"/>
                <w:sz w:val="20"/>
              </w:rPr>
              <w:t>TU Braunschweig</w:t>
            </w:r>
          </w:p>
        </w:tc>
        <w:tc>
          <w:tcPr>
            <w:tcW w:w="1815" w:type="dxa"/>
            <w:tcBorders>
              <w:top w:val="single" w:sz="4" w:space="0" w:color="000000"/>
              <w:left w:val="single" w:sz="4" w:space="0" w:color="000000"/>
              <w:bottom w:val="single" w:sz="4" w:space="0" w:color="000000"/>
              <w:right w:val="single" w:sz="4" w:space="0" w:color="000000"/>
            </w:tcBorders>
            <w:vAlign w:val="center"/>
          </w:tcPr>
          <w:p w14:paraId="557F4745" w14:textId="77777777" w:rsidR="005A2224" w:rsidRDefault="005A2224">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5A2224" w:rsidRDefault="005A2224">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77777777" w:rsidR="005A2224" w:rsidRDefault="007D3A1F">
            <w:pPr>
              <w:pStyle w:val="T2"/>
              <w:widowControl w:val="0"/>
              <w:spacing w:after="0"/>
              <w:ind w:left="0" w:right="0"/>
              <w:rPr>
                <w:b w:val="0"/>
                <w:sz w:val="16"/>
              </w:rPr>
            </w:pPr>
            <w:hyperlink r:id="rId8">
              <w:r w:rsidR="001850FE">
                <w:rPr>
                  <w:rStyle w:val="Hyperlink"/>
                  <w:b w:val="0"/>
                  <w:sz w:val="16"/>
                </w:rPr>
                <w:t>t.kuerner@tu-bs.de</w:t>
              </w:r>
            </w:hyperlink>
          </w:p>
        </w:tc>
      </w:tr>
      <w:tr w:rsidR="005A2224" w14:paraId="5246A528"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77777777" w:rsidR="005A2224" w:rsidRDefault="001850FE">
            <w:pPr>
              <w:pStyle w:val="T2"/>
              <w:widowControl w:val="0"/>
              <w:spacing w:after="0"/>
              <w:ind w:left="0" w:right="0"/>
              <w:rPr>
                <w:b w:val="0"/>
                <w:sz w:val="20"/>
              </w:rPr>
            </w:pPr>
            <w:r>
              <w:rPr>
                <w:b w:val="0"/>
                <w:sz w:val="20"/>
              </w:rPr>
              <w:t>Ben Rolfe</w:t>
            </w:r>
          </w:p>
        </w:tc>
        <w:tc>
          <w:tcPr>
            <w:tcW w:w="1758" w:type="dxa"/>
            <w:tcBorders>
              <w:top w:val="single" w:sz="4" w:space="0" w:color="000000"/>
              <w:left w:val="single" w:sz="4" w:space="0" w:color="000000"/>
              <w:bottom w:val="single" w:sz="4" w:space="0" w:color="000000"/>
              <w:right w:val="single" w:sz="4" w:space="0" w:color="000000"/>
            </w:tcBorders>
            <w:vAlign w:val="center"/>
          </w:tcPr>
          <w:p w14:paraId="37AA803D" w14:textId="77777777" w:rsidR="005A2224" w:rsidRDefault="001850FE">
            <w:pPr>
              <w:pStyle w:val="T2"/>
              <w:widowControl w:val="0"/>
              <w:spacing w:after="0"/>
              <w:ind w:left="0" w:right="0"/>
              <w:rPr>
                <w:b w:val="0"/>
                <w:sz w:val="20"/>
              </w:rPr>
            </w:pPr>
            <w:r>
              <w:rPr>
                <w:b w:val="0"/>
                <w:sz w:val="20"/>
              </w:rPr>
              <w:t>Blindcreek Assoc.</w:t>
            </w:r>
          </w:p>
        </w:tc>
        <w:tc>
          <w:tcPr>
            <w:tcW w:w="1815" w:type="dxa"/>
            <w:tcBorders>
              <w:top w:val="single" w:sz="4" w:space="0" w:color="000000"/>
              <w:left w:val="single" w:sz="4" w:space="0" w:color="000000"/>
              <w:bottom w:val="single" w:sz="4" w:space="0" w:color="000000"/>
              <w:right w:val="single" w:sz="4" w:space="0" w:color="000000"/>
            </w:tcBorders>
            <w:vAlign w:val="center"/>
          </w:tcPr>
          <w:p w14:paraId="230685DC" w14:textId="77777777" w:rsidR="005A2224" w:rsidRDefault="005A2224">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5A2224" w:rsidRDefault="005A2224">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77777777" w:rsidR="005A2224" w:rsidRDefault="007D3A1F">
            <w:pPr>
              <w:pStyle w:val="T2"/>
              <w:widowControl w:val="0"/>
              <w:spacing w:after="0"/>
              <w:ind w:left="0" w:right="0"/>
              <w:rPr>
                <w:b w:val="0"/>
                <w:sz w:val="16"/>
              </w:rPr>
            </w:pPr>
            <w:hyperlink r:id="rId9">
              <w:r w:rsidR="001850FE">
                <w:rPr>
                  <w:rStyle w:val="Hyperlink"/>
                  <w:b w:val="0"/>
                  <w:sz w:val="16"/>
                </w:rPr>
                <w:t>ben@blindcreek.com</w:t>
              </w:r>
            </w:hyperlink>
          </w:p>
        </w:tc>
      </w:tr>
      <w:tr w:rsidR="005A2224" w14:paraId="67EEB910"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77777777" w:rsidR="005A2224" w:rsidRDefault="001850FE">
            <w:pPr>
              <w:pStyle w:val="T2"/>
              <w:widowControl w:val="0"/>
              <w:spacing w:after="0"/>
              <w:ind w:left="0" w:right="0"/>
              <w:rPr>
                <w:b w:val="0"/>
                <w:sz w:val="20"/>
              </w:rPr>
            </w:pPr>
            <w:r>
              <w:rPr>
                <w:b w:val="0"/>
                <w:sz w:val="20"/>
              </w:rPr>
              <w:t>Ryuji Kohno</w:t>
            </w:r>
          </w:p>
        </w:tc>
        <w:tc>
          <w:tcPr>
            <w:tcW w:w="1758" w:type="dxa"/>
            <w:tcBorders>
              <w:top w:val="single" w:sz="4" w:space="0" w:color="000000"/>
              <w:left w:val="single" w:sz="4" w:space="0" w:color="000000"/>
              <w:bottom w:val="single" w:sz="4" w:space="0" w:color="000000"/>
              <w:right w:val="single" w:sz="4" w:space="0" w:color="000000"/>
            </w:tcBorders>
            <w:vAlign w:val="center"/>
          </w:tcPr>
          <w:p w14:paraId="194EF30F" w14:textId="77777777" w:rsidR="005A2224" w:rsidRDefault="001850FE">
            <w:pPr>
              <w:pStyle w:val="T2"/>
              <w:widowControl w:val="0"/>
              <w:spacing w:after="0"/>
              <w:ind w:left="0" w:right="0"/>
              <w:rPr>
                <w:b w:val="0"/>
                <w:sz w:val="20"/>
              </w:rPr>
            </w:pPr>
            <w:r>
              <w:rPr>
                <w:b w:val="0"/>
                <w:sz w:val="20"/>
              </w:rPr>
              <w:t>YNU</w:t>
            </w:r>
          </w:p>
        </w:tc>
        <w:tc>
          <w:tcPr>
            <w:tcW w:w="1815" w:type="dxa"/>
            <w:tcBorders>
              <w:top w:val="single" w:sz="4" w:space="0" w:color="000000"/>
              <w:left w:val="single" w:sz="4" w:space="0" w:color="000000"/>
              <w:bottom w:val="single" w:sz="4" w:space="0" w:color="000000"/>
              <w:right w:val="single" w:sz="4" w:space="0" w:color="000000"/>
            </w:tcBorders>
            <w:vAlign w:val="center"/>
          </w:tcPr>
          <w:p w14:paraId="04CF356F" w14:textId="77777777" w:rsidR="005A2224" w:rsidRDefault="005A2224">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5A2224" w:rsidRDefault="005A2224">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77777777" w:rsidR="005A2224" w:rsidRDefault="007D3A1F">
            <w:pPr>
              <w:pStyle w:val="T2"/>
              <w:widowControl w:val="0"/>
              <w:spacing w:after="0"/>
              <w:ind w:left="0" w:right="0"/>
              <w:rPr>
                <w:b w:val="0"/>
                <w:sz w:val="16"/>
              </w:rPr>
            </w:pPr>
            <w:hyperlink r:id="rId10">
              <w:r w:rsidR="001850FE">
                <w:rPr>
                  <w:rStyle w:val="Hyperlink"/>
                  <w:b w:val="0"/>
                  <w:sz w:val="16"/>
                </w:rPr>
                <w:t>kohno@ynu.ac.jp</w:t>
              </w:r>
            </w:hyperlink>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488B72F7" w14:textId="4E04C265" w:rsidR="005A2224" w:rsidRDefault="001850FE">
                            <w:pPr>
                              <w:pStyle w:val="Raminnehll"/>
                              <w:jc w:val="both"/>
                            </w:pPr>
                            <w:r>
                              <w:t xml:space="preserve">Japan </w:t>
                            </w:r>
                            <w:r w:rsidR="00466B18" w:rsidRPr="00466B18">
                              <w:t>Ministry of Internal Affairs and Communications (MIC)</w:t>
                            </w:r>
                            <w:r>
                              <w:t xml:space="preserve"> consultation “Request for comments on Japan’s positions on the 2023 World Radiocommunication Conference (WRC-23)”</w:t>
                            </w:r>
                          </w:p>
                          <w:p w14:paraId="28C64792" w14:textId="77777777" w:rsidR="005A2224" w:rsidRDefault="005A2224">
                            <w:pPr>
                              <w:pStyle w:val="Raminnehll"/>
                              <w:jc w:val="both"/>
                              <w:rPr>
                                <w:color w:val="000000"/>
                              </w:rPr>
                            </w:pPr>
                          </w:p>
                          <w:p w14:paraId="59B47DB6" w14:textId="77777777" w:rsidR="005A2224" w:rsidRDefault="007D3A1F">
                            <w:pPr>
                              <w:pStyle w:val="PlainText"/>
                            </w:pPr>
                            <w:hyperlink r:id="rId11">
                              <w:r w:rsidR="001850FE">
                                <w:rPr>
                                  <w:rStyle w:val="Hyperlink"/>
                                </w:rPr>
                                <w:t>https://www.soumu.go.jp/menu_news/s-news/01kiban10_02000041.html</w:t>
                              </w:r>
                            </w:hyperlink>
                            <w:r w:rsidR="001850FE">
                              <w:t xml:space="preserve"> </w:t>
                            </w: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488B72F7" w14:textId="4E04C265" w:rsidR="005A2224" w:rsidRDefault="001850FE">
                      <w:pPr>
                        <w:pStyle w:val="Raminnehll"/>
                        <w:jc w:val="both"/>
                      </w:pPr>
                      <w:r>
                        <w:t xml:space="preserve">Japan </w:t>
                      </w:r>
                      <w:r w:rsidR="00466B18" w:rsidRPr="00466B18">
                        <w:t>Ministry of Internal Affairs and Communications (MIC)</w:t>
                      </w:r>
                      <w:r>
                        <w:t xml:space="preserve"> consultation “Request for comments on Japan’s positions on the 2023 World Radiocommunication Conference (WRC-23)”</w:t>
                      </w:r>
                    </w:p>
                    <w:p w14:paraId="28C64792" w14:textId="77777777" w:rsidR="005A2224" w:rsidRDefault="005A2224">
                      <w:pPr>
                        <w:pStyle w:val="Raminnehll"/>
                        <w:jc w:val="both"/>
                        <w:rPr>
                          <w:color w:val="000000"/>
                        </w:rPr>
                      </w:pPr>
                    </w:p>
                    <w:p w14:paraId="59B47DB6" w14:textId="77777777" w:rsidR="005A2224" w:rsidRDefault="007D3A1F">
                      <w:pPr>
                        <w:pStyle w:val="PlainText"/>
                      </w:pPr>
                      <w:hyperlink r:id="rId12">
                        <w:r w:rsidR="001850FE">
                          <w:rPr>
                            <w:rStyle w:val="Hyperlink"/>
                          </w:rPr>
                          <w:t>https://www.soumu.go.jp/menu_news/s-news/01kiban10_02000041.html</w:t>
                        </w:r>
                      </w:hyperlink>
                      <w:r w:rsidR="001850FE">
                        <w:t xml:space="preserve"> </w:t>
                      </w: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1C407AE5" w14:textId="77777777" w:rsidR="005A2224" w:rsidRDefault="0000000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77777777" w:rsidR="005A2224" w:rsidRDefault="001850FE">
      <w:pPr>
        <w:rPr>
          <w:sz w:val="24"/>
          <w:szCs w:val="24"/>
        </w:rPr>
      </w:pPr>
      <w:r>
        <w:rPr>
          <w:sz w:val="24"/>
          <w:szCs w:val="24"/>
        </w:rPr>
        <w:t>Electronic filing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highlight w:val="yellow"/>
        </w:rPr>
        <w:t>December 5, 2022</w:t>
      </w:r>
    </w:p>
    <w:p w14:paraId="6DDD4E9A" w14:textId="77777777" w:rsidR="005A2224" w:rsidRDefault="005A2224">
      <w:pPr>
        <w:rPr>
          <w:color w:val="000000"/>
          <w:sz w:val="24"/>
          <w:szCs w:val="24"/>
        </w:rPr>
      </w:pPr>
    </w:p>
    <w:p w14:paraId="5E1D68DF" w14:textId="27A28298" w:rsidR="005A2224" w:rsidRDefault="001850FE">
      <w:pPr>
        <w:jc w:val="both"/>
        <w:rPr>
          <w:sz w:val="24"/>
          <w:szCs w:val="24"/>
        </w:rPr>
      </w:pPr>
      <w:r>
        <w:rPr>
          <w:color w:val="000000"/>
          <w:sz w:val="24"/>
          <w:szCs w:val="24"/>
        </w:rPr>
        <w:t xml:space="preserve">Re:  </w:t>
      </w:r>
      <w:r>
        <w:rPr>
          <w:sz w:val="24"/>
          <w:szCs w:val="24"/>
        </w:rPr>
        <w:t>Consultation “</w:t>
      </w:r>
      <w:r>
        <w:rPr>
          <w:rStyle w:val="Hyperlink"/>
          <w:bCs/>
          <w:color w:val="auto"/>
          <w:sz w:val="24"/>
          <w:szCs w:val="24"/>
          <w:u w:val="none"/>
        </w:rPr>
        <w:t>Request for comments on Japan’s posit</w:t>
      </w:r>
      <w:r w:rsidR="00724EC7">
        <w:rPr>
          <w:rStyle w:val="Hyperlink"/>
          <w:bCs/>
          <w:color w:val="auto"/>
          <w:sz w:val="24"/>
          <w:szCs w:val="24"/>
          <w:u w:val="none"/>
        </w:rPr>
        <w:t>i</w:t>
      </w:r>
      <w:r>
        <w:rPr>
          <w:rStyle w:val="Hyperlink"/>
          <w:bCs/>
          <w:color w:val="auto"/>
          <w:sz w:val="24"/>
          <w:szCs w:val="24"/>
          <w:u w:val="none"/>
        </w:rPr>
        <w:t>ons on the 2023 World Radiocommunication Conference (WRC-23)”</w:t>
      </w:r>
    </w:p>
    <w:p w14:paraId="294D27D4" w14:textId="77777777" w:rsidR="005A2224" w:rsidRDefault="005A2224">
      <w:pPr>
        <w:pStyle w:val="PlainText"/>
        <w:rPr>
          <w:rFonts w:ascii="Times New Roman" w:hAnsi="Times New Roman"/>
          <w:bCs/>
          <w:sz w:val="24"/>
          <w:szCs w:val="24"/>
        </w:rPr>
      </w:pPr>
    </w:p>
    <w:p w14:paraId="0FFDAA50" w14:textId="77777777" w:rsidR="005A2224" w:rsidRDefault="001850FE">
      <w:pPr>
        <w:pStyle w:val="PlainText"/>
        <w:rPr>
          <w:rFonts w:ascii="Times New Roman" w:hAnsi="Times New Roman"/>
          <w:bCs/>
          <w:sz w:val="24"/>
          <w:szCs w:val="24"/>
        </w:rPr>
      </w:pPr>
      <w:r>
        <w:rPr>
          <w:rFonts w:ascii="Times New Roman" w:hAnsi="Times New Roman"/>
          <w:bCs/>
          <w:sz w:val="24"/>
          <w:szCs w:val="24"/>
        </w:rPr>
        <w:t>Dear Japan MIC,</w:t>
      </w:r>
    </w:p>
    <w:p w14:paraId="117B7EAE" w14:textId="77777777" w:rsidR="005A2224" w:rsidRDefault="005A2224">
      <w:pPr>
        <w:pStyle w:val="PlainText"/>
        <w:rPr>
          <w:rFonts w:ascii="Times New Roman" w:hAnsi="Times New Roman"/>
          <w:sz w:val="24"/>
          <w:szCs w:val="24"/>
        </w:rPr>
      </w:pPr>
    </w:p>
    <w:p w14:paraId="49B794DB" w14:textId="2078DC42" w:rsidR="005A2224" w:rsidRDefault="001850FE">
      <w:pPr>
        <w:jc w:val="both"/>
        <w:rPr>
          <w:sz w:val="24"/>
          <w:szCs w:val="24"/>
        </w:rPr>
      </w:pPr>
      <w:r>
        <w:rPr>
          <w:sz w:val="24"/>
          <w:szCs w:val="24"/>
        </w:rPr>
        <w:t>IEEE 802 LAN/MAN Standards Committee (LMSC) than</w:t>
      </w:r>
      <w:r w:rsidRPr="00466B18">
        <w:rPr>
          <w:sz w:val="24"/>
          <w:szCs w:val="24"/>
        </w:rPr>
        <w:t xml:space="preserve">ks </w:t>
      </w:r>
      <w:r w:rsidR="00466B18" w:rsidRPr="00466B18">
        <w:rPr>
          <w:sz w:val="24"/>
          <w:szCs w:val="24"/>
        </w:rPr>
        <w:t>Japan Ministry of Internal Affairs and Communications (MIC)</w:t>
      </w:r>
      <w:r w:rsidR="00724EC7">
        <w:rPr>
          <w:sz w:val="24"/>
          <w:szCs w:val="24"/>
        </w:rPr>
        <w:t xml:space="preserve"> </w:t>
      </w:r>
      <w:r>
        <w:rPr>
          <w:sz w:val="24"/>
          <w:szCs w:val="24"/>
        </w:rPr>
        <w:t>for issuing the consultation “</w:t>
      </w:r>
      <w:r>
        <w:rPr>
          <w:rStyle w:val="Hyperlink"/>
          <w:bCs/>
          <w:color w:val="auto"/>
          <w:sz w:val="24"/>
          <w:szCs w:val="24"/>
          <w:u w:val="none"/>
        </w:rPr>
        <w:t xml:space="preserve">Request for comments on Japan’s positions on the 2023 World Radiocommunication Conference (WRC-23)” </w:t>
      </w:r>
      <w:r>
        <w:rPr>
          <w:sz w:val="24"/>
          <w:szCs w:val="24"/>
        </w:rPr>
        <w:t>and the opportunity to provide feedback on this topic. The Consultation is an important mechanism for soliciting feedback that will provide MIC with the information necessary.</w:t>
      </w:r>
    </w:p>
    <w:p w14:paraId="22D65F84" w14:textId="77777777" w:rsidR="005A2224" w:rsidRDefault="005A2224">
      <w:pPr>
        <w:jc w:val="both"/>
        <w:rPr>
          <w:sz w:val="24"/>
          <w:szCs w:val="24"/>
        </w:rPr>
      </w:pPr>
    </w:p>
    <w:p w14:paraId="151B0926" w14:textId="77777777" w:rsidR="005A2224" w:rsidRDefault="001850FE">
      <w:pPr>
        <w:jc w:val="both"/>
        <w:rPr>
          <w:sz w:val="24"/>
          <w:szCs w:val="24"/>
        </w:rPr>
      </w:pPr>
      <w:r>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1850FE">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77777777" w:rsidR="005A2224" w:rsidRDefault="001850FE">
      <w:pPr>
        <w:jc w:val="both"/>
        <w:rPr>
          <w:sz w:val="24"/>
          <w:szCs w:val="24"/>
        </w:rPr>
      </w:pPr>
      <w:r>
        <w:rPr>
          <w:sz w:val="24"/>
          <w:szCs w:val="24"/>
        </w:rPr>
        <w:t>Please find below the responses of IEEE 802 LMSC to the agenda items 1.2 and 10.</w:t>
      </w:r>
    </w:p>
    <w:p w14:paraId="0815A877" w14:textId="77777777" w:rsidR="005A2224" w:rsidRDefault="005A2224">
      <w:pPr>
        <w:jc w:val="both"/>
        <w:rPr>
          <w:b/>
          <w:sz w:val="24"/>
          <w:szCs w:val="24"/>
        </w:rPr>
      </w:pPr>
    </w:p>
    <w:p w14:paraId="41EC9713" w14:textId="77777777" w:rsidR="005A2224" w:rsidRDefault="001850FE">
      <w:pPr>
        <w:jc w:val="both"/>
        <w:rPr>
          <w:b/>
          <w:sz w:val="24"/>
          <w:szCs w:val="24"/>
        </w:rPr>
      </w:pPr>
      <w:r>
        <w:rPr>
          <w:b/>
          <w:sz w:val="24"/>
          <w:szCs w:val="24"/>
        </w:rPr>
        <w:t>Agenda item 1.2 on 6425-7025 MHz and 7025-7125 MHz:</w:t>
      </w:r>
    </w:p>
    <w:p w14:paraId="2C6C966F" w14:textId="77777777" w:rsidR="005A2224" w:rsidRDefault="005A2224">
      <w:pPr>
        <w:jc w:val="both"/>
        <w:rPr>
          <w:sz w:val="24"/>
          <w:szCs w:val="24"/>
        </w:rPr>
      </w:pPr>
    </w:p>
    <w:p w14:paraId="11A0BA38" w14:textId="1D73C97B" w:rsidR="00D6353A" w:rsidRDefault="00D6353A" w:rsidP="00D6353A">
      <w:pPr>
        <w:jc w:val="both"/>
        <w:rPr>
          <w:sz w:val="24"/>
          <w:szCs w:val="24"/>
        </w:rPr>
      </w:pPr>
      <w:r>
        <w:rPr>
          <w:sz w:val="24"/>
          <w:szCs w:val="24"/>
        </w:rPr>
        <w:t>The IEEE 8</w:t>
      </w:r>
      <w:r w:rsidR="00724EC7">
        <w:rPr>
          <w:sz w:val="24"/>
          <w:szCs w:val="24"/>
        </w:rPr>
        <w:t>02 LMSC believes that the world’</w:t>
      </w:r>
      <w:r>
        <w:rPr>
          <w:sz w:val="24"/>
          <w:szCs w:val="24"/>
        </w:rPr>
        <w:t>s nations should not identify the 6425-7</w:t>
      </w:r>
      <w:r w:rsidR="00724EC7">
        <w:rPr>
          <w:sz w:val="24"/>
          <w:szCs w:val="24"/>
        </w:rPr>
        <w:t>0</w:t>
      </w:r>
      <w:r>
        <w:rPr>
          <w:sz w:val="24"/>
          <w:szCs w:val="24"/>
        </w:rPr>
        <w:t>25 MHz</w:t>
      </w:r>
      <w:r w:rsidR="00724EC7">
        <w:rPr>
          <w:sz w:val="24"/>
          <w:szCs w:val="24"/>
        </w:rPr>
        <w:t xml:space="preserve"> and 7025-7125 MHz</w:t>
      </w:r>
      <w:r>
        <w:rPr>
          <w:sz w:val="24"/>
          <w:szCs w:val="24"/>
        </w:rPr>
        <w:t xml:space="preserve"> bands with IMT. A premature identification with IMT will lock this spectrum from unlicensed users, and block the operation of technologies in these bands that already exist and are capable of co-existing with primary users in the bands without causing harmful interference. Not identifying the bands with IMT at the WRC-23 </w:t>
      </w:r>
      <w:r w:rsidR="00724EC7">
        <w:rPr>
          <w:sz w:val="24"/>
          <w:szCs w:val="24"/>
        </w:rPr>
        <w:t xml:space="preserve">(i.e., “No Change”) </w:t>
      </w:r>
      <w:r>
        <w:rPr>
          <w:sz w:val="24"/>
          <w:szCs w:val="24"/>
        </w:rPr>
        <w:t xml:space="preserve">does not </w:t>
      </w:r>
      <w:r w:rsidR="00724EC7">
        <w:rPr>
          <w:sz w:val="24"/>
          <w:szCs w:val="24"/>
        </w:rPr>
        <w:t>prevent</w:t>
      </w:r>
      <w:r>
        <w:rPr>
          <w:sz w:val="24"/>
          <w:szCs w:val="24"/>
        </w:rPr>
        <w:t xml:space="preserve"> the participating decision-makers from making an identification at a later time, should it prove necessary. However, identifying the bands with IMT too early limits both the options for and the number of technology innovators that can remain active in these bands.</w:t>
      </w:r>
    </w:p>
    <w:p w14:paraId="56C9AA8D" w14:textId="77777777" w:rsidR="00D6353A" w:rsidRDefault="00D6353A">
      <w:pPr>
        <w:jc w:val="both"/>
        <w:rPr>
          <w:sz w:val="24"/>
          <w:szCs w:val="24"/>
        </w:rPr>
      </w:pPr>
    </w:p>
    <w:p w14:paraId="37F7B2CA" w14:textId="77777777" w:rsidR="00D6353A" w:rsidRDefault="00D6353A" w:rsidP="00D6353A">
      <w:pPr>
        <w:jc w:val="both"/>
        <w:rPr>
          <w:sz w:val="24"/>
          <w:szCs w:val="24"/>
        </w:rPr>
      </w:pPr>
      <w:r>
        <w:rPr>
          <w:sz w:val="24"/>
          <w:szCs w:val="24"/>
        </w:rPr>
        <w:t>In the past ten years the IEEE 802 LMSC has overseen the development of many technologies designed for operating in unlicensed bands at high utility and speed.</w:t>
      </w:r>
    </w:p>
    <w:p w14:paraId="45C52A61" w14:textId="77777777" w:rsidR="00D6353A" w:rsidRDefault="00D6353A">
      <w:pPr>
        <w:jc w:val="both"/>
        <w:rPr>
          <w:sz w:val="24"/>
          <w:szCs w:val="24"/>
        </w:rPr>
      </w:pPr>
    </w:p>
    <w:p w14:paraId="19E07CAA" w14:textId="00F96873" w:rsidR="00D6353A" w:rsidRDefault="00724EC7" w:rsidP="00D6353A">
      <w:pPr>
        <w:jc w:val="both"/>
        <w:rPr>
          <w:sz w:val="24"/>
          <w:szCs w:val="24"/>
        </w:rPr>
      </w:pPr>
      <w:r>
        <w:rPr>
          <w:sz w:val="24"/>
          <w:szCs w:val="24"/>
        </w:rPr>
        <w:t>S</w:t>
      </w:r>
      <w:r w:rsidR="00D6353A">
        <w:rPr>
          <w:sz w:val="24"/>
          <w:szCs w:val="24"/>
        </w:rPr>
        <w:t xml:space="preserve">tandards such as IEEE </w:t>
      </w:r>
      <w:r w:rsidR="00935849">
        <w:rPr>
          <w:sz w:val="24"/>
          <w:szCs w:val="24"/>
        </w:rPr>
        <w:t xml:space="preserve">Std </w:t>
      </w:r>
      <w:r w:rsidR="00D6353A">
        <w:rPr>
          <w:sz w:val="24"/>
          <w:szCs w:val="24"/>
        </w:rPr>
        <w:t>802.11ax</w:t>
      </w:r>
      <w:r>
        <w:rPr>
          <w:sz w:val="24"/>
          <w:szCs w:val="24"/>
        </w:rPr>
        <w:t xml:space="preserve">-2021 </w:t>
      </w:r>
      <w:r w:rsidR="00D6353A">
        <w:rPr>
          <w:sz w:val="24"/>
          <w:szCs w:val="24"/>
        </w:rPr>
        <w:t xml:space="preserve">[2] are already capable of operating in </w:t>
      </w:r>
      <w:r w:rsidR="001650E1">
        <w:rPr>
          <w:sz w:val="24"/>
          <w:szCs w:val="24"/>
        </w:rPr>
        <w:t>t</w:t>
      </w:r>
      <w:r w:rsidR="001650E1">
        <w:rPr>
          <w:sz w:val="24"/>
          <w:szCs w:val="24"/>
        </w:rPr>
        <w:t>he 6425-7</w:t>
      </w:r>
      <w:r w:rsidR="001650E1">
        <w:rPr>
          <w:sz w:val="24"/>
          <w:szCs w:val="24"/>
        </w:rPr>
        <w:t>0</w:t>
      </w:r>
      <w:r w:rsidR="001650E1">
        <w:rPr>
          <w:sz w:val="24"/>
          <w:szCs w:val="24"/>
        </w:rPr>
        <w:t>25 MHz</w:t>
      </w:r>
      <w:r w:rsidR="001650E1">
        <w:rPr>
          <w:sz w:val="24"/>
          <w:szCs w:val="24"/>
        </w:rPr>
        <w:t xml:space="preserve"> and 7025-7125 MHz</w:t>
      </w:r>
      <w:r w:rsidR="001650E1">
        <w:rPr>
          <w:sz w:val="24"/>
          <w:szCs w:val="24"/>
        </w:rPr>
        <w:t xml:space="preserve"> bands</w:t>
      </w:r>
      <w:r w:rsidR="00D6353A">
        <w:rPr>
          <w:sz w:val="24"/>
          <w:szCs w:val="24"/>
        </w:rPr>
        <w:t xml:space="preserve">, and could, just like the IEEE </w:t>
      </w:r>
      <w:r w:rsidR="00935849">
        <w:rPr>
          <w:sz w:val="24"/>
          <w:szCs w:val="24"/>
        </w:rPr>
        <w:t xml:space="preserve">Std </w:t>
      </w:r>
      <w:r w:rsidR="00D6353A">
        <w:rPr>
          <w:sz w:val="24"/>
          <w:szCs w:val="24"/>
        </w:rPr>
        <w:t>802.11ac</w:t>
      </w:r>
      <w:r w:rsidR="00293109">
        <w:rPr>
          <w:sz w:val="24"/>
          <w:szCs w:val="24"/>
        </w:rPr>
        <w:t>-2013</w:t>
      </w:r>
      <w:r>
        <w:rPr>
          <w:sz w:val="24"/>
          <w:szCs w:val="24"/>
        </w:rPr>
        <w:t xml:space="preserve"> </w:t>
      </w:r>
      <w:r w:rsidR="00D6353A">
        <w:rPr>
          <w:sz w:val="24"/>
          <w:szCs w:val="24"/>
        </w:rPr>
        <w:t xml:space="preserve">[3] standard </w:t>
      </w:r>
      <w:r w:rsidR="00D6353A">
        <w:rPr>
          <w:sz w:val="24"/>
          <w:szCs w:val="24"/>
        </w:rPr>
        <w:lastRenderedPageBreak/>
        <w:t>(</w:t>
      </w:r>
      <w:r>
        <w:rPr>
          <w:sz w:val="24"/>
          <w:szCs w:val="24"/>
        </w:rPr>
        <w:t>“5 GHz Wi-Fi”</w:t>
      </w:r>
      <w:r w:rsidR="00D6353A">
        <w:rPr>
          <w:sz w:val="24"/>
          <w:szCs w:val="24"/>
        </w:rPr>
        <w:t>) ten years before it come to provide great utilities for end-consumers. IEEE 802 technologies are designed not to cause interference with other users in the</w:t>
      </w:r>
      <w:r w:rsidR="00935849">
        <w:rPr>
          <w:sz w:val="24"/>
          <w:szCs w:val="24"/>
        </w:rPr>
        <w:t>se</w:t>
      </w:r>
      <w:r w:rsidR="00D6353A">
        <w:rPr>
          <w:sz w:val="24"/>
          <w:szCs w:val="24"/>
        </w:rPr>
        <w:t xml:space="preserve"> band</w:t>
      </w:r>
      <w:r w:rsidR="00935849">
        <w:rPr>
          <w:sz w:val="24"/>
          <w:szCs w:val="24"/>
        </w:rPr>
        <w:t>s</w:t>
      </w:r>
      <w:r w:rsidR="00D6353A">
        <w:rPr>
          <w:sz w:val="24"/>
          <w:szCs w:val="24"/>
        </w:rPr>
        <w:t xml:space="preserve">. The Wi-Fi industry even beyond IEEE 802 technical designs are taking the lead in a number of co-existence strategies for bands with alternative incumbent users, such as </w:t>
      </w:r>
      <w:r w:rsidR="00935849">
        <w:rPr>
          <w:sz w:val="24"/>
          <w:szCs w:val="24"/>
        </w:rPr>
        <w:t>a</w:t>
      </w:r>
      <w:r w:rsidR="00D6353A">
        <w:rPr>
          <w:sz w:val="24"/>
          <w:szCs w:val="24"/>
        </w:rPr>
        <w:t xml:space="preserve">utomated </w:t>
      </w:r>
      <w:r w:rsidR="00935849">
        <w:rPr>
          <w:sz w:val="24"/>
          <w:szCs w:val="24"/>
        </w:rPr>
        <w:t>f</w:t>
      </w:r>
      <w:r w:rsidR="00D6353A">
        <w:rPr>
          <w:sz w:val="24"/>
          <w:szCs w:val="24"/>
        </w:rPr>
        <w:t xml:space="preserve">requency </w:t>
      </w:r>
      <w:r w:rsidR="00935849">
        <w:rPr>
          <w:sz w:val="24"/>
          <w:szCs w:val="24"/>
        </w:rPr>
        <w:t>c</w:t>
      </w:r>
      <w:r w:rsidR="00D6353A">
        <w:rPr>
          <w:sz w:val="24"/>
          <w:szCs w:val="24"/>
        </w:rPr>
        <w:t>oordination</w:t>
      </w:r>
      <w:r w:rsidR="00935849">
        <w:rPr>
          <w:sz w:val="24"/>
          <w:szCs w:val="24"/>
        </w:rPr>
        <w:t xml:space="preserve"> </w:t>
      </w:r>
      <w:r w:rsidR="00D6353A">
        <w:rPr>
          <w:sz w:val="24"/>
          <w:szCs w:val="24"/>
        </w:rPr>
        <w:t>[4]. A new generation of IEEE 802.11 technologies currently under development in the IEEE 802.11be task group will continue to enhance and improve spectrum co-existence capacities, with prior research from for instance the ECC</w:t>
      </w:r>
      <w:r w:rsidR="00935849">
        <w:rPr>
          <w:sz w:val="24"/>
          <w:szCs w:val="24"/>
        </w:rPr>
        <w:t xml:space="preserve"> </w:t>
      </w:r>
      <w:r w:rsidR="00D6353A">
        <w:rPr>
          <w:sz w:val="24"/>
          <w:szCs w:val="24"/>
        </w:rPr>
        <w:t>[5] indicating that access to larger, contiguous bandwidths in the 6 GHz band reduces the potential for harmful interference more than alternative solutions.</w:t>
      </w:r>
    </w:p>
    <w:p w14:paraId="4A5F185F" w14:textId="77777777" w:rsidR="005A2224" w:rsidRDefault="005A2224">
      <w:pPr>
        <w:jc w:val="both"/>
        <w:rPr>
          <w:sz w:val="24"/>
          <w:szCs w:val="24"/>
        </w:rPr>
      </w:pPr>
    </w:p>
    <w:p w14:paraId="3D36C7D5" w14:textId="60458D48" w:rsidR="005A2224" w:rsidRDefault="00935849">
      <w:pPr>
        <w:jc w:val="both"/>
        <w:rPr>
          <w:sz w:val="24"/>
          <w:szCs w:val="24"/>
        </w:rPr>
      </w:pPr>
      <w:r>
        <w:rPr>
          <w:sz w:val="24"/>
          <w:szCs w:val="24"/>
        </w:rPr>
        <w:t>In addition,</w:t>
      </w:r>
      <w:r w:rsidR="001850FE">
        <w:rPr>
          <w:sz w:val="24"/>
          <w:szCs w:val="24"/>
        </w:rPr>
        <w:t xml:space="preserve"> IEEE Std 802.15.6-2012 [1], </w:t>
      </w:r>
      <w:r>
        <w:rPr>
          <w:sz w:val="24"/>
          <w:szCs w:val="24"/>
        </w:rPr>
        <w:t xml:space="preserve">which is </w:t>
      </w:r>
      <w:r w:rsidR="001850FE">
        <w:rPr>
          <w:sz w:val="24"/>
          <w:szCs w:val="24"/>
        </w:rPr>
        <w:t>a standard for short range, wireless communication in the vicinity of, or inside, a human body (but not limited to humans)</w:t>
      </w:r>
      <w:r>
        <w:rPr>
          <w:sz w:val="24"/>
          <w:szCs w:val="24"/>
        </w:rPr>
        <w:t>,</w:t>
      </w:r>
      <w:r w:rsidR="001850FE">
        <w:rPr>
          <w:sz w:val="24"/>
          <w:szCs w:val="24"/>
        </w:rPr>
        <w:t xml:space="preserve"> can use existing ISM bands as well as frequency bands approved by national medical and/or regulatory authorities</w:t>
      </w:r>
      <w:r>
        <w:rPr>
          <w:sz w:val="24"/>
          <w:szCs w:val="24"/>
        </w:rPr>
        <w:t xml:space="preserve"> for applications including</w:t>
      </w:r>
      <w:r>
        <w:rPr>
          <w:sz w:val="24"/>
          <w:szCs w:val="24"/>
        </w:rPr>
        <w:t xml:space="preserve"> medical wireless body area network (BAN). </w:t>
      </w:r>
      <w:r w:rsidR="001850FE">
        <w:rPr>
          <w:sz w:val="24"/>
          <w:szCs w:val="24"/>
        </w:rPr>
        <w:t xml:space="preserve">For the channelization adopted by the standard, </w:t>
      </w:r>
    </w:p>
    <w:p w14:paraId="799D0F9E" w14:textId="77777777" w:rsidR="005A2224" w:rsidRDefault="001850FE">
      <w:pPr>
        <w:pStyle w:val="ListParagraph"/>
        <w:numPr>
          <w:ilvl w:val="0"/>
          <w:numId w:val="4"/>
        </w:numPr>
        <w:jc w:val="both"/>
        <w:rPr>
          <w:rFonts w:ascii="Times New Roman" w:hAnsi="Times New Roman"/>
          <w:sz w:val="24"/>
          <w:szCs w:val="24"/>
        </w:rPr>
      </w:pPr>
      <w:r>
        <w:rPr>
          <w:rFonts w:ascii="Times New Roman" w:hAnsi="Times New Roman"/>
          <w:sz w:val="24"/>
          <w:szCs w:val="24"/>
        </w:rPr>
        <w:t>there is a channel plan number 5 that uses a channel with central frequency 6489.6 MHz and bandwidth 499.2 MHz as a part of the UWB high band, which falls into the 6425-7025 MHz band.</w:t>
      </w:r>
    </w:p>
    <w:p w14:paraId="06B451DF" w14:textId="0EC25015" w:rsidR="005A2224" w:rsidRPr="00935849" w:rsidRDefault="001850FE" w:rsidP="00935849">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there is a channel plan number 6 that uses a channel with central frequency 6988.8 MHz and bandwidth 499.2 MHz as a part of the UWB high band, which falls into the 7025-7125 MHz band.  </w:t>
      </w:r>
    </w:p>
    <w:p w14:paraId="7B28C796" w14:textId="0AF9CDFF" w:rsidR="00935849" w:rsidRDefault="001850FE" w:rsidP="00935849">
      <w:pPr>
        <w:jc w:val="both"/>
        <w:rPr>
          <w:sz w:val="24"/>
          <w:szCs w:val="24"/>
        </w:rPr>
      </w:pPr>
      <w:r>
        <w:rPr>
          <w:sz w:val="24"/>
          <w:szCs w:val="24"/>
        </w:rPr>
        <w:t>The project P802.15.6ma</w:t>
      </w:r>
      <w:r w:rsidR="00935849">
        <w:rPr>
          <w:sz w:val="24"/>
          <w:szCs w:val="24"/>
        </w:rPr>
        <w:t xml:space="preserve">, which is </w:t>
      </w:r>
      <w:r>
        <w:rPr>
          <w:sz w:val="24"/>
          <w:szCs w:val="24"/>
        </w:rPr>
        <w:t>a revision of the standard IEEE Std 802.15.6-2012</w:t>
      </w:r>
      <w:r w:rsidR="00935849">
        <w:rPr>
          <w:sz w:val="24"/>
          <w:szCs w:val="24"/>
        </w:rPr>
        <w:t>,</w:t>
      </w:r>
      <w:r>
        <w:rPr>
          <w:sz w:val="24"/>
          <w:szCs w:val="24"/>
        </w:rPr>
        <w:t xml:space="preserve"> intends to update and assist new use cases with enhanced dependability in human and vehicle bodies, while increasing the dependability support by such standard. </w:t>
      </w:r>
      <w:r w:rsidR="00D6353A">
        <w:rPr>
          <w:sz w:val="24"/>
          <w:szCs w:val="24"/>
        </w:rPr>
        <w:t xml:space="preserve"> </w:t>
      </w:r>
      <w:r w:rsidR="00935849">
        <w:rPr>
          <w:sz w:val="24"/>
          <w:szCs w:val="24"/>
        </w:rPr>
        <w:t xml:space="preserve">It is expected that more IEEE 802.15.6 devices are added to the </w:t>
      </w:r>
      <w:r w:rsidR="00935849">
        <w:rPr>
          <w:sz w:val="24"/>
          <w:szCs w:val="24"/>
        </w:rPr>
        <w:t>6425-7</w:t>
      </w:r>
      <w:r w:rsidR="00935849">
        <w:rPr>
          <w:sz w:val="24"/>
          <w:szCs w:val="24"/>
        </w:rPr>
        <w:t>0</w:t>
      </w:r>
      <w:r w:rsidR="00935849">
        <w:rPr>
          <w:sz w:val="24"/>
          <w:szCs w:val="24"/>
        </w:rPr>
        <w:t>25 MHz</w:t>
      </w:r>
      <w:r w:rsidR="00935849">
        <w:rPr>
          <w:sz w:val="24"/>
          <w:szCs w:val="24"/>
        </w:rPr>
        <w:t xml:space="preserve"> and 7025-7125 MHz</w:t>
      </w:r>
      <w:r w:rsidR="00935849">
        <w:rPr>
          <w:sz w:val="24"/>
          <w:szCs w:val="24"/>
        </w:rPr>
        <w:t xml:space="preserve"> bands</w:t>
      </w:r>
    </w:p>
    <w:p w14:paraId="515FF122" w14:textId="2C606344" w:rsidR="005A2224" w:rsidRPr="00935849" w:rsidRDefault="00D6353A">
      <w:pPr>
        <w:jc w:val="both"/>
        <w:rPr>
          <w:sz w:val="24"/>
          <w:szCs w:val="24"/>
        </w:rPr>
      </w:pPr>
      <w:r>
        <w:rPr>
          <w:sz w:val="24"/>
          <w:szCs w:val="24"/>
        </w:rPr>
        <w:t>.</w:t>
      </w:r>
    </w:p>
    <w:p w14:paraId="68B28243" w14:textId="77777777" w:rsidR="005A2224" w:rsidRDefault="001850FE">
      <w:pPr>
        <w:jc w:val="both"/>
        <w:rPr>
          <w:b/>
          <w:sz w:val="24"/>
          <w:szCs w:val="24"/>
        </w:rPr>
      </w:pPr>
      <w:r>
        <w:rPr>
          <w:b/>
          <w:sz w:val="24"/>
          <w:szCs w:val="24"/>
        </w:rPr>
        <w:t>Agenda item 10 on WRC-27:</w:t>
      </w:r>
    </w:p>
    <w:p w14:paraId="233C272C" w14:textId="4C83A3F8" w:rsidR="005A2224" w:rsidRDefault="001850FE">
      <w:pPr>
        <w:jc w:val="both"/>
        <w:rPr>
          <w:sz w:val="24"/>
          <w:szCs w:val="24"/>
        </w:rPr>
      </w:pPr>
      <w:r>
        <w:rPr>
          <w:bCs/>
          <w:sz w:val="24"/>
          <w:szCs w:val="24"/>
        </w:rPr>
        <w:t>In 2017</w:t>
      </w:r>
      <w:r w:rsidR="00935849">
        <w:rPr>
          <w:bCs/>
          <w:sz w:val="24"/>
          <w:szCs w:val="24"/>
        </w:rPr>
        <w:t>,</w:t>
      </w:r>
      <w:r>
        <w:rPr>
          <w:bCs/>
          <w:sz w:val="24"/>
          <w:szCs w:val="24"/>
        </w:rPr>
        <w:t xml:space="preserve"> IEEE 802 </w:t>
      </w:r>
      <w:r w:rsidR="00935849">
        <w:rPr>
          <w:bCs/>
          <w:sz w:val="24"/>
          <w:szCs w:val="24"/>
        </w:rPr>
        <w:t xml:space="preserve">LMSC </w:t>
      </w:r>
      <w:r>
        <w:rPr>
          <w:bCs/>
          <w:sz w:val="24"/>
          <w:szCs w:val="24"/>
        </w:rPr>
        <w:t xml:space="preserve">has published IEEE Std 802.15.3d-2017 [6] covering the frequency band 252-321 GHz for wireless communication. Currently, IEEE 802 </w:t>
      </w:r>
      <w:r w:rsidR="00935849">
        <w:rPr>
          <w:bCs/>
          <w:sz w:val="24"/>
          <w:szCs w:val="24"/>
        </w:rPr>
        <w:t xml:space="preserve">LMSC </w:t>
      </w:r>
      <w:r>
        <w:rPr>
          <w:bCs/>
          <w:sz w:val="24"/>
          <w:szCs w:val="24"/>
        </w:rPr>
        <w:t>is working on the revision of IEEE Std 802.15.3-2016 [7]</w:t>
      </w:r>
      <w:r w:rsidR="00935849">
        <w:rPr>
          <w:bCs/>
          <w:sz w:val="24"/>
          <w:szCs w:val="24"/>
        </w:rPr>
        <w:t xml:space="preserve"> that cover</w:t>
      </w:r>
      <w:r>
        <w:rPr>
          <w:bCs/>
          <w:sz w:val="24"/>
          <w:szCs w:val="24"/>
        </w:rPr>
        <w:t xml:space="preserve"> </w:t>
      </w:r>
      <w:r w:rsidR="00935849">
        <w:rPr>
          <w:bCs/>
          <w:sz w:val="24"/>
          <w:szCs w:val="24"/>
        </w:rPr>
        <w:t>frequency</w:t>
      </w:r>
      <w:r>
        <w:rPr>
          <w:bCs/>
          <w:sz w:val="24"/>
          <w:szCs w:val="24"/>
        </w:rPr>
        <w:t xml:space="preserve"> </w:t>
      </w:r>
      <w:r w:rsidR="00935849">
        <w:rPr>
          <w:bCs/>
          <w:sz w:val="24"/>
          <w:szCs w:val="24"/>
        </w:rPr>
        <w:t xml:space="preserve">band </w:t>
      </w:r>
      <w:r>
        <w:rPr>
          <w:bCs/>
          <w:sz w:val="24"/>
          <w:szCs w:val="24"/>
        </w:rPr>
        <w:t>275-450 GHz identified for the use by fixed a</w:t>
      </w:r>
      <w:r w:rsidR="00935849">
        <w:rPr>
          <w:bCs/>
          <w:sz w:val="24"/>
          <w:szCs w:val="24"/>
        </w:rPr>
        <w:t>nd mobile service</w:t>
      </w:r>
      <w:r>
        <w:rPr>
          <w:bCs/>
          <w:sz w:val="24"/>
          <w:szCs w:val="24"/>
        </w:rPr>
        <w:t>. Radiolocation service in the frequency bands 275-450 GHz may complement communications applications, especially in the context of joint communication and sensing. IEEE 802 LMSC does not support the identification of these frequency bands for radiolocation service for primary use and instead suggests to work towards an identification for secondary use or co-primary use at most.</w:t>
      </w:r>
    </w:p>
    <w:p w14:paraId="55B78CDD" w14:textId="77777777" w:rsidR="005A2224" w:rsidRDefault="005A2224">
      <w:pPr>
        <w:rPr>
          <w:sz w:val="24"/>
          <w:szCs w:val="24"/>
        </w:rPr>
      </w:pPr>
    </w:p>
    <w:p w14:paraId="7DA3D7DE" w14:textId="77777777" w:rsidR="005A2224" w:rsidRDefault="001850FE">
      <w:pPr>
        <w:rPr>
          <w:b/>
          <w:sz w:val="24"/>
          <w:szCs w:val="24"/>
        </w:rPr>
      </w:pPr>
      <w:r>
        <w:rPr>
          <w:b/>
          <w:sz w:val="24"/>
          <w:szCs w:val="24"/>
        </w:rPr>
        <w:t>Conclusion</w:t>
      </w:r>
    </w:p>
    <w:p w14:paraId="119D5AD5" w14:textId="77777777" w:rsidR="005A2224" w:rsidRDefault="005A2224">
      <w:pPr>
        <w:rPr>
          <w:sz w:val="24"/>
          <w:szCs w:val="24"/>
        </w:rPr>
      </w:pPr>
    </w:p>
    <w:p w14:paraId="5CB26888" w14:textId="5414A9B1" w:rsidR="005A2224" w:rsidRDefault="001850FE">
      <w:pPr>
        <w:jc w:val="both"/>
        <w:rPr>
          <w:color w:val="000000"/>
          <w:sz w:val="24"/>
          <w:szCs w:val="24"/>
        </w:rPr>
      </w:pPr>
      <w:r>
        <w:rPr>
          <w:sz w:val="24"/>
          <w:szCs w:val="24"/>
        </w:rPr>
        <w:t xml:space="preserve">IEEE 802 LMSC thanks the </w:t>
      </w:r>
      <w:r w:rsidR="00466B18">
        <w:rPr>
          <w:sz w:val="24"/>
          <w:szCs w:val="24"/>
        </w:rPr>
        <w:t xml:space="preserve">Japan </w:t>
      </w:r>
      <w:r>
        <w:rPr>
          <w:sz w:val="24"/>
          <w:szCs w:val="24"/>
        </w:rPr>
        <w:t xml:space="preserve">MIC for providing this invaluable opportunity to provide this submission and kindly requests </w:t>
      </w:r>
      <w:r w:rsidR="00466B18">
        <w:rPr>
          <w:sz w:val="24"/>
          <w:szCs w:val="24"/>
        </w:rPr>
        <w:t xml:space="preserve">Japan </w:t>
      </w:r>
      <w:r>
        <w:rPr>
          <w:sz w:val="24"/>
          <w:szCs w:val="24"/>
        </w:rPr>
        <w:t xml:space="preserve">MIC to take into account our responses in its decision towards WRC-23. </w:t>
      </w:r>
    </w:p>
    <w:p w14:paraId="43610A5D" w14:textId="77777777" w:rsidR="005A2224" w:rsidRDefault="005A2224">
      <w:pPr>
        <w:rPr>
          <w:sz w:val="24"/>
          <w:szCs w:val="24"/>
        </w:rPr>
      </w:pPr>
    </w:p>
    <w:p w14:paraId="7CD76D45" w14:textId="77777777" w:rsidR="005A2224" w:rsidRDefault="005A2224">
      <w:pPr>
        <w:rPr>
          <w:sz w:val="24"/>
          <w:szCs w:val="24"/>
        </w:rPr>
      </w:pPr>
    </w:p>
    <w:p w14:paraId="6F87E7F3" w14:textId="77777777"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65835E78" w14:textId="77777777" w:rsidR="005A2224" w:rsidRDefault="001850FE">
      <w:pPr>
        <w:rPr>
          <w:sz w:val="24"/>
          <w:szCs w:val="24"/>
        </w:rPr>
      </w:pPr>
      <w:r>
        <w:rPr>
          <w:sz w:val="24"/>
          <w:szCs w:val="24"/>
        </w:rPr>
        <w:t xml:space="preserve">em: </w:t>
      </w:r>
      <w:hyperlink r:id="rId13">
        <w:r>
          <w:rPr>
            <w:rStyle w:val="Internetlnk"/>
            <w:sz w:val="24"/>
            <w:szCs w:val="24"/>
          </w:rPr>
          <w:t>p.nikolich@ieee.org</w:t>
        </w:r>
      </w:hyperlink>
      <w:r>
        <w:rPr>
          <w:sz w:val="24"/>
          <w:szCs w:val="24"/>
        </w:rPr>
        <w:t xml:space="preserve"> </w:t>
      </w:r>
    </w:p>
    <w:p w14:paraId="1614780A" w14:textId="77777777" w:rsidR="005A2224" w:rsidRDefault="001850FE">
      <w:pPr>
        <w:rPr>
          <w:sz w:val="24"/>
          <w:szCs w:val="24"/>
        </w:rPr>
      </w:pPr>
      <w:r>
        <w:rPr>
          <w:sz w:val="24"/>
          <w:szCs w:val="24"/>
        </w:rPr>
        <w:lastRenderedPageBreak/>
        <w:t>References:</w:t>
      </w:r>
    </w:p>
    <w:p w14:paraId="2A4DC710" w14:textId="77777777" w:rsidR="005A2224" w:rsidRDefault="005A2224">
      <w:pPr>
        <w:rPr>
          <w:sz w:val="24"/>
          <w:szCs w:val="24"/>
        </w:rPr>
      </w:pPr>
    </w:p>
    <w:p w14:paraId="04DA89D5" w14:textId="3437749D" w:rsidR="005A2224" w:rsidRDefault="001850FE">
      <w:pPr>
        <w:ind w:left="450" w:hanging="450"/>
        <w:jc w:val="both"/>
        <w:rPr>
          <w:sz w:val="24"/>
          <w:szCs w:val="24"/>
        </w:rPr>
      </w:pPr>
      <w:r>
        <w:rPr>
          <w:sz w:val="24"/>
          <w:szCs w:val="24"/>
        </w:rPr>
        <w:t xml:space="preserve">[1] </w:t>
      </w:r>
      <w:r>
        <w:rPr>
          <w:sz w:val="24"/>
          <w:szCs w:val="24"/>
        </w:rPr>
        <w:tab/>
      </w:r>
      <w:r w:rsidR="00724EC7">
        <w:rPr>
          <w:sz w:val="24"/>
          <w:szCs w:val="24"/>
        </w:rPr>
        <w:t>“</w:t>
      </w:r>
      <w:r>
        <w:rPr>
          <w:sz w:val="24"/>
          <w:szCs w:val="24"/>
        </w:rPr>
        <w:t>IEEE Standard for Local and metropolitan area networks - Part 15.</w:t>
      </w:r>
      <w:r w:rsidR="00724EC7">
        <w:rPr>
          <w:sz w:val="24"/>
          <w:szCs w:val="24"/>
        </w:rPr>
        <w:t>6: Wireless Body Area Networks,”</w:t>
      </w:r>
      <w:r>
        <w:rPr>
          <w:sz w:val="24"/>
          <w:szCs w:val="24"/>
        </w:rPr>
        <w:t xml:space="preserve"> in </w:t>
      </w:r>
      <w:r>
        <w:rPr>
          <w:rStyle w:val="Emphasis"/>
          <w:sz w:val="24"/>
          <w:szCs w:val="24"/>
        </w:rPr>
        <w:t>IEEE Std 802.15.6-2012</w:t>
      </w:r>
      <w:r>
        <w:rPr>
          <w:sz w:val="24"/>
          <w:szCs w:val="24"/>
        </w:rPr>
        <w:t>, vol., no., pp.1-271, 29 Feb. 2012, doi: 10.1109/IEEESTD.2012.6161600</w:t>
      </w:r>
    </w:p>
    <w:p w14:paraId="4EE65BC3" w14:textId="1B0D7827" w:rsidR="005A2224" w:rsidRDefault="001850FE">
      <w:pPr>
        <w:ind w:left="450" w:hanging="450"/>
        <w:jc w:val="both"/>
        <w:rPr>
          <w:sz w:val="24"/>
          <w:szCs w:val="24"/>
        </w:rPr>
      </w:pPr>
      <w:r>
        <w:rPr>
          <w:sz w:val="24"/>
          <w:szCs w:val="24"/>
        </w:rPr>
        <w:t xml:space="preserve">[2] </w:t>
      </w:r>
      <w:r w:rsidR="00724EC7">
        <w:rPr>
          <w:sz w:val="24"/>
          <w:szCs w:val="24"/>
        </w:rPr>
        <w:tab/>
        <w:t>“</w:t>
      </w:r>
      <w:r>
        <w:rPr>
          <w:sz w:val="24"/>
          <w:szCs w:val="24"/>
        </w:rPr>
        <w:t>IEEE Standard for Information Technology</w:t>
      </w:r>
      <w:r w:rsidR="00724EC7">
        <w:rPr>
          <w:sz w:val="24"/>
          <w:szCs w:val="24"/>
        </w:rPr>
        <w:t xml:space="preserve"> - </w:t>
      </w:r>
      <w:r>
        <w:rPr>
          <w:sz w:val="24"/>
          <w:szCs w:val="24"/>
        </w:rPr>
        <w:t>Telecommunications and Information Exchange between Systems Local and Metropolitan Area Networks</w:t>
      </w:r>
      <w:r w:rsidR="00724EC7">
        <w:rPr>
          <w:sz w:val="24"/>
          <w:szCs w:val="24"/>
        </w:rPr>
        <w:t xml:space="preserve"> - </w:t>
      </w:r>
      <w:r>
        <w:rPr>
          <w:sz w:val="24"/>
          <w:szCs w:val="24"/>
        </w:rPr>
        <w:t>Specific Requirements Part 11: Wireless LAN Medium Access Control (MAC) and Physical Layer (PHY) Specifications Amendment 1: Enhancements for High-Efficiency WLAN," in IEEE Std 802.11ax-2021 (Amendment to IEEE Std 802.11-2020) , vol., no., pp.1-767, 19 May 2021, doi: 10.1109/IEEESTD.2021.9442429.</w:t>
      </w:r>
    </w:p>
    <w:p w14:paraId="765B2832" w14:textId="74CC5F82" w:rsidR="005A2224" w:rsidRDefault="00724EC7">
      <w:pPr>
        <w:tabs>
          <w:tab w:val="left" w:pos="900"/>
        </w:tabs>
        <w:ind w:left="449" w:hanging="449"/>
        <w:jc w:val="both"/>
        <w:rPr>
          <w:sz w:val="24"/>
          <w:szCs w:val="24"/>
        </w:rPr>
      </w:pPr>
      <w:r>
        <w:rPr>
          <w:sz w:val="24"/>
          <w:szCs w:val="24"/>
        </w:rPr>
        <w:t xml:space="preserve">[3] </w:t>
      </w:r>
      <w:r>
        <w:rPr>
          <w:sz w:val="24"/>
          <w:szCs w:val="24"/>
        </w:rPr>
        <w:tab/>
        <w:t>“</w:t>
      </w:r>
      <w:r w:rsidR="001850FE">
        <w:rPr>
          <w:sz w:val="24"/>
          <w:szCs w:val="24"/>
        </w:rPr>
        <w:t>IEEE Standard for Information technology</w:t>
      </w:r>
      <w:r>
        <w:rPr>
          <w:sz w:val="24"/>
          <w:szCs w:val="24"/>
        </w:rPr>
        <w:t xml:space="preserve"> - </w:t>
      </w:r>
      <w:r w:rsidR="001850FE">
        <w:rPr>
          <w:sz w:val="24"/>
          <w:szCs w:val="24"/>
        </w:rPr>
        <w:t xml:space="preserve"> Telecommunications and information exchange between </w:t>
      </w:r>
      <w:r>
        <w:rPr>
          <w:sz w:val="24"/>
          <w:szCs w:val="24"/>
        </w:rPr>
        <w:t>S</w:t>
      </w:r>
      <w:r w:rsidR="001850FE">
        <w:rPr>
          <w:sz w:val="24"/>
          <w:szCs w:val="24"/>
        </w:rPr>
        <w:t>ystems</w:t>
      </w:r>
      <w:r>
        <w:rPr>
          <w:sz w:val="24"/>
          <w:szCs w:val="24"/>
        </w:rPr>
        <w:t xml:space="preserve"> </w:t>
      </w:r>
      <w:r w:rsidR="001850FE">
        <w:rPr>
          <w:sz w:val="24"/>
          <w:szCs w:val="24"/>
        </w:rPr>
        <w:t>Local and metropolitan area networks</w:t>
      </w:r>
      <w:r>
        <w:rPr>
          <w:sz w:val="24"/>
          <w:szCs w:val="24"/>
        </w:rPr>
        <w:t xml:space="preserve"> -</w:t>
      </w:r>
      <w:r w:rsidR="001850FE">
        <w:rPr>
          <w:sz w:val="24"/>
          <w:szCs w:val="24"/>
        </w:rPr>
        <w:t xml:space="preserve"> Specific requirements</w:t>
      </w:r>
      <w:r>
        <w:rPr>
          <w:sz w:val="24"/>
          <w:szCs w:val="24"/>
        </w:rPr>
        <w:t xml:space="preserve"> - </w:t>
      </w:r>
      <w:r w:rsidR="001850FE">
        <w:rPr>
          <w:sz w:val="24"/>
          <w:szCs w:val="24"/>
        </w:rPr>
        <w:t>Part 11: Wireless LAN Medium Access Control (MAC) and Physical Layer (PHY) Specifications</w:t>
      </w:r>
      <w:r>
        <w:rPr>
          <w:sz w:val="24"/>
          <w:szCs w:val="24"/>
        </w:rPr>
        <w:t xml:space="preserve"> - </w:t>
      </w:r>
      <w:r w:rsidR="001850FE">
        <w:rPr>
          <w:sz w:val="24"/>
          <w:szCs w:val="24"/>
        </w:rPr>
        <w:t>Amendment 4: Enhancements for Very High Throughput for O</w:t>
      </w:r>
      <w:r>
        <w:rPr>
          <w:sz w:val="24"/>
          <w:szCs w:val="24"/>
        </w:rPr>
        <w:t>peration in Bands below 6 GHz.,”</w:t>
      </w:r>
      <w:r w:rsidR="001850FE">
        <w:rPr>
          <w:sz w:val="24"/>
          <w:szCs w:val="24"/>
        </w:rPr>
        <w:t xml:space="preserve"> in </w:t>
      </w:r>
      <w:r w:rsidR="001850FE" w:rsidRPr="00724EC7">
        <w:rPr>
          <w:i/>
          <w:sz w:val="24"/>
          <w:szCs w:val="24"/>
        </w:rPr>
        <w:t>IEEE Std 802.11ac-2013</w:t>
      </w:r>
      <w:r w:rsidR="001850FE">
        <w:rPr>
          <w:sz w:val="24"/>
          <w:szCs w:val="24"/>
        </w:rPr>
        <w:t>, vol., no., pp.1-425, 18 Dec. 2013, doi: 10.1109/IEEESTD.2013.6687187.</w:t>
      </w:r>
    </w:p>
    <w:p w14:paraId="2221F6A2" w14:textId="1A166CC7" w:rsidR="005A2224" w:rsidRDefault="00724EC7">
      <w:pPr>
        <w:ind w:left="450" w:hanging="450"/>
        <w:jc w:val="both"/>
        <w:rPr>
          <w:sz w:val="24"/>
          <w:szCs w:val="24"/>
        </w:rPr>
      </w:pPr>
      <w:r>
        <w:rPr>
          <w:sz w:val="24"/>
          <w:szCs w:val="24"/>
        </w:rPr>
        <w:t xml:space="preserve">[4] </w:t>
      </w:r>
      <w:r>
        <w:rPr>
          <w:sz w:val="24"/>
          <w:szCs w:val="24"/>
        </w:rPr>
        <w:tab/>
      </w:r>
      <w:r w:rsidR="001850FE">
        <w:rPr>
          <w:sz w:val="24"/>
          <w:szCs w:val="24"/>
        </w:rPr>
        <w:t xml:space="preserve">Dynamic Frequency Coalition, Automated Frequency Coordination - an established tool for modern spectrum management, March 2019. </w:t>
      </w:r>
      <w:r>
        <w:rPr>
          <w:sz w:val="24"/>
          <w:szCs w:val="24"/>
        </w:rPr>
        <w:t xml:space="preserve"> </w:t>
      </w:r>
      <w:hyperlink r:id="rId14">
        <w:r w:rsidR="001850FE">
          <w:rPr>
            <w:rStyle w:val="Hyperlink"/>
            <w:sz w:val="24"/>
            <w:szCs w:val="24"/>
          </w:rPr>
          <w:t>Available online</w:t>
        </w:r>
      </w:hyperlink>
      <w:r w:rsidR="001850FE">
        <w:rPr>
          <w:sz w:val="24"/>
          <w:szCs w:val="24"/>
        </w:rPr>
        <w:t xml:space="preserve"> [accessed: 2022-12-07].</w:t>
      </w:r>
    </w:p>
    <w:p w14:paraId="0BFF710F" w14:textId="57B6EF6C" w:rsidR="005A2224" w:rsidRDefault="00724EC7">
      <w:pPr>
        <w:ind w:left="450" w:hanging="450"/>
        <w:jc w:val="both"/>
        <w:rPr>
          <w:sz w:val="24"/>
          <w:szCs w:val="24"/>
        </w:rPr>
      </w:pPr>
      <w:r>
        <w:rPr>
          <w:sz w:val="24"/>
          <w:szCs w:val="24"/>
        </w:rPr>
        <w:t>[5]</w:t>
      </w:r>
      <w:r>
        <w:rPr>
          <w:sz w:val="24"/>
          <w:szCs w:val="24"/>
        </w:rPr>
        <w:tab/>
      </w:r>
      <w:r w:rsidR="001850FE">
        <w:rPr>
          <w:sz w:val="24"/>
          <w:szCs w:val="24"/>
        </w:rPr>
        <w:t xml:space="preserve">Section 6.2.6 in CEPT ECC Report 302: Sharing and compatibility studies related to Wireless Access Systems including Radio Local Area Networks (WAS/RLAN) in the frequency band 5925-6425 MHz (published 29 May 2019). </w:t>
      </w:r>
      <w:r>
        <w:rPr>
          <w:sz w:val="24"/>
          <w:szCs w:val="24"/>
        </w:rPr>
        <w:t xml:space="preserve"> </w:t>
      </w:r>
      <w:hyperlink r:id="rId15">
        <w:r w:rsidR="001850FE">
          <w:rPr>
            <w:rStyle w:val="Hyperlink"/>
            <w:sz w:val="24"/>
            <w:szCs w:val="24"/>
          </w:rPr>
          <w:t>Available online</w:t>
        </w:r>
      </w:hyperlink>
      <w:r w:rsidR="001850FE">
        <w:rPr>
          <w:sz w:val="24"/>
          <w:szCs w:val="24"/>
        </w:rPr>
        <w:t xml:space="preserve"> [accessed: 2022-12-07] </w:t>
      </w:r>
    </w:p>
    <w:p w14:paraId="61A0F582" w14:textId="711317EF" w:rsidR="005A2224" w:rsidRDefault="001850FE">
      <w:pPr>
        <w:ind w:left="450" w:hanging="450"/>
        <w:jc w:val="both"/>
        <w:rPr>
          <w:sz w:val="24"/>
          <w:szCs w:val="24"/>
        </w:rPr>
      </w:pPr>
      <w:r>
        <w:rPr>
          <w:sz w:val="24"/>
          <w:szCs w:val="24"/>
        </w:rPr>
        <w:t>[6]</w:t>
      </w:r>
      <w:r>
        <w:rPr>
          <w:rStyle w:val="Hyperlink"/>
          <w:color w:val="auto"/>
          <w:sz w:val="24"/>
          <w:szCs w:val="24"/>
          <w:u w:val="none"/>
        </w:rPr>
        <w:t xml:space="preserve"> </w:t>
      </w:r>
      <w:r>
        <w:rPr>
          <w:rStyle w:val="Hyperlink"/>
          <w:color w:val="auto"/>
          <w:sz w:val="24"/>
          <w:szCs w:val="24"/>
          <w:u w:val="none"/>
        </w:rPr>
        <w:tab/>
      </w:r>
      <w:r w:rsidR="00724EC7">
        <w:rPr>
          <w:rStyle w:val="Hyperlink"/>
          <w:color w:val="auto"/>
          <w:sz w:val="24"/>
          <w:szCs w:val="24"/>
          <w:u w:val="none"/>
        </w:rPr>
        <w:t>“</w:t>
      </w:r>
      <w:r>
        <w:rPr>
          <w:sz w:val="24"/>
          <w:szCs w:val="24"/>
        </w:rPr>
        <w:t>IEEE Standard for High Data Rate Wireless Multi-Media Networks</w:t>
      </w:r>
      <w:r w:rsidR="00724EC7">
        <w:rPr>
          <w:sz w:val="24"/>
          <w:szCs w:val="24"/>
        </w:rPr>
        <w:t xml:space="preserve"> - </w:t>
      </w:r>
      <w:r>
        <w:rPr>
          <w:sz w:val="24"/>
          <w:szCs w:val="24"/>
        </w:rPr>
        <w:t>Amendment 2: 100 Gb/s Wireless Switched</w:t>
      </w:r>
      <w:r w:rsidR="00724EC7">
        <w:rPr>
          <w:sz w:val="24"/>
          <w:szCs w:val="24"/>
        </w:rPr>
        <w:t xml:space="preserve"> Point-to-Point Physical Layer,”</w:t>
      </w:r>
      <w:r>
        <w:rPr>
          <w:sz w:val="24"/>
          <w:szCs w:val="24"/>
        </w:rPr>
        <w:t xml:space="preserve"> in </w:t>
      </w:r>
      <w:r>
        <w:rPr>
          <w:rStyle w:val="Emphasis"/>
          <w:sz w:val="24"/>
          <w:szCs w:val="24"/>
        </w:rPr>
        <w:t>IEEE Std 802.15.3d-2017</w:t>
      </w:r>
      <w:r>
        <w:rPr>
          <w:sz w:val="24"/>
          <w:szCs w:val="24"/>
        </w:rPr>
        <w:t>, vol., no., pp.1-55, 18 Oct. 2017, doi: 10.1109/IEEESTD.2017.8066476.</w:t>
      </w:r>
    </w:p>
    <w:p w14:paraId="76F76ABE" w14:textId="048A28A9" w:rsidR="005A2224" w:rsidRDefault="001850FE">
      <w:pPr>
        <w:ind w:left="450" w:hanging="450"/>
        <w:jc w:val="both"/>
        <w:rPr>
          <w:sz w:val="24"/>
          <w:szCs w:val="24"/>
          <w:lang w:val="en-GB"/>
        </w:rPr>
      </w:pPr>
      <w:r>
        <w:rPr>
          <w:rStyle w:val="Hyperlink"/>
          <w:color w:val="auto"/>
          <w:sz w:val="24"/>
          <w:szCs w:val="24"/>
          <w:u w:val="none"/>
        </w:rPr>
        <w:t>[7]</w:t>
      </w:r>
      <w:r>
        <w:rPr>
          <w:sz w:val="24"/>
          <w:szCs w:val="24"/>
        </w:rPr>
        <w:tab/>
      </w:r>
      <w:r w:rsidR="00724EC7">
        <w:rPr>
          <w:sz w:val="24"/>
          <w:szCs w:val="24"/>
        </w:rPr>
        <w:t>“</w:t>
      </w:r>
      <w:r>
        <w:rPr>
          <w:sz w:val="24"/>
          <w:szCs w:val="24"/>
        </w:rPr>
        <w:t>IEEE Standard for High Data Rate</w:t>
      </w:r>
      <w:r w:rsidR="00724EC7">
        <w:rPr>
          <w:sz w:val="24"/>
          <w:szCs w:val="24"/>
        </w:rPr>
        <w:t xml:space="preserve"> Wireless Multi-Media Networks,”</w:t>
      </w:r>
      <w:r>
        <w:rPr>
          <w:sz w:val="24"/>
          <w:szCs w:val="24"/>
        </w:rPr>
        <w:t xml:space="preserve"> in </w:t>
      </w:r>
      <w:r>
        <w:rPr>
          <w:rStyle w:val="Emphasis"/>
          <w:sz w:val="24"/>
          <w:szCs w:val="24"/>
        </w:rPr>
        <w:t>IEEE Std 802.15.3-2016</w:t>
      </w:r>
      <w:r>
        <w:rPr>
          <w:sz w:val="24"/>
          <w:szCs w:val="24"/>
        </w:rPr>
        <w:t>, vol., no., pp.1-510, 25 July 2016, doi: 10.1109/IEEESTD.2016.7524656.</w:t>
      </w:r>
    </w:p>
    <w:sectPr w:rsidR="005A2224">
      <w:headerReference w:type="default" r:id="rId16"/>
      <w:footerReference w:type="default" r:id="rId17"/>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8FCF7" w14:textId="77777777" w:rsidR="007D3A1F" w:rsidRDefault="007D3A1F">
      <w:r>
        <w:separator/>
      </w:r>
    </w:p>
  </w:endnote>
  <w:endnote w:type="continuationSeparator" w:id="0">
    <w:p w14:paraId="58F37E73" w14:textId="77777777" w:rsidR="007D3A1F" w:rsidRDefault="007D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1"/>
    <w:family w:val="roman"/>
    <w:pitch w:val="variable"/>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77777777" w:rsidR="005A2224" w:rsidRDefault="001850FE">
    <w:pPr>
      <w:pStyle w:val="Footer"/>
      <w:tabs>
        <w:tab w:val="clear" w:pos="6480"/>
        <w:tab w:val="center" w:pos="4680"/>
        <w:tab w:val="right" w:pos="9360"/>
      </w:tabs>
    </w:pPr>
    <w:fldSimple w:instr=" SUBJECT ">
      <w:r>
        <w:t>Submission</w:t>
      </w:r>
    </w:fldSimple>
    <w:r>
      <w:tab/>
      <w:t xml:space="preserve">page </w:t>
    </w:r>
    <w:r>
      <w:fldChar w:fldCharType="begin"/>
    </w:r>
    <w:r>
      <w:instrText xml:space="preserve"> PAGE </w:instrText>
    </w:r>
    <w:r>
      <w:fldChar w:fldCharType="separate"/>
    </w:r>
    <w:r w:rsidR="00CC5960">
      <w:rPr>
        <w:noProof/>
      </w:rPr>
      <w:t>1</w:t>
    </w:r>
    <w:r>
      <w:fldChar w:fldCharType="end"/>
    </w:r>
    <w:r>
      <w:tab/>
      <w:t>Thomas Kurner, TU Braunschweig</w:t>
    </w:r>
  </w:p>
  <w:p w14:paraId="4FE8F8AB" w14:textId="77777777" w:rsidR="005A2224" w:rsidRDefault="005A22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AE1D3" w14:textId="77777777" w:rsidR="007D3A1F" w:rsidRDefault="007D3A1F">
      <w:pPr>
        <w:rPr>
          <w:sz w:val="12"/>
        </w:rPr>
      </w:pPr>
      <w:r>
        <w:separator/>
      </w:r>
    </w:p>
  </w:footnote>
  <w:footnote w:type="continuationSeparator" w:id="0">
    <w:p w14:paraId="40F391D2" w14:textId="77777777" w:rsidR="007D3A1F" w:rsidRDefault="007D3A1F">
      <w:pPr>
        <w:rPr>
          <w:sz w:val="12"/>
        </w:rPr>
      </w:pPr>
      <w:r>
        <w:continuationSeparator/>
      </w:r>
    </w:p>
  </w:footnote>
  <w:footnote w:id="1">
    <w:p w14:paraId="34E9099D" w14:textId="77777777" w:rsidR="005A2224" w:rsidRDefault="001850FE">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500E41F2" w:rsidR="005A2224" w:rsidRDefault="001850FE">
    <w:pPr>
      <w:pStyle w:val="Header"/>
      <w:tabs>
        <w:tab w:val="clear" w:pos="6480"/>
        <w:tab w:val="center" w:pos="4680"/>
        <w:tab w:val="right" w:pos="9360"/>
      </w:tabs>
    </w:pPr>
    <w:r>
      <w:t xml:space="preserve">December 2022 </w:t>
    </w:r>
    <w:r>
      <w:tab/>
    </w:r>
    <w:r>
      <w:tab/>
      <w:t>doc.: IEEE 802.18-22/0152r</w:t>
    </w:r>
    <w:r w:rsidR="00113E45">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113E45"/>
    <w:rsid w:val="001650E1"/>
    <w:rsid w:val="001850FE"/>
    <w:rsid w:val="00293109"/>
    <w:rsid w:val="00466B18"/>
    <w:rsid w:val="005A2224"/>
    <w:rsid w:val="006B17D4"/>
    <w:rsid w:val="00724EC7"/>
    <w:rsid w:val="007D3A1F"/>
    <w:rsid w:val="008F03D3"/>
    <w:rsid w:val="00935849"/>
    <w:rsid w:val="00CC5960"/>
    <w:rsid w:val="00D6353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kuerner@tu-bs.de" TargetMode="External"/><Relationship Id="rId13" Type="http://schemas.openxmlformats.org/officeDocument/2006/relationships/hyperlink" Target="mailto:p.nikolich@iee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mu.go.jp/menu_news/s-news/01kiban10_0200004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mu.go.jp/menu_news/s-news/01kiban10_02000041.html" TargetMode="External"/><Relationship Id="rId5" Type="http://schemas.openxmlformats.org/officeDocument/2006/relationships/webSettings" Target="webSettings.xml"/><Relationship Id="rId15" Type="http://schemas.openxmlformats.org/officeDocument/2006/relationships/hyperlink" Target="https://docdb.cept.org/document/10170" TargetMode="External"/><Relationship Id="rId10" Type="http://schemas.openxmlformats.org/officeDocument/2006/relationships/hyperlink" Target="mailto:kohno@ynu.ac.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en@blindcreek.com" TargetMode="External"/><Relationship Id="rId14" Type="http://schemas.openxmlformats.org/officeDocument/2006/relationships/hyperlink" Target="https://dynamicspectrumalliance.org/wp-content/uploads/2019/03/DSA_DB-Report_Final_0312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554AB-6329-4D1D-9B7E-B7E0BEF5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802.18-22/0152r1</vt:lpstr>
    </vt:vector>
  </TitlesOfParts>
  <Company>Some Company</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802.18-22/0152r2</dc:title>
  <dc:subject>Submission</dc:subject>
  <dc:creator>Editor</dc:creator>
  <dc:description/>
  <cp:lastModifiedBy>Edward Au</cp:lastModifiedBy>
  <cp:revision>22</cp:revision>
  <cp:lastPrinted>2022-11-18T03:20:00Z</cp:lastPrinted>
  <dcterms:created xsi:type="dcterms:W3CDTF">2022-12-02T16:34:00Z</dcterms:created>
  <dcterms:modified xsi:type="dcterms:W3CDTF">2022-12-08T21:49:00Z</dcterms:modified>
  <dc:language>sv-SE</dc:language>
</cp:coreProperties>
</file>