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423"/>
        <w:gridCol w:w="990"/>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1 December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5</w:t>
            </w:r>
            <w:r>
              <w:rPr>
                <w:b w:val="false"/>
                <w:sz w:val="20"/>
              </w:rPr>
              <w:t xml:space="preserve"> December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2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66B8F44B">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Radio Regulatory Technical Advisory Group (RR-TAG) for the weekly teleconference call on 1 December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66B8F44B">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Radio Regulatory Technical Advisory Group (RR-TAG) for the weekly teleconference call on 1 December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These are minutes of the IEEE 802.18 RR-TAG teleconference on Thursday 1 Dec 2022, 15:01 ET.</w:t>
        <w:br/>
      </w:r>
    </w:p>
    <w:p>
      <w:pPr>
        <w:pStyle w:val="Normal"/>
        <w:numPr>
          <w:ilvl w:val="0"/>
          <w:numId w:val="1"/>
        </w:numPr>
        <w:spacing w:before="0" w:after="0"/>
        <w:contextualSpacing/>
        <w:rPr/>
      </w:pPr>
      <w:r>
        <w:rPr>
          <w:sz w:val="24"/>
          <w:szCs w:val="24"/>
        </w:rPr>
        <w:t xml:space="preserve">Chair calls the meeting to order at 15:01 ET. </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ink"/>
            <w:color w:val="0563C1" w:themeColor="hyperlink"/>
            <w:sz w:val="24"/>
            <w:szCs w:val="24"/>
          </w:rPr>
          <w:t>18-22/0145r0</w:t>
        </w:r>
      </w:hyperlink>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pPr>
      <w:r>
        <w:rPr>
          <w:bCs/>
          <w:sz w:val="24"/>
          <w:szCs w:val="24"/>
        </w:rPr>
        <w:t>Group officers and voting membership</w:t>
      </w:r>
    </w:p>
    <w:p>
      <w:pPr>
        <w:pStyle w:val="Normal"/>
        <w:numPr>
          <w:ilvl w:val="2"/>
          <w:numId w:val="1"/>
        </w:numPr>
        <w:spacing w:before="0" w:after="0"/>
        <w:contextualSpacing/>
        <w:rPr/>
      </w:pPr>
      <w:r>
        <w:rPr>
          <w:sz w:val="24"/>
          <w:szCs w:val="24"/>
        </w:rPr>
        <w:t xml:space="preserve">  </w:t>
      </w:r>
      <w:r>
        <w:rPr>
          <w:sz w:val="24"/>
          <w:szCs w:val="24"/>
        </w:rPr>
        <w:t xml:space="preserve">Voters:  49 (8 on LMSC) </w:t>
      </w:r>
    </w:p>
    <w:p>
      <w:pPr>
        <w:pStyle w:val="Normal"/>
        <w:numPr>
          <w:ilvl w:val="2"/>
          <w:numId w:val="1"/>
        </w:numPr>
        <w:spacing w:before="0" w:after="0"/>
        <w:contextualSpacing/>
        <w:rPr/>
      </w:pPr>
      <w:r>
        <w:rPr>
          <w:sz w:val="24"/>
          <w:szCs w:val="24"/>
        </w:rPr>
        <w:t xml:space="preserve">  </w:t>
      </w:r>
      <w:r>
        <w:rPr>
          <w:sz w:val="24"/>
          <w:szCs w:val="24"/>
        </w:rPr>
        <w:t>Nearly Voters: 3</w:t>
      </w:r>
    </w:p>
    <w:p>
      <w:pPr>
        <w:pStyle w:val="Normal"/>
        <w:numPr>
          <w:ilvl w:val="2"/>
          <w:numId w:val="1"/>
        </w:numPr>
        <w:spacing w:before="0" w:after="0"/>
        <w:contextualSpacing/>
        <w:rPr/>
      </w:pPr>
      <w:r>
        <w:rPr>
          <w:sz w:val="24"/>
          <w:szCs w:val="24"/>
        </w:rPr>
        <w:t xml:space="preserve">  </w:t>
      </w:r>
      <w:r>
        <w:rPr>
          <w:sz w:val="24"/>
          <w:szCs w:val="24"/>
        </w:rPr>
        <w:t>Aspirant members:  7</w:t>
      </w:r>
    </w:p>
    <w:p>
      <w:pPr>
        <w:pStyle w:val="Normal"/>
        <w:numPr>
          <w:ilvl w:val="2"/>
          <w:numId w:val="1"/>
        </w:numPr>
        <w:spacing w:before="0" w:after="0"/>
        <w:contextualSpacing/>
        <w:rPr/>
      </w:pPr>
      <w:r>
        <w:rPr>
          <w:sz w:val="24"/>
          <w:szCs w:val="24"/>
        </w:rPr>
        <w:t xml:space="preserve">  </w:t>
      </w:r>
      <w:hyperlink r:id="rId4">
        <w:r>
          <w:rPr>
            <w:rStyle w:val="Internetlnk"/>
            <w:sz w:val="24"/>
            <w:szCs w:val="24"/>
          </w:rPr>
          <w:t>802.18 Voters List</w:t>
        </w:r>
      </w:hyperlink>
    </w:p>
    <w:p>
      <w:pPr>
        <w:pStyle w:val="Normal"/>
        <w:numPr>
          <w:ilvl w:val="1"/>
          <w:numId w:val="1"/>
        </w:numPr>
        <w:spacing w:before="0" w:after="0"/>
        <w:contextualSpacing/>
        <w:rPr/>
      </w:pPr>
      <w:r>
        <w:rPr>
          <w:sz w:val="24"/>
          <w:szCs w:val="24"/>
        </w:rPr>
        <w:t>RR-TAG Policies &amp; Procedures [</w:t>
      </w:r>
      <w:hyperlink r:id="rId5">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Chair presents the agenda (slide #9). No questions or comments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Administrative:</w:t>
      </w:r>
      <w:r>
        <w:rPr>
          <w:sz w:val="24"/>
          <w:szCs w:val="24"/>
        </w:rPr>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pPr>
      <w:r>
        <w:rPr>
          <w:sz w:val="24"/>
          <w:szCs w:val="24"/>
        </w:rPr>
        <w:t>Moved by:</w:t>
        <w:tab/>
        <w:t>Stuart Kerry</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Vijay Auluck</w:t>
      </w:r>
    </w:p>
    <w:p>
      <w:pPr>
        <w:pStyle w:val="Normal"/>
        <w:spacing w:before="0" w:after="0"/>
        <w:ind w:left="1440" w:hanging="0"/>
        <w:contextualSpacing/>
        <w:rPr/>
      </w:pPr>
      <w:r>
        <w:rPr>
          <w:sz w:val="24"/>
          <w:szCs w:val="24"/>
        </w:rPr>
        <w:t xml:space="preserve">Discussion?  </w:t>
        <w:tab/>
        <w:t>None</w:t>
      </w:r>
    </w:p>
    <w:p>
      <w:pPr>
        <w:pStyle w:val="Normal"/>
        <w:spacing w:before="0" w:after="0"/>
        <w:ind w:left="1440" w:hanging="0"/>
        <w:contextualSpacing/>
        <w:rPr/>
      </w:pPr>
      <w:r>
        <w:rPr>
          <w:sz w:val="24"/>
          <w:szCs w:val="24"/>
        </w:rPr>
        <w:t>Vote:  Approved with unanimous consent</w:t>
      </w:r>
    </w:p>
    <w:p>
      <w:pPr>
        <w:pStyle w:val="Normal"/>
        <w:ind w:left="720" w:hanging="0"/>
        <w:rPr>
          <w:sz w:val="24"/>
          <w:szCs w:val="24"/>
        </w:rPr>
      </w:pPr>
      <w:r>
        <w:rPr>
          <w:sz w:val="24"/>
          <w:szCs w:val="24"/>
        </w:rPr>
      </w:r>
    </w:p>
    <w:p>
      <w:pPr>
        <w:pStyle w:val="Normal"/>
        <w:numPr>
          <w:ilvl w:val="1"/>
          <w:numId w:val="1"/>
        </w:numPr>
        <w:rPr/>
      </w:pPr>
      <w:r>
        <w:rPr>
          <w:sz w:val="24"/>
          <w:szCs w:val="24"/>
        </w:rPr>
        <w:t xml:space="preserve">Chair presented </w:t>
      </w:r>
      <w:hyperlink r:id="rId8">
        <w:r>
          <w:rPr>
            <w:rStyle w:val="InternetLink"/>
            <w:sz w:val="24"/>
            <w:szCs w:val="24"/>
          </w:rPr>
          <w:t>draft meeting minutes</w:t>
        </w:r>
      </w:hyperlink>
      <w:r>
        <w:rPr>
          <w:sz w:val="24"/>
          <w:szCs w:val="24"/>
        </w:rPr>
        <w:t xml:space="preserve"> from 3 November 2022 RR-TAG weekly teleconference. No one had questions or comments.</w:t>
        <w:br/>
      </w:r>
      <w:r>
        <w:rPr>
          <w:b/>
          <w:bCs/>
          <w:sz w:val="24"/>
          <w:szCs w:val="24"/>
        </w:rPr>
        <w:br/>
        <w:t>Motion #2 (internal):</w:t>
      </w:r>
      <w:r>
        <w:rPr>
          <w:sz w:val="24"/>
          <w:szCs w:val="24"/>
        </w:rPr>
        <w:t xml:space="preserve"> To approve the weekly meeting minutes of the 3 November 2022 RR-TAG call as shown in the document </w:t>
      </w:r>
      <w:hyperlink r:id="rId10">
        <w:r>
          <w:rPr>
            <w:rStyle w:val="InternetLink"/>
            <w:color w:val="0563C1" w:themeColor="hyperlink"/>
            <w:sz w:val="24"/>
            <w:szCs w:val="24"/>
            <w:u w:val="none"/>
          </w:rPr>
          <w:t>18-22/0143r0</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Al Petrick</w:t>
      </w:r>
    </w:p>
    <w:p>
      <w:pPr>
        <w:pStyle w:val="Normal"/>
        <w:spacing w:before="0" w:after="0"/>
        <w:ind w:left="1440" w:hanging="0"/>
        <w:contextualSpacing/>
        <w:rPr/>
      </w:pPr>
      <w:r>
        <w:rPr>
          <w:sz w:val="24"/>
          <w:szCs w:val="24"/>
        </w:rPr>
        <w:t>Seconded by:  Amelia Andersdotter</w:t>
      </w:r>
    </w:p>
    <w:p>
      <w:pPr>
        <w:pStyle w:val="Normal"/>
        <w:spacing w:before="0" w:after="0"/>
        <w:ind w:left="1440" w:hanging="0"/>
        <w:contextualSpacing/>
        <w:rPr/>
      </w:pPr>
      <w:r>
        <w:rPr>
          <w:sz w:val="24"/>
          <w:szCs w:val="24"/>
        </w:rPr>
        <w:t>Discussion?  None.</w:t>
      </w:r>
    </w:p>
    <w:p>
      <w:pPr>
        <w:pStyle w:val="Normal"/>
        <w:spacing w:before="0" w:after="0"/>
        <w:ind w:left="1440" w:hanging="0"/>
        <w:contextualSpacing/>
        <w:rPr/>
      </w:pPr>
      <w:r>
        <w:rPr>
          <w:sz w:val="24"/>
          <w:szCs w:val="24"/>
        </w:rPr>
        <w:t>Vote:  Approved with unanimous consent</w:t>
      </w:r>
    </w:p>
    <w:p>
      <w:pPr>
        <w:pStyle w:val="Normal"/>
        <w:spacing w:before="0" w:after="0"/>
        <w:ind w:left="1440" w:hanging="0"/>
        <w:contextualSpacing/>
        <w:rPr>
          <w:sz w:val="24"/>
          <w:szCs w:val="24"/>
        </w:rPr>
      </w:pPr>
      <w:r>
        <w:rPr>
          <w:sz w:val="24"/>
          <w:szCs w:val="24"/>
        </w:rPr>
      </w:r>
    </w:p>
    <w:p>
      <w:pPr>
        <w:pStyle w:val="ListParagraph"/>
        <w:numPr>
          <w:ilvl w:val="1"/>
          <w:numId w:val="1"/>
        </w:numPr>
        <w:spacing w:before="0" w:after="0"/>
        <w:contextualSpacing/>
        <w:rPr>
          <w:sz w:val="24"/>
          <w:szCs w:val="24"/>
        </w:rPr>
      </w:pPr>
      <w:r>
        <w:rPr>
          <w:sz w:val="24"/>
          <w:szCs w:val="24"/>
        </w:rPr>
        <w:t>No one volunteered to be the chair of mmWave ad-hoc group, so by previous agreement a motion will formally disband the group. Chair reminds participants that any work can still be forwarded to the group for consideration even if it's undertaken outside of an ad-hoc group, including recommendations for IEEE 802.11 or IEEE 802.15.</w:t>
        <w:br/>
        <w:br/>
      </w:r>
      <w:r>
        <w:rPr>
          <w:b/>
          <w:bCs/>
          <w:sz w:val="24"/>
          <w:szCs w:val="24"/>
        </w:rPr>
        <w:t xml:space="preserve">Motion #3 (Internal): </w:t>
      </w:r>
      <w:r>
        <w:rPr>
          <w:sz w:val="24"/>
          <w:szCs w:val="24"/>
        </w:rPr>
        <w:t xml:space="preserve"> To approve disbanding the IEEE 802.18 mmWave ad-hoc.</w:t>
        <w:br/>
        <w:tab/>
        <w:t>Moved by: Vijay Auluck</w:t>
        <w:br/>
        <w:tab/>
        <w:t>Seconded by: Stuart Kerry</w:t>
        <w:br/>
        <w:tab/>
        <w:t xml:space="preserve">Discussion: </w:t>
        <w:br/>
        <w:tab/>
        <w:tab/>
      </w:r>
      <w:r>
        <w:rPr>
          <w:b/>
          <w:bCs/>
          <w:sz w:val="24"/>
          <w:szCs w:val="24"/>
        </w:rPr>
        <w:t>C:</w:t>
      </w:r>
      <w:r>
        <w:rPr>
          <w:sz w:val="24"/>
          <w:szCs w:val="24"/>
        </w:rPr>
        <w:t xml:space="preserve"> The activity of exploring mmWave bands should be undertaken in a separate working group (WG) similar to the TV White-space WG (IEEE 802.22).</w:t>
        <w:br/>
        <w:tab/>
        <w:t>Vote: Approved with unanimous consent.</w:t>
        <w:br/>
        <w:br/>
      </w:r>
      <w:r>
        <w:rPr>
          <w:b/>
          <w:bCs/>
          <w:sz w:val="24"/>
          <w:szCs w:val="24"/>
        </w:rPr>
        <w:t>Chair:</w:t>
      </w:r>
      <w:r>
        <w:rPr>
          <w:sz w:val="24"/>
          <w:szCs w:val="24"/>
        </w:rPr>
        <w:t xml:space="preserve"> I declare the ad-hoc group disbanded. </w:t>
      </w:r>
      <w:r>
        <w:rPr>
          <w:sz w:val="24"/>
          <w:szCs w:val="24"/>
          <w:shd w:fill="FFFF00" w:val="clear"/>
        </w:rPr>
        <w:t>I will cancel the remaining scheduled calls.</w:t>
      </w:r>
      <w:r>
        <w:rPr>
          <w:sz w:val="24"/>
          <w:szCs w:val="24"/>
        </w:rPr>
        <w:br/>
        <w:br/>
        <w:t>Chair presented draft minutes from 12 and 26 October 2022 of the mmWave. No questions or comments.</w:t>
        <w:br/>
        <w:br/>
      </w:r>
      <w:r>
        <w:rPr>
          <w:b/>
          <w:bCs/>
          <w:sz w:val="24"/>
          <w:szCs w:val="24"/>
        </w:rPr>
        <w:t xml:space="preserve">Motion #4 (Internal): </w:t>
      </w:r>
      <w:r>
        <w:rPr>
          <w:sz w:val="24"/>
          <w:szCs w:val="24"/>
        </w:rPr>
        <w:t xml:space="preserve"> To approve the meeting minutes of the 12 October and 26 October 2022 mmWave ad-hoc calls as shown in the documents </w:t>
      </w:r>
      <w:hyperlink r:id="rId11">
        <w:r>
          <w:rPr>
            <w:rStyle w:val="InternetLink"/>
            <w:sz w:val="24"/>
            <w:szCs w:val="24"/>
          </w:rPr>
          <w:t>18-22/0138r0</w:t>
        </w:r>
      </w:hyperlink>
      <w:r>
        <w:rPr>
          <w:sz w:val="24"/>
          <w:szCs w:val="24"/>
        </w:rPr>
        <w:t xml:space="preserve"> and </w:t>
      </w:r>
      <w:hyperlink r:id="rId12">
        <w:r>
          <w:rPr>
            <w:rStyle w:val="InternetLink"/>
            <w:sz w:val="24"/>
            <w:szCs w:val="24"/>
          </w:rPr>
          <w:t>18-22/0148r0</w:t>
        </w:r>
      </w:hyperlink>
      <w:r>
        <w:rPr>
          <w:sz w:val="24"/>
          <w:szCs w:val="24"/>
        </w:rPr>
        <w:t>, with editorial privilege for the 802.18 Chair.</w:t>
        <w:br/>
        <w:tab/>
        <w:t>Moved by: Amelia Andersdotter</w:t>
        <w:br/>
        <w:tab/>
        <w:t>Seconded by: Stuart Kerry</w:t>
        <w:br/>
        <w:tab/>
        <w:t>Discussion: None</w:t>
        <w:br/>
        <w:tab/>
        <w:t>Vote: Approved with unanimous consent.</w:t>
        <w:br/>
      </w:r>
    </w:p>
    <w:p>
      <w:pPr>
        <w:pStyle w:val="ListParagraph"/>
        <w:numPr>
          <w:ilvl w:val="1"/>
          <w:numId w:val="1"/>
        </w:numPr>
        <w:spacing w:before="0" w:after="0"/>
        <w:contextualSpacing/>
        <w:rPr>
          <w:sz w:val="24"/>
          <w:szCs w:val="24"/>
        </w:rPr>
      </w:pPr>
      <w:r>
        <w:rPr>
          <w:sz w:val="24"/>
          <w:szCs w:val="24"/>
        </w:rPr>
        <w:t>IEEE 802 LMSC Executive Committee (EC) has understood the current position of IEEE 802.18 not to prefer an update of the existing spectrum statement from 2018. For strategic reasons, the LMSC EC still feels that there is a need for a spectrum statement presenting the latest work of the IEEE 802 LMSC working groups in wireless technologies and future expectations.</w:t>
        <w:br/>
        <w:br/>
        <w:t>A strawpoll in the IEEE 802.18 ISUS Ad-hoc group indicated that a new time slot suitable for the majority of participants is on Fridays rather than Mondays.</w:t>
        <w:br/>
        <w:br/>
      </w:r>
      <w:r>
        <w:rPr>
          <w:b/>
          <w:bCs/>
          <w:sz w:val="24"/>
          <w:szCs w:val="24"/>
        </w:rPr>
        <w:t>Motion #5 (Internal):</w:t>
      </w:r>
      <w:r>
        <w:rPr>
          <w:sz w:val="24"/>
          <w:szCs w:val="24"/>
        </w:rPr>
        <w:t xml:space="preserve">  The 802.18 Chair designee is directed to conduct, as necessary, the ISUS ad-hoc teleconference calls on Fridays at 12:00 ET for 60 minutes from 9 December 2022 through 26 May 2023.</w:t>
        <w:br/>
        <w:tab/>
        <w:t>Moved by: Amelia Andersdotter</w:t>
        <w:br/>
        <w:tab/>
        <w:t>Seconded by: Benjamin Rolfe</w:t>
        <w:br/>
        <w:tab/>
        <w:t>Discussion: None</w:t>
        <w:br/>
        <w:tab/>
        <w:t>Vote: Approved with unanimous consent.</w:t>
        <w:br/>
        <w:br/>
        <w:t>Chair reminds the group of ISUS Scope Statement and the important of contributing with an encompassing view of IEEE 802 technologies.</w:t>
        <w:br/>
      </w:r>
    </w:p>
    <w:p>
      <w:pPr>
        <w:pStyle w:val="ListParagraph"/>
        <w:numPr>
          <w:ilvl w:val="0"/>
          <w:numId w:val="1"/>
        </w:numPr>
        <w:spacing w:before="0" w:after="0"/>
        <w:contextualSpacing/>
        <w:rPr/>
      </w:pPr>
      <w:r>
        <w:rPr>
          <w:b/>
          <w:bCs/>
          <w:sz w:val="24"/>
          <w:szCs w:val="24"/>
        </w:rPr>
        <w:t xml:space="preserve">Status of ongoing consultations </w:t>
      </w:r>
      <w:r>
        <w:rPr>
          <w:sz w:val="24"/>
          <w:szCs w:val="24"/>
        </w:rPr>
        <w:t>(</w:t>
      </w:r>
      <w:hyperlink r:id="rId13">
        <w:r>
          <w:rPr>
            <w:rStyle w:val="InternetLink"/>
            <w:sz w:val="24"/>
            <w:szCs w:val="24"/>
          </w:rPr>
          <w:t>18-22-0035r47</w:t>
        </w:r>
      </w:hyperlink>
      <w:r>
        <w:rPr>
          <w:sz w:val="24"/>
          <w:szCs w:val="24"/>
        </w:rPr>
        <w:t>), Edward Au (Chair)</w:t>
        <w:br/>
        <w:br/>
      </w:r>
      <w:r>
        <w:rPr/>
        <w:t>The Chair reminded the group of the submission deadline for the consultations.</w:t>
        <w:br/>
        <w:br/>
        <w:t xml:space="preserve">Discussion on IEEE 802.15 concerns on Japan MIC WRC-23 consultation. </w:t>
      </w:r>
      <w:r>
        <w:rPr>
          <w:shd w:fill="FFFF00" w:val="clear"/>
        </w:rPr>
        <w:t>Chair will provide a template for constructing answers that can be presented to the IEEE 802 LMSC EC. Chair will bring up an agenda item with the EC.</w:t>
      </w:r>
    </w:p>
    <w:p>
      <w:pPr>
        <w:pStyle w:val="ListParagraph"/>
        <w:spacing w:before="0" w:after="0"/>
        <w:ind w:left="360" w:hanging="0"/>
        <w:contextualSpacing/>
        <w:rPr>
          <w:sz w:val="24"/>
          <w:szCs w:val="24"/>
        </w:rPr>
      </w:pPr>
      <w:r>
        <w:rPr>
          <w:sz w:val="24"/>
          <w:szCs w:val="24"/>
        </w:rPr>
      </w:r>
      <w:r>
        <w:br w:type="page"/>
      </w:r>
    </w:p>
    <w:p>
      <w:pPr>
        <w:pStyle w:val="ListParagraph"/>
        <w:numPr>
          <w:ilvl w:val="0"/>
          <w:numId w:val="1"/>
        </w:numPr>
        <w:spacing w:before="0" w:after="0"/>
        <w:contextualSpacing/>
        <w:rPr/>
      </w:pPr>
      <w:r>
        <w:rPr>
          <w:b/>
          <w:sz w:val="24"/>
          <w:szCs w:val="24"/>
        </w:rPr>
        <w:t>General items</w:t>
        <w:br/>
      </w:r>
    </w:p>
    <w:p>
      <w:pPr>
        <w:pStyle w:val="ListParagraph"/>
        <w:numPr>
          <w:ilvl w:val="1"/>
          <w:numId w:val="1"/>
        </w:numPr>
        <w:spacing w:before="0" w:after="0"/>
        <w:contextualSpacing/>
        <w:rPr/>
      </w:pPr>
      <w:r>
        <w:rPr>
          <w:b/>
          <w:sz w:val="24"/>
          <w:szCs w:val="24"/>
        </w:rPr>
        <w:t>Europe</w:t>
        <w:br/>
        <w:br/>
      </w:r>
      <w:r>
        <w:rPr>
          <w:sz w:val="24"/>
          <w:szCs w:val="24"/>
        </w:rPr>
        <w:t>No updates</w:t>
        <w:br/>
      </w:r>
    </w:p>
    <w:p>
      <w:pPr>
        <w:pStyle w:val="ListParagraph"/>
        <w:numPr>
          <w:ilvl w:val="1"/>
          <w:numId w:val="1"/>
        </w:numPr>
        <w:spacing w:before="0" w:after="0"/>
        <w:contextualSpacing/>
        <w:rPr/>
      </w:pPr>
      <w:r>
        <w:rPr>
          <w:b/>
          <w:bCs/>
          <w:sz w:val="24"/>
          <w:szCs w:val="24"/>
        </w:rPr>
        <w:t>Americas</w:t>
      </w:r>
      <w:r>
        <w:rPr>
          <w:sz w:val="24"/>
          <w:szCs w:val="24"/>
        </w:rPr>
        <w:br/>
        <w:br/>
        <w:t>The FCC open commission meeting is scheduled for 10:30AM ET on 21 December 2022.</w:t>
      </w:r>
    </w:p>
    <w:p>
      <w:pPr>
        <w:pStyle w:val="ListParagraph"/>
        <w:spacing w:before="0" w:after="0"/>
        <w:contextualSpacing/>
        <w:rPr/>
      </w:pPr>
      <w:r>
        <w:rPr/>
      </w:r>
    </w:p>
    <w:p>
      <w:pPr>
        <w:pStyle w:val="ListParagraph"/>
        <w:numPr>
          <w:ilvl w:val="1"/>
          <w:numId w:val="1"/>
        </w:numPr>
        <w:spacing w:before="0" w:after="0"/>
        <w:contextualSpacing/>
        <w:rPr/>
      </w:pPr>
      <w:r>
        <w:rPr>
          <w:b/>
          <w:bCs/>
          <w:sz w:val="24"/>
          <w:szCs w:val="24"/>
        </w:rPr>
        <w:t>Asia-Pacific</w:t>
      </w:r>
    </w:p>
    <w:p>
      <w:pPr>
        <w:pStyle w:val="ListParagraph"/>
        <w:rPr>
          <w:sz w:val="24"/>
          <w:szCs w:val="24"/>
        </w:rPr>
      </w:pPr>
      <w:r>
        <w:rPr>
          <w:sz w:val="24"/>
          <w:szCs w:val="24"/>
        </w:rPr>
      </w:r>
    </w:p>
    <w:p>
      <w:pPr>
        <w:pStyle w:val="ListParagraph"/>
        <w:rPr/>
      </w:pPr>
      <w:r>
        <w:rPr>
          <w:sz w:val="24"/>
          <w:szCs w:val="24"/>
        </w:rPr>
        <w:t xml:space="preserve">On 21 November 2022, Japan MIC published an updated </w:t>
      </w:r>
      <w:hyperlink r:id="rId14">
        <w:r>
          <w:rPr>
            <w:rStyle w:val="InternetLink"/>
            <w:sz w:val="24"/>
            <w:szCs w:val="24"/>
          </w:rPr>
          <w:t>national frequency structure action plan</w:t>
        </w:r>
      </w:hyperlink>
      <w:r>
        <w:rPr>
          <w:sz w:val="24"/>
          <w:szCs w:val="24"/>
        </w:rPr>
        <w:t xml:space="preserve">. </w:t>
        <w:br/>
        <w:tab/>
      </w:r>
      <w:r>
        <w:rPr>
          <w:sz w:val="20"/>
        </w:rPr>
        <w:t>- Proceed with studies on sharing with other wireless systems regarding frequency expansion to the 6425~7125 MHz band. and the IMT candidate frequency band (7025~7125 MHz) at WRC-23. Japan MIC will summarize the technical conditions during FY2023.</w:t>
      </w:r>
    </w:p>
    <w:p>
      <w:pPr>
        <w:pStyle w:val="ListParagraph"/>
        <w:rPr/>
      </w:pPr>
      <w:r>
        <w:rPr>
          <w:sz w:val="20"/>
        </w:rPr>
        <w:tab/>
        <w:t>- Consider the matter regarding the high power outdoor use of wireless LAN in the 5925~6425 MHz band and the use of narrow band devices, e.g., technical conditions including the possibility of frequency sharing.</w:t>
      </w:r>
      <w:r>
        <w:rPr>
          <w:sz w:val="24"/>
          <w:szCs w:val="24"/>
        </w:rPr>
        <w:br/>
        <w:br/>
        <w:t xml:space="preserve">On 23 November 2022, Korea MSIT published updated </w:t>
      </w:r>
      <w:hyperlink r:id="rId15">
        <w:r>
          <w:rPr>
            <w:rStyle w:val="InternetLink"/>
            <w:sz w:val="24"/>
            <w:szCs w:val="24"/>
          </w:rPr>
          <w:t>table on frequency allocation</w:t>
        </w:r>
      </w:hyperlink>
      <w:r>
        <w:rPr>
          <w:sz w:val="24"/>
          <w:szCs w:val="24"/>
        </w:rPr>
        <w:t xml:space="preserve">. </w:t>
      </w:r>
    </w:p>
    <w:p>
      <w:pPr>
        <w:pStyle w:val="ListParagraph"/>
        <w:rPr/>
      </w:pPr>
      <w:r>
        <w:rPr>
          <w:sz w:val="24"/>
          <w:szCs w:val="24"/>
        </w:rPr>
        <w:tab/>
      </w:r>
      <w:r>
        <w:rPr>
          <w:sz w:val="20"/>
        </w:rPr>
        <w:t>- Takes into account satellite usage at 5460~5470 MHz and 5470~5570 MHz.</w:t>
      </w:r>
      <w:r>
        <w:rPr>
          <w:sz w:val="24"/>
          <w:szCs w:val="24"/>
        </w:rPr>
        <w:br/>
      </w:r>
    </w:p>
    <w:p>
      <w:pPr>
        <w:pStyle w:val="ListParagraph"/>
        <w:numPr>
          <w:ilvl w:val="1"/>
          <w:numId w:val="1"/>
        </w:numPr>
        <w:spacing w:before="0" w:after="0"/>
        <w:contextualSpacing/>
        <w:rPr/>
      </w:pPr>
      <w:r>
        <w:rPr>
          <w:b/>
          <w:bCs/>
          <w:sz w:val="24"/>
          <w:szCs w:val="24"/>
        </w:rPr>
        <w:t>Other countries or regions?</w:t>
      </w:r>
      <w:r>
        <w:rPr>
          <w:sz w:val="24"/>
          <w:szCs w:val="24"/>
        </w:rPr>
        <w:br/>
        <w:br/>
        <w:t>No updates.</w:t>
      </w:r>
      <w:r>
        <w:rPr>
          <w:b/>
          <w:sz w:val="24"/>
          <w:szCs w:val="24"/>
        </w:rPr>
        <w:br/>
      </w:r>
    </w:p>
    <w:p>
      <w:pPr>
        <w:pStyle w:val="ListParagraph"/>
        <w:numPr>
          <w:ilvl w:val="0"/>
          <w:numId w:val="1"/>
        </w:numPr>
        <w:spacing w:before="0" w:after="0"/>
        <w:contextualSpacing/>
        <w:rPr/>
      </w:pPr>
      <w:r>
        <w:rPr>
          <w:b/>
          <w:bCs/>
          <w:sz w:val="24"/>
          <w:szCs w:val="24"/>
        </w:rPr>
        <w:t>Reminder of future meetings</w:t>
      </w:r>
      <w:r>
        <w:rPr>
          <w:sz w:val="24"/>
          <w:szCs w:val="24"/>
        </w:rPr>
        <w:br/>
        <w:br/>
        <w:t>The ISUS Ad-hoc calls will proceed on 9 December 2022.</w:t>
        <w:br/>
        <w:br/>
        <w:t>The mmWave ad-hoc calls are canceled.</w:t>
        <w:br/>
        <w:br/>
        <w:t>The regular weekly teleconference call will take place on 8 December 2022.</w:t>
        <w:br/>
        <w:br/>
        <w:t>Reminder of IEEE 802 Wireless Interim meeting in Baltimore, Maryland, US has an early-bird registration deadline of 9 December 2022.  It is an credited interim.</w:t>
      </w:r>
      <w:r>
        <w:rPr>
          <w:b/>
          <w:sz w:val="24"/>
          <w:szCs w:val="24"/>
        </w:rPr>
        <w:br/>
      </w:r>
    </w:p>
    <w:p>
      <w:pPr>
        <w:pStyle w:val="Normal"/>
        <w:numPr>
          <w:ilvl w:val="0"/>
          <w:numId w:val="1"/>
        </w:numPr>
        <w:spacing w:before="0" w:after="0"/>
        <w:contextualSpacing/>
        <w:rPr/>
      </w:pPr>
      <w:r>
        <w:rPr>
          <w:b/>
          <w:sz w:val="24"/>
          <w:szCs w:val="24"/>
        </w:rPr>
        <w:t>Any other business</w:t>
      </w:r>
    </w:p>
    <w:p>
      <w:pPr>
        <w:pStyle w:val="Normal"/>
        <w:spacing w:before="0" w:after="0"/>
        <w:ind w:left="720" w:hanging="0"/>
        <w:contextualSpacing/>
        <w:rPr>
          <w:sz w:val="24"/>
          <w:szCs w:val="24"/>
        </w:rPr>
      </w:pPr>
      <w:r>
        <w:rPr>
          <w:sz w:val="24"/>
          <w:szCs w:val="24"/>
        </w:rPr>
      </w:r>
    </w:p>
    <w:p>
      <w:pPr>
        <w:pStyle w:val="Normal"/>
        <w:spacing w:before="0" w:after="0"/>
        <w:ind w:left="720" w:hanging="0"/>
        <w:contextualSpacing/>
        <w:rPr/>
      </w:pPr>
      <w:r>
        <w:rPr>
          <w:sz w:val="24"/>
          <w:szCs w:val="24"/>
        </w:rPr>
        <w:t>Chair called for AOB.  None heard.</w:t>
        <w:br/>
      </w:r>
    </w:p>
    <w:p>
      <w:pPr>
        <w:pStyle w:val="Normal"/>
        <w:numPr>
          <w:ilvl w:val="0"/>
          <w:numId w:val="1"/>
        </w:numPr>
        <w:spacing w:before="0" w:after="0"/>
        <w:contextualSpacing/>
        <w:rPr/>
      </w:pPr>
      <w:r>
        <w:rPr>
          <w:b/>
          <w:sz w:val="24"/>
          <w:szCs w:val="24"/>
        </w:rPr>
        <w:t>Final administrative items</w:t>
      </w:r>
    </w:p>
    <w:p>
      <w:pPr>
        <w:pStyle w:val="Normal"/>
        <w:spacing w:before="0" w:after="0"/>
        <w:ind w:left="720" w:hanging="0"/>
        <w:contextualSpacing/>
        <w:rPr/>
      </w:pPr>
      <w:r>
        <w:rPr>
          <w:color w:val="000000"/>
          <w:sz w:val="24"/>
          <w:szCs w:val="24"/>
        </w:rPr>
        <w:t>19</w:t>
      </w:r>
      <w:bookmarkStart w:id="0" w:name="_GoBack"/>
      <w:bookmarkEnd w:id="0"/>
      <w:r>
        <w:rPr>
          <w:color w:val="000000"/>
          <w:sz w:val="24"/>
          <w:szCs w:val="24"/>
        </w:rPr>
        <w:t xml:space="preserve"> attendees, 17 voters (including the chair) [Report by Stuart Kerry]. </w:t>
      </w:r>
    </w:p>
    <w:p>
      <w:pPr>
        <w:pStyle w:val="Normal"/>
        <w:numPr>
          <w:ilvl w:val="1"/>
          <w:numId w:val="1"/>
        </w:numPr>
        <w:spacing w:before="0" w:after="0"/>
        <w:contextualSpacing/>
        <w:rPr/>
      </w:pPr>
      <w:r>
        <w:rPr>
          <w:color w:val="000000"/>
          <w:sz w:val="24"/>
          <w:szCs w:val="24"/>
        </w:rPr>
        <w:t xml:space="preserve">Next 802.18 weekly teleconference is scheduled for 8 Dec 2022, 15:00 ET. Next 802.18 plenary in-person and teleconference calls scheduled for week: 15 Jan to 20 Jan 2023.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https://mentor.ieee.org/802.18/dcn/16/18-16-0038-29-0000-teleconference-call-in-info.pptx</w:t>
      </w:r>
    </w:p>
    <w:p>
      <w:pPr>
        <w:pStyle w:val="Normal"/>
        <w:numPr>
          <w:ilvl w:val="3"/>
          <w:numId w:val="1"/>
        </w:numPr>
        <w:spacing w:before="0" w:after="0"/>
        <w:contextualSpacing/>
        <w:rPr/>
      </w:pPr>
      <w:r>
        <w:rPr>
          <w:color w:val="000000"/>
          <w:sz w:val="24"/>
          <w:szCs w:val="24"/>
        </w:rPr>
        <w:t xml:space="preserve">IEEE 802 Wireless Interim meeting is 15-20 January 2022 in Baltimore, Maryland, US.  </w:t>
      </w:r>
    </w:p>
    <w:p>
      <w:pPr>
        <w:pStyle w:val="Normal"/>
        <w:numPr>
          <w:ilvl w:val="3"/>
          <w:numId w:val="1"/>
        </w:numPr>
        <w:spacing w:before="0" w:after="0"/>
        <w:contextualSpacing/>
        <w:rPr/>
      </w:pPr>
      <w:r>
        <w:rPr>
          <w:color w:val="000000"/>
          <w:sz w:val="24"/>
          <w:szCs w:val="24"/>
        </w:rPr>
        <w:t xml:space="preserve">Currently, RR-TAG weekly teleconferences are scheduled until 25 May 2023.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6">
        <w:r>
          <w:rPr>
            <w:rStyle w:val="Internetlnk"/>
            <w:sz w:val="24"/>
            <w:szCs w:val="24"/>
          </w:rPr>
          <w:t>https://ieee802.org/16/cal-temp.html</w:t>
        </w:r>
      </w:hyperlink>
      <w:r>
        <w:rPr>
          <w:sz w:val="24"/>
          <w:szCs w:val="24"/>
        </w:rPr>
        <w:t xml:space="preserve"> or only 802.18:  </w:t>
      </w:r>
      <w:hyperlink r:id="rId17">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15:59 ET</w:t>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r>
    </w:p>
    <w:p>
      <w:pPr>
        <w:pStyle w:val="ListParagraph"/>
        <w:ind w:left="0" w:hanging="0"/>
        <w:rPr>
          <w:rFonts w:ascii="Arial" w:hAnsi="Arial" w:eastAsia="Times New Roman" w:cs="Arial"/>
          <w:b/>
          <w:b/>
          <w:bCs/>
          <w:sz w:val="20"/>
          <w:szCs w:val="24"/>
        </w:rPr>
      </w:pPr>
      <w:r>
        <w:rPr>
          <w:rFonts w:eastAsia="Times New Roman" w:cs="Arial" w:ascii="Arial" w:hAnsi="Arial"/>
          <w:b/>
          <w:bCs/>
          <w:sz w:val="20"/>
          <w:szCs w:val="24"/>
        </w:rPr>
      </w:r>
    </w:p>
    <w:p>
      <w:pPr>
        <w:pStyle w:val="ListParagraph"/>
        <w:ind w:left="0" w:hanging="0"/>
        <w:rPr>
          <w:rFonts w:ascii="Arial" w:hAnsi="Arial" w:eastAsia="Times New Roman" w:cs="Arial"/>
          <w:b/>
          <w:b/>
          <w:bCs/>
          <w:sz w:val="20"/>
          <w:szCs w:val="24"/>
        </w:rPr>
      </w:pPr>
      <w:r>
        <w:rPr>
          <w:rFonts w:eastAsia="Times New Roman" w:cs="Arial" w:ascii="Arial" w:hAnsi="Arial"/>
          <w:b/>
          <w:bCs/>
          <w:sz w:val="20"/>
          <w:szCs w:val="24"/>
        </w:rPr>
      </w:r>
    </w:p>
    <w:tbl>
      <w:tblPr>
        <w:tblW w:w="5000" w:type="pct"/>
        <w:jc w:val="left"/>
        <w:tblInd w:w="0" w:type="dxa"/>
        <w:tblLayout w:type="fixed"/>
        <w:tblCellMar>
          <w:top w:w="0" w:type="dxa"/>
          <w:left w:w="0" w:type="dxa"/>
          <w:bottom w:w="0" w:type="dxa"/>
          <w:right w:w="0" w:type="dxa"/>
        </w:tblCellMar>
        <w:tblLook w:val="04a0" w:noHBand="0" w:noVBand="1" w:firstColumn="1" w:lastRow="0" w:lastColumn="0" w:firstRow="1"/>
      </w:tblPr>
      <w:tblGrid>
        <w:gridCol w:w="435"/>
        <w:gridCol w:w="1454"/>
        <w:gridCol w:w="2071"/>
        <w:gridCol w:w="5309"/>
        <w:gridCol w:w="811"/>
      </w:tblGrid>
      <w:tr>
        <w:trPr/>
        <w:tc>
          <w:tcPr>
            <w:tcW w:w="9269" w:type="dxa"/>
            <w:gridSpan w:val="4"/>
            <w:tcBorders/>
            <w:vAlign w:val="center"/>
          </w:tcPr>
          <w:p>
            <w:pPr>
              <w:pStyle w:val="TableContents"/>
              <w:widowControl w:val="false"/>
              <w:rPr>
                <w:rFonts w:ascii="Arial;sans-serif" w:hAnsi="Arial;sans-serif"/>
                <w:b/>
                <w:b/>
                <w:sz w:val="20"/>
              </w:rPr>
            </w:pPr>
            <w:r>
              <w:rPr>
                <w:rFonts w:ascii="Arial;sans-serif" w:hAnsi="Arial;sans-serif"/>
                <w:b/>
                <w:sz w:val="20"/>
              </w:rPr>
              <w:t>Voting Attendees:</w:t>
            </w:r>
          </w:p>
        </w:tc>
        <w:tc>
          <w:tcPr>
            <w:tcW w:w="811"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1-Dec</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1</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Andersdotter</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Amelia</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Sky Group/Comcast</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2</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Au</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Edward (Kwok Shum)</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Huawei Technologies Co., Ltd</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3</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Auluck</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Vijay</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Self</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4</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Boldy</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David</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Broadcom Corporation</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5</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Fang</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Yonggang</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MediaTek</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6</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Holcomb</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Jay</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Self</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7</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Jeffries</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Timothy</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FutureWei Technologies, Inc.</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8</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Kain</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Carl</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USDOT, Noblis, Inc.</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9</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Kenney</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John</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TOYOTA InfoTechnology Center U.S.A.</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10</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Kerry</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Stuart</w:t>
            </w:r>
          </w:p>
        </w:tc>
        <w:tc>
          <w:tcPr>
            <w:tcW w:w="5309" w:type="dxa"/>
            <w:tcBorders/>
            <w:vAlign w:val="center"/>
          </w:tcPr>
          <w:p>
            <w:pPr>
              <w:pStyle w:val="TableContents"/>
              <w:widowControl w:val="false"/>
              <w:rPr/>
            </w:pPr>
            <w:r>
              <w:rPr>
                <w:rFonts w:ascii="Arial;sans-serif" w:hAnsi="Arial;sans-serif"/>
                <w:sz w:val="20"/>
              </w:rPr>
              <w:t>OK</w:t>
            </w:r>
            <w:r>
              <w:rPr/>
              <w:t>‐</w:t>
            </w:r>
            <w:r>
              <w:rPr>
                <w:rFonts w:ascii="Arial;sans-serif" w:hAnsi="Arial;sans-serif"/>
                <w:sz w:val="20"/>
              </w:rPr>
              <w:t>Brit, Self</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11</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Kürner</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Thomas</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TU Braunschweig</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12</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Lynch</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Michael</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MJ Lynch &amp; Associates, LLC.</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13</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Petrick</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Al</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Skyworks Solutions Inc.</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14</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Pirhonen</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Riku</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NXP Semiconductors</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15</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Powell</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Clint</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Meta Platforms, Inc.; Powell Wireless Commsulting, LLC</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16</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Rolfe</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Benjamin</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Blind Creek Associates</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17</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Ward</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Lisa</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Rohde &amp; Schwarz</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rPr>
                <w:sz w:val="4"/>
                <w:szCs w:val="4"/>
              </w:rPr>
            </w:pPr>
            <w:r>
              <w:rPr>
                <w:sz w:val="4"/>
                <w:szCs w:val="4"/>
              </w:rPr>
            </w:r>
          </w:p>
        </w:tc>
        <w:tc>
          <w:tcPr>
            <w:tcW w:w="1454" w:type="dxa"/>
            <w:tcBorders/>
            <w:vAlign w:val="center"/>
          </w:tcPr>
          <w:p>
            <w:pPr>
              <w:pStyle w:val="TableContents"/>
              <w:widowControl w:val="false"/>
              <w:rPr>
                <w:sz w:val="4"/>
                <w:szCs w:val="4"/>
              </w:rPr>
            </w:pPr>
            <w:r>
              <w:rPr>
                <w:sz w:val="4"/>
                <w:szCs w:val="4"/>
              </w:rPr>
            </w:r>
          </w:p>
        </w:tc>
        <w:tc>
          <w:tcPr>
            <w:tcW w:w="2071" w:type="dxa"/>
            <w:tcBorders/>
            <w:vAlign w:val="center"/>
          </w:tcPr>
          <w:p>
            <w:pPr>
              <w:pStyle w:val="TableContents"/>
              <w:widowControl w:val="false"/>
              <w:rPr>
                <w:sz w:val="4"/>
                <w:szCs w:val="4"/>
              </w:rPr>
            </w:pPr>
            <w:r>
              <w:rPr>
                <w:sz w:val="4"/>
                <w:szCs w:val="4"/>
              </w:rPr>
            </w:r>
          </w:p>
        </w:tc>
        <w:tc>
          <w:tcPr>
            <w:tcW w:w="5309" w:type="dxa"/>
            <w:tcBorders/>
            <w:vAlign w:val="center"/>
          </w:tcPr>
          <w:p>
            <w:pPr>
              <w:pStyle w:val="TableContents"/>
              <w:widowControl w:val="false"/>
              <w:rPr>
                <w:sz w:val="4"/>
                <w:szCs w:val="4"/>
              </w:rPr>
            </w:pPr>
            <w:r>
              <w:rPr>
                <w:sz w:val="4"/>
                <w:szCs w:val="4"/>
              </w:rPr>
            </w:r>
          </w:p>
        </w:tc>
        <w:tc>
          <w:tcPr>
            <w:tcW w:w="811" w:type="dxa"/>
            <w:tcBorders/>
            <w:vAlign w:val="center"/>
          </w:tcPr>
          <w:p>
            <w:pPr>
              <w:pStyle w:val="TableContents"/>
              <w:widowControl w:val="false"/>
              <w:rPr>
                <w:sz w:val="4"/>
                <w:szCs w:val="4"/>
              </w:rPr>
            </w:pPr>
            <w:r>
              <w:rPr>
                <w:sz w:val="4"/>
                <w:szCs w:val="4"/>
              </w:rPr>
            </w:r>
          </w:p>
        </w:tc>
      </w:tr>
      <w:tr>
        <w:trPr/>
        <w:tc>
          <w:tcPr>
            <w:tcW w:w="9269" w:type="dxa"/>
            <w:gridSpan w:val="4"/>
            <w:tcBorders/>
            <w:vAlign w:val="center"/>
          </w:tcPr>
          <w:p>
            <w:pPr>
              <w:pStyle w:val="TableContents"/>
              <w:widowControl w:val="false"/>
              <w:rPr>
                <w:rFonts w:ascii="Arial;sans-serif" w:hAnsi="Arial;sans-serif"/>
                <w:b/>
                <w:b/>
                <w:sz w:val="20"/>
              </w:rPr>
            </w:pPr>
            <w:r>
              <w:rPr>
                <w:rFonts w:ascii="Arial;sans-serif" w:hAnsi="Arial;sans-serif"/>
                <w:b/>
                <w:sz w:val="20"/>
              </w:rPr>
              <w:t>Non-Voting Attendees:</w:t>
            </w:r>
          </w:p>
        </w:tc>
        <w:tc>
          <w:tcPr>
            <w:tcW w:w="811"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1-Dec</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1</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Halasz</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Dave</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Morse Micro</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435" w:type="dxa"/>
            <w:tcBorders/>
            <w:vAlign w:val="center"/>
          </w:tcPr>
          <w:p>
            <w:pPr>
              <w:pStyle w:val="TableContents"/>
              <w:widowControl w:val="false"/>
              <w:jc w:val="center"/>
              <w:rPr>
                <w:rFonts w:ascii="Arial;sans-serif" w:hAnsi="Arial;sans-serif"/>
                <w:sz w:val="20"/>
              </w:rPr>
            </w:pPr>
            <w:r>
              <w:rPr>
                <w:rFonts w:ascii="Arial;sans-serif" w:hAnsi="Arial;sans-serif"/>
                <w:sz w:val="20"/>
              </w:rPr>
              <w:t>2</w:t>
            </w:r>
          </w:p>
        </w:tc>
        <w:tc>
          <w:tcPr>
            <w:tcW w:w="1454" w:type="dxa"/>
            <w:tcBorders/>
            <w:vAlign w:val="center"/>
          </w:tcPr>
          <w:p>
            <w:pPr>
              <w:pStyle w:val="TableContents"/>
              <w:widowControl w:val="false"/>
              <w:rPr>
                <w:rFonts w:ascii="Arial;sans-serif" w:hAnsi="Arial;sans-serif"/>
                <w:b/>
                <w:b/>
                <w:sz w:val="20"/>
              </w:rPr>
            </w:pPr>
            <w:r>
              <w:rPr>
                <w:rFonts w:ascii="Arial;sans-serif" w:hAnsi="Arial;sans-serif"/>
                <w:b/>
                <w:sz w:val="20"/>
              </w:rPr>
              <w:t>Hernandez</w:t>
            </w:r>
          </w:p>
        </w:tc>
        <w:tc>
          <w:tcPr>
            <w:tcW w:w="2071" w:type="dxa"/>
            <w:tcBorders/>
            <w:vAlign w:val="center"/>
          </w:tcPr>
          <w:p>
            <w:pPr>
              <w:pStyle w:val="TableContents"/>
              <w:widowControl w:val="false"/>
              <w:rPr>
                <w:rFonts w:ascii="Arial;sans-serif" w:hAnsi="Arial;sans-serif"/>
                <w:sz w:val="20"/>
              </w:rPr>
            </w:pPr>
            <w:r>
              <w:rPr>
                <w:rFonts w:ascii="Arial;sans-serif" w:hAnsi="Arial;sans-serif"/>
                <w:sz w:val="20"/>
              </w:rPr>
              <w:t>Marc</w:t>
            </w:r>
          </w:p>
        </w:tc>
        <w:tc>
          <w:tcPr>
            <w:tcW w:w="5309" w:type="dxa"/>
            <w:tcBorders/>
            <w:vAlign w:val="center"/>
          </w:tcPr>
          <w:p>
            <w:pPr>
              <w:pStyle w:val="TableContents"/>
              <w:widowControl w:val="false"/>
              <w:rPr>
                <w:rFonts w:ascii="Arial;sans-serif" w:hAnsi="Arial;sans-serif"/>
                <w:sz w:val="20"/>
              </w:rPr>
            </w:pPr>
            <w:r>
              <w:rPr>
                <w:rFonts w:ascii="Arial;sans-serif" w:hAnsi="Arial;sans-serif"/>
                <w:sz w:val="20"/>
              </w:rPr>
              <w:t>Yokosuka Research Park-Institute for International Collaboration, National Institute of Information &amp; Communications Technology (YRP-IAI NICT)</w:t>
            </w:r>
          </w:p>
        </w:tc>
        <w:tc>
          <w:tcPr>
            <w:tcW w:w="81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bl>
    <w:p>
      <w:pPr>
        <w:pStyle w:val="ListParagraph"/>
        <w:ind w:left="0" w:hanging="0"/>
        <w:rPr>
          <w:rFonts w:ascii="Arial" w:hAnsi="Arial" w:eastAsia="Times New Roman" w:cs="Arial"/>
          <w:b/>
          <w:b/>
          <w:bCs/>
          <w:sz w:val="20"/>
          <w:szCs w:val="24"/>
        </w:rPr>
      </w:pPr>
      <w:r>
        <w:rPr/>
      </w:r>
    </w:p>
    <w:sectPr>
      <w:headerReference w:type="default" r:id="rId18"/>
      <w:footerReference w:type="default" r:id="rId19"/>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5</w:t>
    </w:r>
    <w:r>
      <w:rPr/>
      <w:fldChar w:fldCharType="end"/>
    </w:r>
    <w:r>
      <w:rPr/>
      <w:t xml:space="preserve"> of </w:t>
    </w:r>
    <w:r>
      <w:rPr/>
      <w:fldChar w:fldCharType="begin"/>
    </w:r>
    <w:r>
      <w:rPr/>
      <w:instrText xml:space="preserve"> NUMPAGES </w:instrText>
    </w:r>
    <w:r>
      <w:rPr/>
      <w:fldChar w:fldCharType="separate"/>
    </w:r>
    <w:r>
      <w:rPr/>
      <w:t>5</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Dec 2022</w:t>
      <w:tab/>
      <w:tab/>
      <w:t>doc.: IEEE 802.18-22-01</w:t>
    </w:r>
    <w:r>
      <w:rPr/>
      <w:t>51</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unhideWhenUsed/>
    <w:qFormat/>
    <w:rsid w:val="005f0a03"/>
    <w:rPr>
      <w:color w:val="0563C1" w:themeColor="hyperlink"/>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ing" w:customStyle="1">
    <w:name w:val="Line Numbering"/>
    <w:rPr/>
  </w:style>
  <w:style w:type="character" w:styleId="UnresolvedMention" w:customStyle="1">
    <w:name w:val="Unresolved Mention"/>
    <w:basedOn w:val="DefaultParagraphFont"/>
    <w:uiPriority w:val="99"/>
    <w:semiHidden/>
    <w:unhideWhenUsed/>
    <w:qFormat/>
    <w:rsid w:val="004e6fe7"/>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pPr>
      <w:ind w:left="720" w:hanging="0"/>
    </w:pPr>
    <w:rPr/>
  </w:style>
  <w:style w:type="paragraph" w:styleId="Default" w:customStyle="1">
    <w:name w:val="Default"/>
    <w:qFormat/>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PreformattedText" w:customStyle="1">
    <w:name w:val="Preformatted Text"/>
    <w:basedOn w:val="Normal"/>
    <w:qFormat/>
    <w:pPr/>
    <w:rPr>
      <w:rFonts w:ascii="Liberation Mono" w:hAnsi="Liberation Mono" w:eastAsia="Liberation Mono" w:cs="Liberation Mono"/>
      <w:sz w:val="20"/>
    </w:rPr>
  </w:style>
  <w:style w:type="paragraph" w:styleId="DefaultDrawingStyle" w:customStyle="1">
    <w:name w:val="Default Drawing Style"/>
    <w:qFormat/>
    <w:pPr>
      <w:widowControl/>
      <w:suppressAutoHyphens w:val="true"/>
      <w:bidi w:val="0"/>
      <w:spacing w:lineRule="atLeast" w:line="200" w:before="0" w:after="0"/>
      <w:jc w:val="left"/>
    </w:pPr>
    <w:rPr>
      <w:rFonts w:ascii="Noto Sans Devanagari" w:hAnsi="Noto Sans Devanagari" w:eastAsia="Noto Sans" w:cs="Times New Roman"/>
      <w:color w:val="auto"/>
      <w:kern w:val="2"/>
      <w:sz w:val="36"/>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Graphic" w:customStyle="1">
    <w:name w:val="Graphic"/>
    <w:qFormat/>
    <w:pPr>
      <w:widowControl/>
      <w:suppressAutoHyphens w:val="true"/>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ackgroundobjects" w:customStyle="1">
    <w:name w:val="Background objects"/>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customStyle="1">
    <w:name w:val="Background"/>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customStyle="1">
    <w:name w:val="Notes"/>
    <w:qFormat/>
    <w:pPr>
      <w:widowControl/>
      <w:suppressAutoHyphens w:val="true"/>
      <w:bidi w:val="0"/>
      <w:spacing w:before="0" w:after="0"/>
      <w:ind w:left="340" w:hanging="340"/>
      <w:jc w:val="left"/>
    </w:pPr>
    <w:rPr>
      <w:rFonts w:ascii="Noto Sans Devanagari" w:hAnsi="Noto Sans Devanagari" w:eastAsia="Noto Sans" w:cs="Times New Roman"/>
      <w:color w:val="auto"/>
      <w:kern w:val="2"/>
      <w:sz w:val="40"/>
      <w:szCs w:val="24"/>
      <w:lang w:val="en-US" w:eastAsia="en-US" w:bidi="ar-SA"/>
    </w:rPr>
  </w:style>
  <w:style w:type="paragraph" w:styleId="Outline1" w:customStyle="1">
    <w:name w:val="Outline 1"/>
    <w:qFormat/>
    <w:pPr>
      <w:widowControl/>
      <w:suppressAutoHyphens w:val="true"/>
      <w:bidi w:val="0"/>
      <w:spacing w:lineRule="atLeast" w:line="200" w:before="283" w:after="0"/>
      <w:jc w:val="left"/>
    </w:pPr>
    <w:rPr>
      <w:rFonts w:ascii="Noto Sans Devanagari" w:hAnsi="Noto Sans Devanagari" w:eastAsia="Noto Sans" w:cs="Times New Roman"/>
      <w:b/>
      <w:color w:val="000000"/>
      <w:kern w:val="2"/>
      <w:sz w:val="48"/>
      <w:szCs w:val="24"/>
      <w:lang w:val="en-US" w:eastAsia="en-US" w:bidi="ar-SA"/>
    </w:rPr>
  </w:style>
  <w:style w:type="paragraph" w:styleId="Outline2" w:customStyle="1">
    <w:name w:val="Outline 2"/>
    <w:basedOn w:val="Outline1"/>
    <w:qFormat/>
    <w:pPr>
      <w:spacing w:before="227" w:after="0"/>
    </w:pPr>
    <w:rPr>
      <w:b w:val="false"/>
      <w:sz w:val="36"/>
    </w:rPr>
  </w:style>
  <w:style w:type="paragraph" w:styleId="Outline3" w:customStyle="1">
    <w:name w:val="Outline 3"/>
    <w:basedOn w:val="Outline2"/>
    <w:qFormat/>
    <w:pPr>
      <w:spacing w:before="170" w:after="0"/>
    </w:pPr>
    <w:rPr>
      <w:sz w:val="32"/>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z w:val="40"/>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145-00-0000-rr-tag-agenda-1-december-2022.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2/18-22-0143-00-0000-weekly-teleconference-minutes-3-november-2022.docx" TargetMode="External"/><Relationship Id="rId9" Type="http://schemas.openxmlformats.org/officeDocument/2006/relationships/hyperlink" Target="https://mentor.ieee.org/802.18/dcn/22/18-22-0140-00-0000-weekly-teleconference-minutes-27-october-2022.docx" TargetMode="External"/><Relationship Id="rId10" Type="http://schemas.openxmlformats.org/officeDocument/2006/relationships/hyperlink" Target="https://mentor.ieee.org/802.18/dcn/22/18-22-0140-00-0000-weekly-teleconference-minutes-27-october-2022.docx" TargetMode="External"/><Relationship Id="rId11" Type="http://schemas.openxmlformats.org/officeDocument/2006/relationships/hyperlink" Target="https://mentor.ieee.org/802.18/dcn/22/18-22-0138-00-0mmW-mmwave-ad-hoc-minutes-12-october-202.docx" TargetMode="External"/><Relationship Id="rId12" Type="http://schemas.openxmlformats.org/officeDocument/2006/relationships/hyperlink" Target="https://mentor.ieee.org/802.18/dcn/22/18-22-0148-00-0mmW-mmwave-ad-hoc-minutes-26-october-2022.docx" TargetMode="External"/><Relationship Id="rId13" Type="http://schemas.openxmlformats.org/officeDocument/2006/relationships/hyperlink" Target="https://mentor.ieee.org/802.18/dcn/22/18-22-0035-47-0000-status-of-ongoing-consultations-and-tag-documents-for-approval.docx" TargetMode="External"/><Relationship Id="rId14" Type="http://schemas.openxmlformats.org/officeDocument/2006/relationships/hyperlink" Target="https://www.soumu.go.jp/menu_news/s-news/01kiban09_02000451.html" TargetMode="External"/><Relationship Id="rId15" Type="http://schemas.openxmlformats.org/officeDocument/2006/relationships/hyperlink" Target="https://www.msit.go.kr/bbs/view.do?sCode=user&amp;mId=109&amp;mPid=103&amp;pageIndex=&amp;bbsSeqNo=84&amp;nttSeqNo=3179519&amp;searchOpt=ALL&amp;searchTxt=" TargetMode="External"/><Relationship Id="rId16" Type="http://schemas.openxmlformats.org/officeDocument/2006/relationships/hyperlink" Target="https://ieee802.org/16/cal-temp.html" TargetMode="External"/><Relationship Id="rId17" Type="http://schemas.openxmlformats.org/officeDocument/2006/relationships/hyperlink" Target="https://calendar.google.com/calendar/embed?src=c2gedttabtbj4bps23j4847004@group.calendar.google.com&amp;ctz=America%2FNew_York" TargetMode="External"/><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4BF60-29D3-4165-A8A7-7C1BFB7A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Application>LibreOffice/7.3.7.2$Linux_X86_64 LibreOffice_project/30$Build-2</Application>
  <AppVersion>15.0000</AppVersion>
  <Pages>5</Pages>
  <Words>1246</Words>
  <Characters>6818</Characters>
  <CharactersWithSpaces>7945</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2022-11-10T19:11:00Z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2022-12-05T13:01:39Z</dcterms:modified>
  <cp:revision>28</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