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423"/>
        <w:gridCol w:w="990"/>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3 November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1</w:t>
            </w:r>
            <w:r>
              <w:rPr>
                <w:b w:val="false"/>
                <w:sz w:val="20"/>
              </w:rPr>
              <w:t>4</w:t>
            </w:r>
            <w:r>
              <w:rPr>
                <w:b w:val="false"/>
                <w:sz w:val="20"/>
              </w:rPr>
              <w:t xml:space="preserve"> November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Al Petrick</w:t>
            </w:r>
          </w:p>
        </w:tc>
        <w:tc>
          <w:tcPr>
            <w:tcW w:w="242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Skyworks Solutions</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66B8F44B">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Radio Regulatory Technical Advisory Group (RR-TAG) for the weekly teleconference call on 3 November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66B8F44B">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Radio Regulatory Technical Advisory Group (RR-TAG) for the weekly teleconference call on 3 November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These are minutes of the IEEE 802.18 RR-TAG teleconference on Thursda</w:t>
      </w:r>
      <w:r>
        <w:rPr>
          <w:sz w:val="24"/>
          <w:szCs w:val="24"/>
          <w:shd w:fill="auto" w:val="clear"/>
        </w:rPr>
        <w:t>y 3 November 2022, 15:01 ET.</w:t>
      </w:r>
      <w:r>
        <w:rPr>
          <w:sz w:val="24"/>
          <w:szCs w:val="24"/>
        </w:rPr>
        <w:br/>
      </w:r>
    </w:p>
    <w:p>
      <w:pPr>
        <w:pStyle w:val="Normal"/>
        <w:numPr>
          <w:ilvl w:val="0"/>
          <w:numId w:val="1"/>
        </w:numPr>
        <w:spacing w:before="0" w:after="0"/>
        <w:contextualSpacing/>
        <w:rPr/>
      </w:pPr>
      <w:r>
        <w:rPr>
          <w:sz w:val="24"/>
          <w:szCs w:val="24"/>
        </w:rPr>
        <w:t>Chair calls the meeting to order at 15:01 ET. Al Petrick takes notes while Amelia Andersdotter is unavailable.</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ink"/>
            <w:color w:val="0563C1" w:themeColor="hyperlink"/>
            <w:sz w:val="24"/>
            <w:szCs w:val="24"/>
          </w:rPr>
          <w:t>18-22/0139r1</w:t>
        </w:r>
      </w:hyperlink>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pPr>
      <w:r>
        <w:rPr>
          <w:bCs/>
          <w:sz w:val="24"/>
          <w:szCs w:val="24"/>
        </w:rPr>
        <w:t>Group officers and voting membership</w:t>
      </w:r>
    </w:p>
    <w:p>
      <w:pPr>
        <w:pStyle w:val="Normal"/>
        <w:numPr>
          <w:ilvl w:val="2"/>
          <w:numId w:val="1"/>
        </w:numPr>
        <w:spacing w:before="0" w:after="0"/>
        <w:contextualSpacing/>
        <w:rPr/>
      </w:pPr>
      <w:r>
        <w:rPr>
          <w:sz w:val="24"/>
          <w:szCs w:val="24"/>
        </w:rPr>
        <w:t xml:space="preserve">  </w:t>
      </w:r>
      <w:r>
        <w:rPr>
          <w:sz w:val="24"/>
          <w:szCs w:val="24"/>
        </w:rPr>
        <w:t xml:space="preserve">Voters:  47 (8 on LMSC) </w:t>
      </w:r>
    </w:p>
    <w:p>
      <w:pPr>
        <w:pStyle w:val="Normal"/>
        <w:numPr>
          <w:ilvl w:val="2"/>
          <w:numId w:val="1"/>
        </w:numPr>
        <w:spacing w:before="0" w:after="0"/>
        <w:contextualSpacing/>
        <w:rPr/>
      </w:pPr>
      <w:r>
        <w:rPr>
          <w:sz w:val="24"/>
          <w:szCs w:val="24"/>
        </w:rPr>
        <w:t xml:space="preserve">  </w:t>
      </w:r>
      <w:r>
        <w:rPr>
          <w:sz w:val="24"/>
          <w:szCs w:val="24"/>
        </w:rPr>
        <w:t>Nearly Voters: 3</w:t>
      </w:r>
    </w:p>
    <w:p>
      <w:pPr>
        <w:pStyle w:val="Normal"/>
        <w:numPr>
          <w:ilvl w:val="2"/>
          <w:numId w:val="1"/>
        </w:numPr>
        <w:spacing w:before="0" w:after="0"/>
        <w:contextualSpacing/>
        <w:rPr/>
      </w:pPr>
      <w:r>
        <w:rPr>
          <w:sz w:val="24"/>
          <w:szCs w:val="24"/>
        </w:rPr>
        <w:t xml:space="preserve">  </w:t>
      </w:r>
      <w:r>
        <w:rPr>
          <w:sz w:val="24"/>
          <w:szCs w:val="24"/>
        </w:rPr>
        <w:t>Aspirant members:  7</w:t>
      </w:r>
    </w:p>
    <w:p>
      <w:pPr>
        <w:pStyle w:val="Normal"/>
        <w:numPr>
          <w:ilvl w:val="2"/>
          <w:numId w:val="1"/>
        </w:numPr>
        <w:spacing w:before="0" w:after="0"/>
        <w:contextualSpacing/>
        <w:rPr/>
      </w:pPr>
      <w:r>
        <w:rPr>
          <w:sz w:val="24"/>
          <w:szCs w:val="24"/>
        </w:rPr>
        <w:t xml:space="preserve">  </w:t>
      </w:r>
      <w:hyperlink r:id="rId4">
        <w:r>
          <w:rPr>
            <w:rStyle w:val="Internetlnk"/>
            <w:sz w:val="24"/>
            <w:szCs w:val="24"/>
          </w:rPr>
          <w:t>802.18 Voters List</w:t>
        </w:r>
      </w:hyperlink>
    </w:p>
    <w:p>
      <w:pPr>
        <w:pStyle w:val="Normal"/>
        <w:numPr>
          <w:ilvl w:val="1"/>
          <w:numId w:val="1"/>
        </w:numPr>
        <w:spacing w:before="0" w:after="0"/>
        <w:contextualSpacing/>
        <w:rPr/>
      </w:pPr>
      <w:r>
        <w:rPr>
          <w:sz w:val="24"/>
          <w:szCs w:val="24"/>
        </w:rPr>
        <w:t>RR-TAG Policies &amp; Procedures [</w:t>
      </w:r>
      <w:hyperlink r:id="rId5">
        <w:r>
          <w:rPr>
            <w:rStyle w:val="Internetlnk"/>
            <w:sz w:val="24"/>
            <w:szCs w:val="24"/>
            <w:lang w:val="nl-NL"/>
          </w:rPr>
          <w:t>802 LMSC WG P&amp;P</w:t>
        </w:r>
      </w:hyperlink>
      <w:r>
        <w:rPr>
          <w:sz w:val="24"/>
          <w:szCs w:val="24"/>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spacing w:before="0" w:after="0"/>
        <w:contextualSpacing/>
        <w:rPr/>
      </w:pPr>
      <w:r>
        <w:rPr>
          <w:bCs/>
          <w:sz w:val="24"/>
          <w:szCs w:val="24"/>
        </w:rPr>
        <w:t xml:space="preserve">Chair asks group if there are any questions relating to the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 xml:space="preserve">Chair presents the agenda (slide #9). Chair removes agenda item: </w:t>
      </w:r>
      <w:r>
        <w:rPr>
          <w:i/>
          <w:iCs/>
          <w:sz w:val="24"/>
          <w:szCs w:val="24"/>
        </w:rPr>
        <w:t>Discussion and Motion: Response to Norway Nkom’s consultation   No comment or objection to removed agenda item.</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Administrative:</w:t>
      </w:r>
      <w:r>
        <w:rPr>
          <w:sz w:val="24"/>
          <w:szCs w:val="24"/>
        </w:rPr>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pPr>
      <w:r>
        <w:rPr>
          <w:sz w:val="24"/>
          <w:szCs w:val="24"/>
        </w:rPr>
        <w:t>Moved by:</w:t>
        <w:tab/>
        <w:t>Stuart Kerry</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Hassan Yaghoobi</w:t>
      </w:r>
    </w:p>
    <w:p>
      <w:pPr>
        <w:pStyle w:val="Normal"/>
        <w:spacing w:before="0" w:after="0"/>
        <w:ind w:left="1440" w:hanging="0"/>
        <w:contextualSpacing/>
        <w:rPr/>
      </w:pPr>
      <w:r>
        <w:rPr>
          <w:sz w:val="24"/>
          <w:szCs w:val="24"/>
        </w:rPr>
        <w:t xml:space="preserve">Discussion?  </w:t>
        <w:tab/>
        <w:t>None</w:t>
      </w:r>
    </w:p>
    <w:p>
      <w:pPr>
        <w:pStyle w:val="Normal"/>
        <w:spacing w:before="0" w:after="0"/>
        <w:ind w:left="1440" w:hanging="0"/>
        <w:contextualSpacing/>
        <w:rPr/>
      </w:pPr>
      <w:r>
        <w:rPr>
          <w:sz w:val="24"/>
          <w:szCs w:val="24"/>
        </w:rPr>
        <w:t>Vote:  Approved with unanimous consent</w:t>
      </w:r>
    </w:p>
    <w:p>
      <w:pPr>
        <w:pStyle w:val="Normal"/>
        <w:ind w:left="720" w:hanging="0"/>
        <w:rPr>
          <w:sz w:val="24"/>
          <w:szCs w:val="24"/>
        </w:rPr>
      </w:pPr>
      <w:r>
        <w:rPr>
          <w:sz w:val="24"/>
          <w:szCs w:val="24"/>
        </w:rPr>
      </w:r>
    </w:p>
    <w:p>
      <w:pPr>
        <w:pStyle w:val="Normal"/>
        <w:numPr>
          <w:ilvl w:val="1"/>
          <w:numId w:val="1"/>
        </w:numPr>
        <w:rPr/>
      </w:pPr>
      <w:r>
        <w:rPr>
          <w:sz w:val="24"/>
          <w:szCs w:val="24"/>
        </w:rPr>
        <w:t>Chair presented draft meeting minutes from 27 October 2022 RR-TAG weekly teleconference. No one had questions or comments.</w:t>
        <w:br/>
      </w:r>
      <w:r>
        <w:rPr>
          <w:b/>
          <w:bCs/>
          <w:sz w:val="24"/>
          <w:szCs w:val="24"/>
        </w:rPr>
        <w:br/>
        <w:t>Motion #2 (internal):</w:t>
      </w:r>
      <w:r>
        <w:rPr>
          <w:sz w:val="24"/>
          <w:szCs w:val="24"/>
        </w:rPr>
        <w:t xml:space="preserve"> To approve the weekly meeting minutes of the 27 October 2022 RR-TAG call as shown in the document </w:t>
      </w:r>
      <w:hyperlink r:id="rId8">
        <w:r>
          <w:rPr>
            <w:rStyle w:val="InternetLink"/>
            <w:color w:val="0563C1" w:themeColor="hyperlink"/>
            <w:sz w:val="24"/>
            <w:szCs w:val="24"/>
            <w:u w:val="none"/>
          </w:rPr>
          <w:t>18-22/0140r0</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Al Petrick</w:t>
      </w:r>
    </w:p>
    <w:p>
      <w:pPr>
        <w:pStyle w:val="Normal"/>
        <w:spacing w:before="0" w:after="0"/>
        <w:ind w:left="1440" w:hanging="0"/>
        <w:contextualSpacing/>
        <w:rPr/>
      </w:pPr>
      <w:r>
        <w:rPr>
          <w:sz w:val="24"/>
          <w:szCs w:val="24"/>
        </w:rPr>
        <w:t>Seconded by:  Tuncer Baykas</w:t>
      </w:r>
    </w:p>
    <w:p>
      <w:pPr>
        <w:pStyle w:val="Normal"/>
        <w:spacing w:before="0" w:after="0"/>
        <w:ind w:left="1440" w:hanging="0"/>
        <w:contextualSpacing/>
        <w:rPr/>
      </w:pPr>
      <w:r>
        <w:rPr>
          <w:sz w:val="24"/>
          <w:szCs w:val="24"/>
        </w:rPr>
        <w:t>Discussion?  None.</w:t>
      </w:r>
    </w:p>
    <w:p>
      <w:pPr>
        <w:pStyle w:val="Normal"/>
        <w:spacing w:before="0" w:after="0"/>
        <w:ind w:left="1440" w:hanging="0"/>
        <w:contextualSpacing/>
        <w:rPr/>
      </w:pPr>
      <w:r>
        <w:rPr>
          <w:sz w:val="24"/>
          <w:szCs w:val="24"/>
        </w:rPr>
        <w:t>Vote:  Approved with unanimous consent</w:t>
      </w:r>
    </w:p>
    <w:p>
      <w:pPr>
        <w:pStyle w:val="ListParagraph"/>
        <w:spacing w:before="0" w:after="0"/>
        <w:ind w:left="360" w:hanging="0"/>
        <w:contextualSpacing/>
        <w:rPr>
          <w:sz w:val="24"/>
          <w:szCs w:val="24"/>
        </w:rPr>
      </w:pPr>
      <w:r>
        <w:rPr>
          <w:sz w:val="24"/>
          <w:szCs w:val="24"/>
        </w:rPr>
      </w:r>
    </w:p>
    <w:p>
      <w:pPr>
        <w:pStyle w:val="ListParagraph"/>
        <w:numPr>
          <w:ilvl w:val="0"/>
          <w:numId w:val="1"/>
        </w:numPr>
        <w:spacing w:before="0" w:after="0"/>
        <w:contextualSpacing/>
        <w:rPr/>
      </w:pPr>
      <w:r>
        <w:rPr>
          <w:b/>
          <w:bCs/>
          <w:sz w:val="24"/>
          <w:szCs w:val="24"/>
        </w:rPr>
        <w:t xml:space="preserve">Status of ongoing consultations </w:t>
      </w:r>
      <w:r>
        <w:rPr>
          <w:sz w:val="24"/>
          <w:szCs w:val="24"/>
        </w:rPr>
        <w:t>(</w:t>
      </w:r>
      <w:hyperlink r:id="rId9">
        <w:r>
          <w:rPr>
            <w:rStyle w:val="InternetLink"/>
            <w:sz w:val="24"/>
            <w:szCs w:val="24"/>
          </w:rPr>
          <w:t>18-22-0035r43</w:t>
        </w:r>
      </w:hyperlink>
      <w:r>
        <w:rPr>
          <w:sz w:val="24"/>
          <w:szCs w:val="24"/>
        </w:rPr>
        <w:t>), Edward Au (Chair)</w:t>
        <w:br/>
        <w:br/>
      </w:r>
      <w:r>
        <w:rPr/>
        <w:t>The Chair reminded the group of the submission deadline for the consultations.</w:t>
      </w:r>
    </w:p>
    <w:p>
      <w:pPr>
        <w:pStyle w:val="ListParagraph"/>
        <w:spacing w:before="0" w:after="0"/>
        <w:ind w:left="360" w:hanging="0"/>
        <w:contextualSpacing/>
        <w:rPr/>
      </w:pPr>
      <w:r>
        <w:rPr/>
      </w:r>
    </w:p>
    <w:p>
      <w:pPr>
        <w:pStyle w:val="ListParagraph"/>
        <w:numPr>
          <w:ilvl w:val="0"/>
          <w:numId w:val="1"/>
        </w:numPr>
        <w:spacing w:before="0" w:after="0"/>
        <w:contextualSpacing/>
        <w:rPr/>
      </w:pPr>
      <w:r>
        <w:rPr>
          <w:sz w:val="24"/>
          <w:szCs w:val="24"/>
        </w:rPr>
        <w:t>Update on India TRAI consultation on Artificial Intelligence and Big Data (</w:t>
      </w:r>
      <w:hyperlink r:id="rId10">
        <w:r>
          <w:rPr>
            <w:rStyle w:val="InternetLink"/>
            <w:sz w:val="24"/>
            <w:szCs w:val="24"/>
          </w:rPr>
          <w:t>18-22-0119r2</w:t>
        </w:r>
      </w:hyperlink>
      <w:r>
        <w:rPr>
          <w:rStyle w:val="InternetLink"/>
          <w:sz w:val="24"/>
          <w:szCs w:val="24"/>
        </w:rPr>
        <w:t>),</w:t>
      </w:r>
      <w:r>
        <w:rPr>
          <w:sz w:val="24"/>
          <w:szCs w:val="24"/>
        </w:rPr>
        <w:t xml:space="preserve"> Hassan </w:t>
      </w:r>
      <w:r>
        <w:rPr>
          <w:rStyle w:val="Internetlnk"/>
          <w:bCs/>
          <w:color w:val="000000"/>
          <w:sz w:val="24"/>
          <w:szCs w:val="24"/>
          <w:u w:val="none"/>
        </w:rPr>
        <w:t>Yaghoobi (Intel)</w:t>
      </w:r>
      <w:r>
        <w:rPr>
          <w:sz w:val="24"/>
          <w:szCs w:val="24"/>
        </w:rPr>
        <w:t xml:space="preserve">. </w:t>
        <w:br/>
      </w:r>
    </w:p>
    <w:p>
      <w:pPr>
        <w:pStyle w:val="ListParagraph"/>
        <w:spacing w:before="0" w:after="0"/>
        <w:ind w:left="360" w:hanging="0"/>
        <w:contextualSpacing/>
        <w:rPr/>
      </w:pPr>
      <w:r>
        <w:rPr/>
        <w:t xml:space="preserve">Minor editorial changes were made to the document. Did not receive any comments on </w:t>
      </w:r>
      <w:hyperlink r:id="rId11">
        <w:r>
          <w:rPr>
            <w:rStyle w:val="InternetLink"/>
            <w:sz w:val="24"/>
            <w:szCs w:val="24"/>
          </w:rPr>
          <w:t>18-22-0119r1</w:t>
        </w:r>
      </w:hyperlink>
      <w:r>
        <w:rPr/>
        <w:br/>
        <w:br/>
      </w:r>
      <w:r>
        <w:rPr>
          <w:b/>
          <w:bCs/>
        </w:rPr>
        <w:t>Chair:</w:t>
      </w:r>
      <w:r>
        <w:rPr/>
        <w:t xml:space="preserve"> Both Comment and Reply comment response filing periods on this consultation were extended. IEEE 802.18 will submit this as a Comment response. </w:t>
        <w:br/>
      </w:r>
      <w:r>
        <w:rPr>
          <w:b/>
          <w:bCs/>
        </w:rPr>
        <w:t>C:</w:t>
      </w:r>
      <w:r>
        <w:rPr/>
        <w:t xml:space="preserve"> Need to update the document to state this a Comment filing and not a Reply comment filing. </w:t>
        <w:br/>
      </w:r>
      <w:r>
        <w:rPr>
          <w:b/>
          <w:bCs/>
        </w:rPr>
        <w:t>C:</w:t>
      </w:r>
      <w:r>
        <w:rPr/>
        <w:t xml:space="preserve"> The document states IEEE 802 is having a tutorial on this subject.</w:t>
        <w:br/>
        <w:br/>
        <w:t>WG Chair confirmed the AIML tutorial will proceed as planned during the November 2022 plenary tutorial session.</w:t>
        <w:br/>
        <w:br/>
      </w:r>
      <w:r>
        <w:rPr>
          <w:b/>
          <w:bCs/>
        </w:rPr>
        <w:t>C:</w:t>
      </w:r>
      <w:r>
        <w:rPr/>
        <w:t xml:space="preserve"> Including the AIML tutorial IEEE 802.11 is sponsoring.</w:t>
        <w:br/>
        <w:br/>
      </w:r>
      <w:r>
        <w:rPr>
          <w:b/>
          <w:bCs/>
        </w:rPr>
        <w:t>Discussion:</w:t>
      </w:r>
      <w:r>
        <w:rPr/>
        <w:br/>
        <w:br/>
      </w:r>
      <w:r>
        <w:rPr>
          <w:b/>
          <w:bCs/>
        </w:rPr>
        <w:t>C:</w:t>
      </w:r>
      <w:r>
        <w:rPr/>
        <w:t xml:space="preserve"> Some concern that the AIML Chair was not consulted on this document.</w:t>
        <w:br/>
      </w:r>
      <w:r>
        <w:rPr>
          <w:b/>
          <w:bCs/>
        </w:rPr>
        <w:t>Chair:</w:t>
      </w:r>
      <w:r>
        <w:rPr/>
        <w:t xml:space="preserve"> Have contacted the AIML Chair since late September but no comments received so far. The submission is due November 18</w:t>
      </w:r>
      <w:r>
        <w:rPr>
          <w:vertAlign w:val="superscript"/>
        </w:rPr>
        <w:t>th</w:t>
      </w:r>
      <w:r>
        <w:rPr/>
        <w:t>. We’ll give AIML Chair an opportunity to review AIML content and provide minor comments before EC review and approval.</w:t>
        <w:br/>
      </w:r>
      <w:r>
        <w:rPr>
          <w:b/>
          <w:bCs/>
        </w:rPr>
        <w:t>C:</w:t>
      </w:r>
      <w:r>
        <w:rPr/>
        <w:t xml:space="preserve"> AIML chair was already provided opportunity to review. The document seems to be in good shape.</w:t>
        <w:br/>
      </w:r>
      <w:r>
        <w:rPr>
          <w:b/>
          <w:bCs/>
        </w:rPr>
        <w:t>Chair:</w:t>
      </w:r>
      <w:r>
        <w:rPr/>
        <w:t xml:space="preserve"> Upload revision 3 to the mentor for motion.</w:t>
        <w:br/>
      </w:r>
    </w:p>
    <w:p>
      <w:pPr>
        <w:pStyle w:val="ListParagraph"/>
        <w:spacing w:before="0" w:after="0"/>
        <w:ind w:left="360" w:hanging="0"/>
        <w:contextualSpacing/>
        <w:rPr/>
      </w:pPr>
      <w:r>
        <w:rPr/>
        <w:t>Chair confirmed this document and motion is for Comment response not Rely response to India TRAI.</w:t>
      </w:r>
    </w:p>
    <w:p>
      <w:pPr>
        <w:pStyle w:val="ListParagraph"/>
        <w:spacing w:before="0" w:after="0"/>
        <w:ind w:left="360" w:hanging="0"/>
        <w:contextualSpacing/>
        <w:rPr/>
      </w:pPr>
      <w:r>
        <w:rPr/>
      </w:r>
    </w:p>
    <w:p>
      <w:pPr>
        <w:pStyle w:val="ListParagraph"/>
        <w:rPr/>
      </w:pPr>
      <w:r>
        <w:rPr/>
      </w:r>
    </w:p>
    <w:p>
      <w:pPr>
        <w:pStyle w:val="Normal"/>
        <w:numPr>
          <w:ilvl w:val="1"/>
          <w:numId w:val="1"/>
        </w:numPr>
        <w:rPr/>
      </w:pPr>
      <w:r>
        <w:rPr>
          <w:b/>
          <w:bCs/>
          <w:sz w:val="24"/>
          <w:szCs w:val="24"/>
        </w:rPr>
        <w:t>Motion #3 (External):</w:t>
      </w:r>
      <w:r>
        <w:rPr>
          <w:sz w:val="24"/>
          <w:szCs w:val="24"/>
        </w:rPr>
        <w:t xml:space="preserve"> to approve document </w:t>
      </w:r>
      <w:hyperlink r:id="rId12">
        <w:r>
          <w:rPr>
            <w:rStyle w:val="InternetLink"/>
            <w:sz w:val="24"/>
            <w:szCs w:val="24"/>
          </w:rPr>
          <w:t>18-22/0119r3</w:t>
        </w:r>
      </w:hyperlink>
      <w:r>
        <w:rPr>
          <w:sz w:val="24"/>
          <w:szCs w:val="24"/>
        </w:rPr>
        <w:t xml:space="preserve"> in response to India TRAI’s </w:t>
      </w:r>
      <w:r>
        <w:rPr>
          <w:sz w:val="24"/>
          <w:szCs w:val="24"/>
          <w:lang w:val="en-GB"/>
        </w:rPr>
        <w:t xml:space="preserve">consultation </w:t>
      </w:r>
      <w:r>
        <w:rPr>
          <w:sz w:val="24"/>
          <w:szCs w:val="24"/>
        </w:rPr>
        <w:t>“Leveraging Artificial Intelligence and Big Data in Telecommunication Sector</w:t>
      </w:r>
      <w:r>
        <w:rPr>
          <w:sz w:val="24"/>
          <w:szCs w:val="24"/>
          <w:lang w:val="en-GB"/>
        </w:rPr>
        <w:t>”</w:t>
      </w:r>
      <w:r>
        <w:rPr>
          <w:sz w:val="24"/>
          <w:szCs w:val="24"/>
        </w:rPr>
        <w:t xml:space="preserve"> for review and approval by the IEEE LMSC (802 EC) for submission to India TRAI by the response deadline. The IEEE 802.18 Chair is authorized to make editorial changes as necessary</w:t>
      </w:r>
      <w:r>
        <w:rPr>
          <w:b/>
          <w:bCs/>
          <w:sz w:val="24"/>
          <w:szCs w:val="24"/>
        </w:rPr>
        <w:t>.</w:t>
        <w:br/>
      </w:r>
    </w:p>
    <w:p>
      <w:pPr>
        <w:pStyle w:val="Normal"/>
        <w:spacing w:before="0" w:after="0"/>
        <w:ind w:left="1440" w:hanging="0"/>
        <w:contextualSpacing/>
        <w:rPr/>
      </w:pPr>
      <w:r>
        <w:rPr>
          <w:sz w:val="24"/>
          <w:szCs w:val="24"/>
        </w:rPr>
        <w:t xml:space="preserve">Moved by: </w:t>
        <w:tab/>
        <w:t>Hassan Yaghoobi</w:t>
      </w:r>
    </w:p>
    <w:p>
      <w:pPr>
        <w:pStyle w:val="Normal"/>
        <w:spacing w:before="0" w:after="0"/>
        <w:ind w:left="1440" w:hanging="0"/>
        <w:contextualSpacing/>
        <w:rPr/>
      </w:pPr>
      <w:r>
        <w:rPr>
          <w:sz w:val="24"/>
          <w:szCs w:val="24"/>
        </w:rPr>
        <w:t>Seconded by:  Rich Kennedy</w:t>
      </w:r>
    </w:p>
    <w:p>
      <w:pPr>
        <w:pStyle w:val="Normal"/>
        <w:spacing w:before="0" w:after="0"/>
        <w:ind w:left="1440" w:hanging="0"/>
        <w:contextualSpacing/>
        <w:rPr/>
      </w:pPr>
      <w:r>
        <w:rPr>
          <w:sz w:val="24"/>
          <w:szCs w:val="24"/>
        </w:rPr>
        <w:t>Discussion?  None.</w:t>
        <w:br/>
        <w:t>Attendees: 18</w:t>
      </w:r>
    </w:p>
    <w:p>
      <w:pPr>
        <w:pStyle w:val="Normal"/>
        <w:spacing w:before="0" w:after="0"/>
        <w:ind w:left="1440" w:hanging="0"/>
        <w:contextualSpacing/>
        <w:rPr/>
      </w:pPr>
      <w:r>
        <w:rPr>
          <w:sz w:val="24"/>
          <w:szCs w:val="24"/>
        </w:rPr>
        <w:t>Voters (present) 18</w:t>
      </w:r>
    </w:p>
    <w:p>
      <w:pPr>
        <w:pStyle w:val="Normal"/>
        <w:spacing w:before="0" w:after="0"/>
        <w:ind w:left="1440" w:hanging="0"/>
        <w:contextualSpacing/>
        <w:rPr/>
      </w:pPr>
      <w:r>
        <w:rPr>
          <w:sz w:val="24"/>
          <w:szCs w:val="24"/>
        </w:rPr>
        <w:t>Result: Passed (11 Yes, 0 No, 3 abstain</w:t>
      </w:r>
    </w:p>
    <w:p>
      <w:pPr>
        <w:pStyle w:val="Normal"/>
        <w:spacing w:before="0" w:after="0"/>
        <w:ind w:left="1440" w:hanging="0"/>
        <w:contextualSpacing/>
        <w:rPr/>
      </w:pPr>
      <w:r>
        <w:rPr>
          <w:sz w:val="24"/>
          <w:szCs w:val="24"/>
        </w:rPr>
        <w:t>Remarks: Chair did not vote</w:t>
      </w:r>
    </w:p>
    <w:p>
      <w:pPr>
        <w:pStyle w:val="ListParagraph"/>
        <w:rPr/>
      </w:pPr>
      <w:r>
        <w:rPr/>
      </w:r>
    </w:p>
    <w:p>
      <w:pPr>
        <w:pStyle w:val="ListParagraph"/>
        <w:spacing w:before="0" w:after="0"/>
        <w:ind w:left="360" w:hanging="0"/>
        <w:contextualSpacing/>
        <w:rPr/>
      </w:pPr>
      <w:r>
        <w:rPr/>
        <w:br/>
      </w:r>
    </w:p>
    <w:p>
      <w:pPr>
        <w:pStyle w:val="Normal"/>
        <w:rPr/>
      </w:pPr>
      <w:r>
        <w:rPr/>
      </w:r>
      <w:r>
        <w:br w:type="page"/>
      </w:r>
    </w:p>
    <w:p>
      <w:pPr>
        <w:pStyle w:val="ListParagraph"/>
        <w:numPr>
          <w:ilvl w:val="0"/>
          <w:numId w:val="1"/>
        </w:numPr>
        <w:spacing w:before="0" w:after="0"/>
        <w:contextualSpacing/>
        <w:rPr/>
      </w:pPr>
      <w:r>
        <w:rPr>
          <w:b/>
          <w:sz w:val="24"/>
          <w:szCs w:val="24"/>
        </w:rPr>
        <w:t>General items</w:t>
        <w:br/>
      </w:r>
    </w:p>
    <w:p>
      <w:pPr>
        <w:pStyle w:val="ListParagraph"/>
        <w:numPr>
          <w:ilvl w:val="1"/>
          <w:numId w:val="1"/>
        </w:numPr>
        <w:spacing w:before="0" w:after="0"/>
        <w:contextualSpacing/>
        <w:rPr/>
      </w:pPr>
      <w:r>
        <w:rPr>
          <w:b/>
          <w:sz w:val="24"/>
          <w:szCs w:val="24"/>
        </w:rPr>
        <w:t>Europe</w:t>
        <w:br/>
        <w:br/>
      </w:r>
      <w:r>
        <w:rPr>
          <w:b w:val="false"/>
          <w:bCs w:val="false"/>
          <w:sz w:val="24"/>
          <w:szCs w:val="24"/>
        </w:rPr>
        <w:t xml:space="preserve">In its last meeting, </w:t>
      </w:r>
      <w:r>
        <w:rPr/>
        <w:t xml:space="preserve">ETSI BRAN </w:t>
      </w:r>
      <w:r>
        <w:rPr/>
        <w:t xml:space="preserve">decided on a </w:t>
      </w:r>
      <w:r>
        <w:rPr/>
        <w:t>procedure for the vote in December 2022</w:t>
      </w:r>
      <w:r>
        <w:rPr/>
        <w:t xml:space="preserve">. </w:t>
      </w:r>
      <w:r>
        <w:rPr/>
        <w:t xml:space="preserve"> An electronic ballot will be conducted during the meeting and will be held over 3 days to account for members time zone differences. There will be a vote on a proposal from several companies </w:t>
      </w:r>
      <w:r>
        <w:rPr/>
        <w:t xml:space="preserve">on harmonizing the EDT level to a single value for all technologies. </w:t>
      </w:r>
      <w:r>
        <w:rPr/>
        <w:t xml:space="preserve"> The announcement</w:t>
      </w:r>
      <w:r>
        <w:rPr/>
        <w:t xml:space="preserve"> </w:t>
      </w:r>
      <w:r>
        <w:rPr/>
        <w:t>for this</w:t>
      </w:r>
      <w:r>
        <w:rPr/>
        <w:t xml:space="preserve"> vote</w:t>
      </w:r>
      <w:r>
        <w:rPr/>
        <w:t xml:space="preserve"> was sent out as per the 30 day prior notice requirement. The week of 7 November 2022, ETSI BRAN will develop a report highlighting the reasons why consensus </w:t>
      </w:r>
      <w:r>
        <w:rPr/>
        <w:t xml:space="preserve">on detection thresholds </w:t>
      </w:r>
      <w:r>
        <w:rPr/>
        <w:t xml:space="preserve">could not be reached. ESTI BRAN has all the necessary applications to conduct the vote. </w:t>
      </w:r>
      <w:r>
        <w:rPr/>
        <w:t xml:space="preserve"> ETSI BRAN engaged with its Technical Officer (ETSI staff) to ensure rules were followed</w:t>
      </w:r>
      <w:r>
        <w:rPr/>
        <w:t xml:space="preserve">. </w:t>
        <w:br/>
        <w:br/>
      </w:r>
      <w:r>
        <w:rPr/>
        <w:t xml:space="preserve">For more information see ETSI BRAN reports contained in doc. 18-22-0140r0 and 18-22-0108r0. </w:t>
      </w:r>
      <w:r>
        <w:rPr>
          <w:sz w:val="24"/>
          <w:szCs w:val="24"/>
        </w:rPr>
        <w:br/>
      </w:r>
    </w:p>
    <w:p>
      <w:pPr>
        <w:pStyle w:val="ListParagraph"/>
        <w:numPr>
          <w:ilvl w:val="1"/>
          <w:numId w:val="1"/>
        </w:numPr>
        <w:spacing w:before="0" w:after="0"/>
        <w:contextualSpacing/>
        <w:rPr/>
      </w:pPr>
      <w:r>
        <w:rPr>
          <w:b/>
          <w:bCs/>
          <w:sz w:val="24"/>
          <w:szCs w:val="24"/>
        </w:rPr>
        <w:t>Americas</w:t>
      </w:r>
      <w:r>
        <w:rPr>
          <w:sz w:val="24"/>
          <w:szCs w:val="24"/>
        </w:rPr>
        <w:br/>
        <w:br/>
        <w:t xml:space="preserve">The FCC open commission meeting is scheduled for 10:30AM ET </w:t>
      </w:r>
      <w:bookmarkStart w:id="0" w:name="_GoBack"/>
      <w:bookmarkEnd w:id="0"/>
      <w:r>
        <w:rPr>
          <w:sz w:val="24"/>
          <w:szCs w:val="24"/>
        </w:rPr>
        <w:t xml:space="preserve"> on November 17, 2022.</w:t>
      </w:r>
    </w:p>
    <w:p>
      <w:pPr>
        <w:pStyle w:val="ListParagraph"/>
        <w:spacing w:before="0" w:after="0"/>
        <w:contextualSpacing/>
        <w:rPr/>
      </w:pPr>
      <w:r>
        <w:rPr/>
      </w:r>
    </w:p>
    <w:p>
      <w:pPr>
        <w:pStyle w:val="ListParagraph"/>
        <w:numPr>
          <w:ilvl w:val="1"/>
          <w:numId w:val="1"/>
        </w:numPr>
        <w:spacing w:before="0" w:after="0"/>
        <w:contextualSpacing/>
        <w:rPr/>
      </w:pPr>
      <w:r>
        <w:rPr>
          <w:b/>
          <w:bCs/>
          <w:sz w:val="24"/>
          <w:szCs w:val="24"/>
        </w:rPr>
        <w:t>Asia-Pacific</w:t>
      </w:r>
    </w:p>
    <w:p>
      <w:pPr>
        <w:pStyle w:val="ListParagraph"/>
        <w:rPr>
          <w:sz w:val="24"/>
          <w:szCs w:val="24"/>
        </w:rPr>
      </w:pPr>
      <w:r>
        <w:rPr>
          <w:sz w:val="24"/>
          <w:szCs w:val="24"/>
        </w:rPr>
      </w:r>
    </w:p>
    <w:p>
      <w:pPr>
        <w:pStyle w:val="ListParagraph"/>
        <w:rPr/>
      </w:pPr>
      <w:r>
        <w:rPr>
          <w:sz w:val="24"/>
          <w:szCs w:val="24"/>
        </w:rPr>
        <w:t xml:space="preserve">On 26 October 2022, India DOT published the </w:t>
      </w:r>
      <w:hyperlink r:id="rId13">
        <w:r>
          <w:rPr>
            <w:rStyle w:val="InternetLink"/>
            <w:sz w:val="24"/>
            <w:szCs w:val="24"/>
          </w:rPr>
          <w:t>National Frequency Allocation Plan - 2022</w:t>
        </w:r>
      </w:hyperlink>
      <w:r>
        <w:rPr>
          <w:sz w:val="24"/>
          <w:szCs w:val="24"/>
        </w:rPr>
        <w:t xml:space="preserve"> is available for download.</w:t>
        <w:br/>
      </w:r>
    </w:p>
    <w:p>
      <w:pPr>
        <w:pStyle w:val="ListParagraph"/>
        <w:numPr>
          <w:ilvl w:val="1"/>
          <w:numId w:val="1"/>
        </w:numPr>
        <w:spacing w:before="0" w:after="0"/>
        <w:contextualSpacing/>
        <w:rPr/>
      </w:pPr>
      <w:r>
        <w:rPr>
          <w:b/>
          <w:bCs/>
          <w:sz w:val="24"/>
          <w:szCs w:val="24"/>
        </w:rPr>
        <w:t>Other countries or regions?</w:t>
      </w:r>
      <w:r>
        <w:rPr>
          <w:sz w:val="24"/>
          <w:szCs w:val="24"/>
        </w:rPr>
        <w:br/>
        <w:br/>
        <w:t>No updates.</w:t>
      </w:r>
      <w:r>
        <w:rPr>
          <w:b/>
          <w:sz w:val="24"/>
          <w:szCs w:val="24"/>
        </w:rPr>
        <w:br/>
      </w:r>
    </w:p>
    <w:p>
      <w:pPr>
        <w:pStyle w:val="ListParagraph"/>
        <w:numPr>
          <w:ilvl w:val="0"/>
          <w:numId w:val="1"/>
        </w:numPr>
        <w:spacing w:before="0" w:after="0"/>
        <w:contextualSpacing/>
        <w:rPr/>
      </w:pPr>
      <w:r>
        <w:rPr>
          <w:b/>
          <w:bCs/>
          <w:sz w:val="24"/>
          <w:szCs w:val="24"/>
        </w:rPr>
        <w:t>Reminder of future meetings</w:t>
      </w:r>
      <w:r>
        <w:rPr>
          <w:sz w:val="24"/>
          <w:szCs w:val="24"/>
        </w:rPr>
        <w:br/>
        <w:br/>
        <w:t>The ISUS call 7 November is canceled.</w:t>
        <w:br/>
        <w:br/>
        <w:t>The mmWave call on 8 November is canceled.</w:t>
        <w:br/>
        <w:br/>
        <w:t>Reminder of IEEE 802 Plenary meeting in Bangkok and associated administration (hotel booking, registration fees)  Late registration fees (US$1000) is now in effect.</w:t>
      </w:r>
      <w:r>
        <w:rPr>
          <w:b/>
          <w:sz w:val="24"/>
          <w:szCs w:val="24"/>
        </w:rPr>
        <w:br/>
      </w:r>
    </w:p>
    <w:p>
      <w:pPr>
        <w:pStyle w:val="Normal"/>
        <w:numPr>
          <w:ilvl w:val="0"/>
          <w:numId w:val="1"/>
        </w:numPr>
        <w:spacing w:before="0" w:after="0"/>
        <w:contextualSpacing/>
        <w:rPr/>
      </w:pPr>
      <w:r>
        <w:rPr>
          <w:b/>
          <w:sz w:val="24"/>
          <w:szCs w:val="24"/>
        </w:rPr>
        <w:t>Any other business</w:t>
      </w:r>
    </w:p>
    <w:p>
      <w:pPr>
        <w:pStyle w:val="Normal"/>
        <w:spacing w:before="0" w:after="0"/>
        <w:ind w:left="720" w:hanging="0"/>
        <w:contextualSpacing/>
        <w:rPr/>
      </w:pPr>
      <w:r>
        <w:rPr>
          <w:sz w:val="24"/>
          <w:szCs w:val="24"/>
        </w:rPr>
        <w:br/>
        <w:t xml:space="preserve">Nobody has reported interest in being mmWave ad-hoc group chair. The Nomination period is extended until 17 November 2022. </w:t>
        <w:br/>
      </w:r>
    </w:p>
    <w:p>
      <w:pPr>
        <w:pStyle w:val="Normal"/>
        <w:spacing w:before="0" w:after="0"/>
        <w:ind w:left="720" w:hanging="0"/>
        <w:contextualSpacing/>
        <w:rPr/>
      </w:pPr>
      <w:r>
        <w:rPr>
          <w:sz w:val="24"/>
          <w:szCs w:val="24"/>
        </w:rPr>
        <w:t>Chair called for AOB.  None heard.</w:t>
        <w:br/>
      </w:r>
    </w:p>
    <w:p>
      <w:pPr>
        <w:pStyle w:val="Normal"/>
        <w:numPr>
          <w:ilvl w:val="0"/>
          <w:numId w:val="1"/>
        </w:numPr>
        <w:spacing w:before="0" w:after="0"/>
        <w:contextualSpacing/>
        <w:rPr/>
      </w:pPr>
      <w:r>
        <w:rPr>
          <w:b/>
          <w:sz w:val="24"/>
          <w:szCs w:val="24"/>
        </w:rPr>
        <w:t>Final administrative items</w:t>
      </w:r>
    </w:p>
    <w:p>
      <w:pPr>
        <w:pStyle w:val="Normal"/>
        <w:spacing w:before="0" w:after="0"/>
        <w:ind w:left="720" w:hanging="0"/>
        <w:contextualSpacing/>
        <w:rPr/>
      </w:pPr>
      <w:r>
        <w:rPr>
          <w:color w:val="000000"/>
          <w:sz w:val="24"/>
          <w:szCs w:val="24"/>
        </w:rPr>
        <w:t xml:space="preserve">18 attendees, 18 voters (including the chair) [Report by Stuart Kerry]. </w:t>
      </w:r>
    </w:p>
    <w:p>
      <w:pPr>
        <w:pStyle w:val="Normal"/>
        <w:numPr>
          <w:ilvl w:val="1"/>
          <w:numId w:val="1"/>
        </w:numPr>
        <w:spacing w:before="0" w:after="0"/>
        <w:contextualSpacing/>
        <w:rPr/>
      </w:pPr>
      <w:r>
        <w:rPr>
          <w:color w:val="000000"/>
          <w:sz w:val="24"/>
          <w:szCs w:val="24"/>
        </w:rPr>
        <w:t xml:space="preserve">Next 802.18 plenary in-person and teleconference calls scheduled for week: 13 November 2022 to 18 November 2022.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https://mentor.ieee.org/802.18/dcn/16/18-16-0038-27-0000-teleconference-call-in-info.pptx</w:t>
      </w:r>
    </w:p>
    <w:p>
      <w:pPr>
        <w:pStyle w:val="Normal"/>
        <w:numPr>
          <w:ilvl w:val="3"/>
          <w:numId w:val="1"/>
        </w:numPr>
        <w:spacing w:before="0" w:after="0"/>
        <w:contextualSpacing/>
        <w:rPr/>
      </w:pPr>
      <w:r>
        <w:rPr>
          <w:color w:val="000000"/>
          <w:sz w:val="24"/>
          <w:szCs w:val="24"/>
        </w:rPr>
        <w:t xml:space="preserve">IEEE 802 Plenary meeting is 13-18 November in Bangkok, Thailand.  </w:t>
      </w:r>
    </w:p>
    <w:p>
      <w:pPr>
        <w:pStyle w:val="Normal"/>
        <w:numPr>
          <w:ilvl w:val="3"/>
          <w:numId w:val="1"/>
        </w:numPr>
        <w:spacing w:before="0" w:after="0"/>
        <w:contextualSpacing/>
        <w:rPr/>
      </w:pPr>
      <w:r>
        <w:rPr>
          <w:color w:val="000000"/>
          <w:sz w:val="24"/>
          <w:szCs w:val="24"/>
        </w:rPr>
        <w:t xml:space="preserve">Currently, RR-TAG weekly teleconferences are scheduled until 26 January 2023. </w:t>
      </w:r>
    </w:p>
    <w:p>
      <w:pPr>
        <w:pStyle w:val="Normal"/>
        <w:numPr>
          <w:ilvl w:val="3"/>
          <w:numId w:val="1"/>
        </w:numPr>
        <w:spacing w:before="0" w:after="0"/>
        <w:contextualSpacing/>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4">
        <w:r>
          <w:rPr>
            <w:rStyle w:val="Internetlnk"/>
            <w:sz w:val="24"/>
            <w:szCs w:val="24"/>
          </w:rPr>
          <w:t>https://ieee802.org/16/cal-temp.html</w:t>
        </w:r>
      </w:hyperlink>
      <w:r>
        <w:rPr>
          <w:sz w:val="24"/>
          <w:szCs w:val="24"/>
        </w:rPr>
        <w:t xml:space="preserve"> or only 802.18:  </w:t>
      </w:r>
      <w:hyperlink r:id="rId15">
        <w:r>
          <w:rPr>
            <w:rStyle w:val="Internetlnk"/>
            <w:sz w:val="24"/>
            <w:szCs w:val="24"/>
          </w:rPr>
          <w:t>IEEE 802.18 TAG Calendar</w:t>
        </w:r>
      </w:hyperlink>
    </w:p>
    <w:p>
      <w:pPr>
        <w:pStyle w:val="Normal"/>
        <w:numPr>
          <w:ilvl w:val="1"/>
          <w:numId w:val="1"/>
        </w:numPr>
        <w:spacing w:before="0" w:after="0"/>
        <w:contextualSpacing/>
        <w:rPr/>
      </w:pPr>
      <w:r>
        <w:rPr>
          <w:bCs/>
          <w:sz w:val="24"/>
          <w:szCs w:val="24"/>
        </w:rPr>
        <w:t xml:space="preserve">Adjourn: </w:t>
        <w:tab/>
        <w:t xml:space="preserve"> </w:t>
      </w:r>
    </w:p>
    <w:p>
      <w:pPr>
        <w:pStyle w:val="ListParagraph"/>
        <w:numPr>
          <w:ilvl w:val="0"/>
          <w:numId w:val="3"/>
        </w:numPr>
        <w:spacing w:before="0" w:after="0"/>
        <w:ind w:left="720" w:hanging="0"/>
        <w:contextualSpacing/>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15:48 ET</w:t>
      </w:r>
    </w:p>
    <w:p>
      <w:pPr>
        <w:pStyle w:val="Normal"/>
        <w:rPr>
          <w:sz w:val="24"/>
          <w:szCs w:val="24"/>
        </w:rPr>
      </w:pPr>
      <w:r>
        <w:rPr>
          <w:sz w:val="24"/>
          <w:szCs w:val="24"/>
        </w:rPr>
      </w:r>
    </w:p>
    <w:p>
      <w:pPr>
        <w:pStyle w:val="ListParagraph"/>
        <w:ind w:left="0" w:hanging="0"/>
        <w:rPr/>
      </w:pPr>
      <w:r>
        <w:rPr>
          <w:b/>
          <w:sz w:val="24"/>
          <w:szCs w:val="24"/>
        </w:rPr>
        <w:t>ATTENDANCE (</w:t>
      </w:r>
      <w:r>
        <w:rPr>
          <w:rFonts w:eastAsia="Times New Roman"/>
          <w:b/>
          <w:bCs/>
          <w:sz w:val="24"/>
          <w:szCs w:val="24"/>
        </w:rPr>
        <w:t>Weekly Meeting Attendance Names and Affiliations):</w:t>
      </w:r>
    </w:p>
    <w:p>
      <w:pPr>
        <w:pStyle w:val="ListParagraph"/>
        <w:ind w:left="0" w:hanging="0"/>
        <w:rPr>
          <w:rFonts w:ascii="Arial" w:hAnsi="Arial" w:eastAsia="Times New Roman" w:cs="Arial"/>
          <w:b/>
          <w:b/>
          <w:bCs/>
          <w:sz w:val="20"/>
          <w:szCs w:val="24"/>
        </w:rPr>
      </w:pPr>
      <w:r>
        <w:rPr>
          <w:rFonts w:eastAsia="Times New Roman" w:cs="Arial" w:ascii="Arial" w:hAnsi="Arial"/>
          <w:b/>
          <w:bCs/>
          <w:sz w:val="20"/>
          <w:szCs w:val="24"/>
        </w:rPr>
      </w:r>
    </w:p>
    <w:tbl>
      <w:tblPr>
        <w:tblW w:w="9468" w:type="dxa"/>
        <w:jc w:val="left"/>
        <w:tblInd w:w="612" w:type="dxa"/>
        <w:tblLayout w:type="fixed"/>
        <w:tblCellMar>
          <w:top w:w="0" w:type="dxa"/>
          <w:left w:w="108" w:type="dxa"/>
          <w:bottom w:w="0" w:type="dxa"/>
          <w:right w:w="108" w:type="dxa"/>
        </w:tblCellMar>
        <w:tblLook w:val="04a0" w:noHBand="0" w:noVBand="1" w:firstColumn="1" w:lastRow="0" w:lastColumn="0" w:firstRow="1"/>
      </w:tblPr>
      <w:tblGrid>
        <w:gridCol w:w="449"/>
        <w:gridCol w:w="1530"/>
        <w:gridCol w:w="2161"/>
        <w:gridCol w:w="4499"/>
        <w:gridCol w:w="829"/>
      </w:tblGrid>
      <w:tr>
        <w:trPr>
          <w:trHeight w:val="435" w:hRule="atLeast"/>
        </w:trPr>
        <w:tc>
          <w:tcPr>
            <w:tcW w:w="8639" w:type="dxa"/>
            <w:gridSpan w:val="4"/>
            <w:tcBorders/>
            <w:vAlign w:val="center"/>
          </w:tcPr>
          <w:p>
            <w:pPr>
              <w:pStyle w:val="Normal"/>
              <w:widowControl w:val="false"/>
              <w:rPr>
                <w:rFonts w:ascii="Arial" w:hAnsi="Arial" w:cs="Arial"/>
                <w:b/>
                <w:b/>
                <w:bCs/>
                <w:sz w:val="20"/>
              </w:rPr>
            </w:pPr>
            <w:r>
              <w:rPr>
                <w:rFonts w:cs="Arial" w:ascii="Arial" w:hAnsi="Arial"/>
                <w:b/>
                <w:bCs/>
                <w:sz w:val="20"/>
              </w:rPr>
              <w:t>Voting Attendees:</w:t>
            </w:r>
          </w:p>
        </w:tc>
        <w:tc>
          <w:tcPr>
            <w:tcW w:w="829" w:type="dxa"/>
            <w:tcBorders/>
            <w:vAlign w:val="center"/>
          </w:tcPr>
          <w:p>
            <w:pPr>
              <w:pStyle w:val="Normal"/>
              <w:widowControl w:val="false"/>
              <w:rPr>
                <w:rFonts w:ascii="Arial" w:hAnsi="Arial" w:cs="Arial"/>
                <w:b/>
                <w:b/>
                <w:bCs/>
                <w:sz w:val="20"/>
              </w:rPr>
            </w:pPr>
            <w:r>
              <w:rPr>
                <w:rFonts w:cs="Arial" w:ascii="Arial" w:hAnsi="Arial"/>
                <w:b/>
                <w:bCs/>
                <w:sz w:val="20"/>
              </w:rPr>
              <w:t>3-Nov</w:t>
            </w:r>
          </w:p>
        </w:tc>
      </w:tr>
      <w:tr>
        <w:trPr>
          <w:trHeight w:val="255" w:hRule="atLeast"/>
        </w:trPr>
        <w:tc>
          <w:tcPr>
            <w:tcW w:w="449" w:type="dxa"/>
            <w:tcBorders/>
            <w:vAlign w:val="center"/>
          </w:tcPr>
          <w:p>
            <w:pPr>
              <w:pStyle w:val="Normal"/>
              <w:widowControl w:val="false"/>
              <w:rPr>
                <w:rFonts w:ascii="Arial" w:hAnsi="Arial" w:cs="Arial"/>
                <w:sz w:val="20"/>
              </w:rPr>
            </w:pPr>
            <w:r>
              <w:rPr>
                <w:rFonts w:cs="Arial" w:ascii="Arial" w:hAnsi="Arial"/>
                <w:sz w:val="20"/>
              </w:rPr>
              <w:t>1</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Andersdotter</w:t>
            </w:r>
          </w:p>
        </w:tc>
        <w:tc>
          <w:tcPr>
            <w:tcW w:w="2161" w:type="dxa"/>
            <w:tcBorders/>
            <w:vAlign w:val="center"/>
          </w:tcPr>
          <w:p>
            <w:pPr>
              <w:pStyle w:val="Normal"/>
              <w:widowControl w:val="false"/>
              <w:rPr>
                <w:rFonts w:ascii="Arial" w:hAnsi="Arial" w:cs="Arial"/>
                <w:sz w:val="20"/>
              </w:rPr>
            </w:pPr>
            <w:r>
              <w:rPr>
                <w:rFonts w:cs="Arial" w:ascii="Arial" w:hAnsi="Arial"/>
                <w:sz w:val="20"/>
              </w:rPr>
              <w:t>Amelia</w:t>
            </w:r>
          </w:p>
        </w:tc>
        <w:tc>
          <w:tcPr>
            <w:tcW w:w="4499" w:type="dxa"/>
            <w:tcBorders/>
            <w:vAlign w:val="center"/>
          </w:tcPr>
          <w:p>
            <w:pPr>
              <w:pStyle w:val="Normal"/>
              <w:widowControl w:val="false"/>
              <w:rPr>
                <w:rFonts w:ascii="Arial" w:hAnsi="Arial" w:cs="Arial"/>
                <w:sz w:val="20"/>
              </w:rPr>
            </w:pPr>
            <w:r>
              <w:rPr>
                <w:rFonts w:cs="Arial" w:ascii="Arial" w:hAnsi="Arial"/>
                <w:sz w:val="20"/>
              </w:rPr>
              <w:t>Sky Group/Comcast</w:t>
            </w:r>
          </w:p>
        </w:tc>
        <w:tc>
          <w:tcPr>
            <w:tcW w:w="829" w:type="dxa"/>
            <w:tcBorders/>
            <w:vAlign w:val="center"/>
          </w:tcPr>
          <w:p>
            <w:pPr>
              <w:pStyle w:val="Normal"/>
              <w:widowControl w:val="false"/>
              <w:jc w:val="center"/>
              <w:rPr/>
            </w:pPr>
            <w:r>
              <w:rPr>
                <w:rFonts w:cs="Arial" w:ascii="Arial" w:hAnsi="Arial"/>
                <w:b/>
                <w:bCs/>
                <w:sz w:val="18"/>
                <w:szCs w:val="18"/>
              </w:rPr>
              <w:t>x</w:t>
            </w:r>
          </w:p>
        </w:tc>
      </w:tr>
      <w:tr>
        <w:trPr>
          <w:trHeight w:val="255" w:hRule="atLeast"/>
        </w:trPr>
        <w:tc>
          <w:tcPr>
            <w:tcW w:w="449" w:type="dxa"/>
            <w:tcBorders/>
            <w:vAlign w:val="center"/>
          </w:tcPr>
          <w:p>
            <w:pPr>
              <w:pStyle w:val="Normal"/>
              <w:widowControl w:val="false"/>
              <w:rPr>
                <w:rFonts w:ascii="Arial" w:hAnsi="Arial" w:cs="Arial"/>
                <w:sz w:val="20"/>
              </w:rPr>
            </w:pPr>
            <w:r>
              <w:rPr>
                <w:rFonts w:cs="Arial" w:ascii="Arial" w:hAnsi="Arial"/>
                <w:sz w:val="20"/>
              </w:rPr>
              <w:t>2</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Au</w:t>
            </w:r>
          </w:p>
        </w:tc>
        <w:tc>
          <w:tcPr>
            <w:tcW w:w="2161" w:type="dxa"/>
            <w:tcBorders/>
            <w:vAlign w:val="center"/>
          </w:tcPr>
          <w:p>
            <w:pPr>
              <w:pStyle w:val="Normal"/>
              <w:widowControl w:val="false"/>
              <w:rPr>
                <w:rFonts w:ascii="Arial" w:hAnsi="Arial" w:cs="Arial"/>
                <w:sz w:val="20"/>
              </w:rPr>
            </w:pPr>
            <w:r>
              <w:rPr>
                <w:rFonts w:cs="Arial" w:ascii="Arial" w:hAnsi="Arial"/>
                <w:sz w:val="20"/>
              </w:rPr>
              <w:t>Edward (Kwok Shum)</w:t>
            </w:r>
          </w:p>
        </w:tc>
        <w:tc>
          <w:tcPr>
            <w:tcW w:w="4499" w:type="dxa"/>
            <w:tcBorders/>
            <w:vAlign w:val="center"/>
          </w:tcPr>
          <w:p>
            <w:pPr>
              <w:pStyle w:val="Normal"/>
              <w:widowControl w:val="false"/>
              <w:rPr>
                <w:rFonts w:ascii="Arial" w:hAnsi="Arial" w:cs="Arial"/>
                <w:sz w:val="20"/>
              </w:rPr>
            </w:pPr>
            <w:r>
              <w:rPr>
                <w:rFonts w:cs="Arial" w:ascii="Arial" w:hAnsi="Arial"/>
                <w:sz w:val="20"/>
              </w:rPr>
              <w:t>Huawei Technologies Co., Ltd</w:t>
            </w:r>
          </w:p>
        </w:tc>
        <w:tc>
          <w:tcPr>
            <w:tcW w:w="829" w:type="dxa"/>
            <w:tcBorders/>
            <w:vAlign w:val="center"/>
          </w:tcPr>
          <w:p>
            <w:pPr>
              <w:pStyle w:val="Normal"/>
              <w:widowControl w:val="false"/>
              <w:jc w:val="center"/>
              <w:rPr/>
            </w:pPr>
            <w:r>
              <w:rPr>
                <w:rFonts w:cs="Arial" w:ascii="Arial" w:hAnsi="Arial"/>
                <w:b/>
                <w:bCs/>
                <w:sz w:val="18"/>
                <w:szCs w:val="18"/>
              </w:rPr>
              <w:t>x</w:t>
            </w:r>
          </w:p>
        </w:tc>
      </w:tr>
      <w:tr>
        <w:trPr>
          <w:trHeight w:val="255" w:hRule="atLeast"/>
        </w:trPr>
        <w:tc>
          <w:tcPr>
            <w:tcW w:w="449" w:type="dxa"/>
            <w:tcBorders/>
            <w:vAlign w:val="center"/>
          </w:tcPr>
          <w:p>
            <w:pPr>
              <w:pStyle w:val="Normal"/>
              <w:widowControl w:val="false"/>
              <w:rPr>
                <w:rFonts w:ascii="Arial" w:hAnsi="Arial" w:cs="Arial"/>
                <w:sz w:val="20"/>
              </w:rPr>
            </w:pPr>
            <w:r>
              <w:rPr>
                <w:rFonts w:cs="Arial" w:ascii="Arial" w:hAnsi="Arial"/>
                <w:sz w:val="20"/>
              </w:rPr>
              <w:t>3</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Auluck</w:t>
            </w:r>
          </w:p>
        </w:tc>
        <w:tc>
          <w:tcPr>
            <w:tcW w:w="2161" w:type="dxa"/>
            <w:tcBorders/>
            <w:vAlign w:val="center"/>
          </w:tcPr>
          <w:p>
            <w:pPr>
              <w:pStyle w:val="Normal"/>
              <w:widowControl w:val="false"/>
              <w:rPr>
                <w:rFonts w:ascii="Arial" w:hAnsi="Arial" w:cs="Arial"/>
                <w:sz w:val="20"/>
              </w:rPr>
            </w:pPr>
            <w:r>
              <w:rPr>
                <w:rFonts w:cs="Arial" w:ascii="Arial" w:hAnsi="Arial"/>
                <w:sz w:val="20"/>
              </w:rPr>
              <w:t>Vijay</w:t>
            </w:r>
          </w:p>
        </w:tc>
        <w:tc>
          <w:tcPr>
            <w:tcW w:w="4499" w:type="dxa"/>
            <w:tcBorders/>
            <w:vAlign w:val="center"/>
          </w:tcPr>
          <w:p>
            <w:pPr>
              <w:pStyle w:val="Normal"/>
              <w:widowControl w:val="false"/>
              <w:rPr>
                <w:rFonts w:ascii="Arial" w:hAnsi="Arial" w:cs="Arial"/>
                <w:sz w:val="20"/>
              </w:rPr>
            </w:pPr>
            <w:r>
              <w:rPr>
                <w:rFonts w:cs="Arial" w:ascii="Arial" w:hAnsi="Arial"/>
                <w:sz w:val="20"/>
              </w:rPr>
              <w:t>Self</w:t>
            </w:r>
          </w:p>
        </w:tc>
        <w:tc>
          <w:tcPr>
            <w:tcW w:w="829" w:type="dxa"/>
            <w:tcBorders/>
            <w:vAlign w:val="center"/>
          </w:tcPr>
          <w:p>
            <w:pPr>
              <w:pStyle w:val="Normal"/>
              <w:widowControl w:val="false"/>
              <w:jc w:val="center"/>
              <w:rPr/>
            </w:pPr>
            <w:r>
              <w:rPr>
                <w:rFonts w:cs="Arial" w:ascii="Arial" w:hAnsi="Arial"/>
                <w:b/>
                <w:bCs/>
                <w:sz w:val="18"/>
                <w:szCs w:val="18"/>
              </w:rPr>
              <w:t>x</w:t>
            </w:r>
          </w:p>
        </w:tc>
      </w:tr>
      <w:tr>
        <w:trPr>
          <w:trHeight w:val="255" w:hRule="atLeast"/>
        </w:trPr>
        <w:tc>
          <w:tcPr>
            <w:tcW w:w="449" w:type="dxa"/>
            <w:tcBorders/>
            <w:vAlign w:val="center"/>
          </w:tcPr>
          <w:p>
            <w:pPr>
              <w:pStyle w:val="Normal"/>
              <w:widowControl w:val="false"/>
              <w:rPr>
                <w:rFonts w:ascii="Arial" w:hAnsi="Arial" w:cs="Arial"/>
                <w:sz w:val="20"/>
              </w:rPr>
            </w:pPr>
            <w:r>
              <w:rPr>
                <w:rFonts w:cs="Arial" w:ascii="Arial" w:hAnsi="Arial"/>
                <w:sz w:val="20"/>
              </w:rPr>
              <w:t>4</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Baykas</w:t>
            </w:r>
          </w:p>
        </w:tc>
        <w:tc>
          <w:tcPr>
            <w:tcW w:w="2161" w:type="dxa"/>
            <w:tcBorders/>
            <w:vAlign w:val="center"/>
          </w:tcPr>
          <w:p>
            <w:pPr>
              <w:pStyle w:val="Normal"/>
              <w:widowControl w:val="false"/>
              <w:rPr>
                <w:rFonts w:ascii="Arial" w:hAnsi="Arial" w:cs="Arial"/>
                <w:sz w:val="20"/>
              </w:rPr>
            </w:pPr>
            <w:r>
              <w:rPr>
                <w:rFonts w:cs="Arial" w:ascii="Arial" w:hAnsi="Arial"/>
                <w:sz w:val="20"/>
              </w:rPr>
              <w:t>Tuncer</w:t>
            </w:r>
          </w:p>
        </w:tc>
        <w:tc>
          <w:tcPr>
            <w:tcW w:w="4499" w:type="dxa"/>
            <w:tcBorders/>
            <w:vAlign w:val="center"/>
          </w:tcPr>
          <w:p>
            <w:pPr>
              <w:pStyle w:val="Normal"/>
              <w:widowControl w:val="false"/>
              <w:rPr>
                <w:rFonts w:ascii="Arial" w:hAnsi="Arial" w:cs="Arial"/>
                <w:sz w:val="20"/>
              </w:rPr>
            </w:pPr>
            <w:r>
              <w:rPr>
                <w:rFonts w:cs="Arial" w:ascii="Arial" w:hAnsi="Arial"/>
                <w:sz w:val="20"/>
              </w:rPr>
              <w:t>Ofinno</w:t>
            </w:r>
          </w:p>
        </w:tc>
        <w:tc>
          <w:tcPr>
            <w:tcW w:w="829" w:type="dxa"/>
            <w:tcBorders/>
            <w:vAlign w:val="center"/>
          </w:tcPr>
          <w:p>
            <w:pPr>
              <w:pStyle w:val="Normal"/>
              <w:widowControl w:val="false"/>
              <w:jc w:val="center"/>
              <w:rPr/>
            </w:pPr>
            <w:r>
              <w:rPr>
                <w:rFonts w:cs="Arial" w:ascii="Arial" w:hAnsi="Arial"/>
                <w:b/>
                <w:bCs/>
                <w:sz w:val="18"/>
                <w:szCs w:val="18"/>
              </w:rPr>
              <w:t>x</w:t>
            </w:r>
          </w:p>
        </w:tc>
      </w:tr>
      <w:tr>
        <w:trPr>
          <w:trHeight w:val="255" w:hRule="atLeast"/>
        </w:trPr>
        <w:tc>
          <w:tcPr>
            <w:tcW w:w="449" w:type="dxa"/>
            <w:tcBorders/>
            <w:vAlign w:val="center"/>
          </w:tcPr>
          <w:p>
            <w:pPr>
              <w:pStyle w:val="Normal"/>
              <w:widowControl w:val="false"/>
              <w:rPr>
                <w:rFonts w:ascii="Arial" w:hAnsi="Arial" w:cs="Arial"/>
                <w:sz w:val="20"/>
              </w:rPr>
            </w:pPr>
            <w:r>
              <w:rPr>
                <w:rFonts w:cs="Arial" w:ascii="Arial" w:hAnsi="Arial"/>
                <w:sz w:val="20"/>
              </w:rPr>
              <w:t>5</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Ecclesine</w:t>
            </w:r>
          </w:p>
        </w:tc>
        <w:tc>
          <w:tcPr>
            <w:tcW w:w="2161" w:type="dxa"/>
            <w:tcBorders/>
            <w:vAlign w:val="center"/>
          </w:tcPr>
          <w:p>
            <w:pPr>
              <w:pStyle w:val="Normal"/>
              <w:widowControl w:val="false"/>
              <w:rPr>
                <w:rFonts w:ascii="Arial" w:hAnsi="Arial" w:cs="Arial"/>
                <w:sz w:val="20"/>
              </w:rPr>
            </w:pPr>
            <w:r>
              <w:rPr>
                <w:rFonts w:cs="Arial" w:ascii="Arial" w:hAnsi="Arial"/>
                <w:sz w:val="20"/>
              </w:rPr>
              <w:t>Peter</w:t>
            </w:r>
          </w:p>
        </w:tc>
        <w:tc>
          <w:tcPr>
            <w:tcW w:w="4499" w:type="dxa"/>
            <w:tcBorders/>
            <w:vAlign w:val="center"/>
          </w:tcPr>
          <w:p>
            <w:pPr>
              <w:pStyle w:val="Normal"/>
              <w:widowControl w:val="false"/>
              <w:rPr>
                <w:rFonts w:ascii="Arial" w:hAnsi="Arial" w:cs="Arial"/>
                <w:sz w:val="20"/>
              </w:rPr>
            </w:pPr>
            <w:r>
              <w:rPr>
                <w:rFonts w:cs="Arial" w:ascii="Arial" w:hAnsi="Arial"/>
                <w:sz w:val="20"/>
              </w:rPr>
              <w:t>Cisco Systems, Inc.</w:t>
            </w:r>
          </w:p>
        </w:tc>
        <w:tc>
          <w:tcPr>
            <w:tcW w:w="829" w:type="dxa"/>
            <w:tcBorders/>
            <w:vAlign w:val="center"/>
          </w:tcPr>
          <w:p>
            <w:pPr>
              <w:pStyle w:val="Normal"/>
              <w:widowControl w:val="false"/>
              <w:jc w:val="center"/>
              <w:rPr/>
            </w:pPr>
            <w:r>
              <w:rPr>
                <w:rFonts w:cs="Arial" w:ascii="Arial" w:hAnsi="Arial"/>
                <w:b/>
                <w:bCs/>
                <w:sz w:val="18"/>
                <w:szCs w:val="18"/>
              </w:rPr>
              <w:t>x</w:t>
            </w:r>
          </w:p>
        </w:tc>
      </w:tr>
      <w:tr>
        <w:trPr>
          <w:trHeight w:val="255" w:hRule="atLeast"/>
        </w:trPr>
        <w:tc>
          <w:tcPr>
            <w:tcW w:w="449" w:type="dxa"/>
            <w:tcBorders/>
            <w:vAlign w:val="center"/>
          </w:tcPr>
          <w:p>
            <w:pPr>
              <w:pStyle w:val="Normal"/>
              <w:widowControl w:val="false"/>
              <w:rPr>
                <w:rFonts w:ascii="Arial" w:hAnsi="Arial" w:cs="Arial"/>
                <w:sz w:val="20"/>
              </w:rPr>
            </w:pPr>
            <w:r>
              <w:rPr>
                <w:rFonts w:cs="Arial" w:ascii="Arial" w:hAnsi="Arial"/>
                <w:sz w:val="20"/>
              </w:rPr>
              <w:t>6</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Fang</w:t>
            </w:r>
          </w:p>
        </w:tc>
        <w:tc>
          <w:tcPr>
            <w:tcW w:w="2161" w:type="dxa"/>
            <w:tcBorders/>
            <w:vAlign w:val="center"/>
          </w:tcPr>
          <w:p>
            <w:pPr>
              <w:pStyle w:val="Normal"/>
              <w:widowControl w:val="false"/>
              <w:rPr>
                <w:rFonts w:ascii="Arial" w:hAnsi="Arial" w:cs="Arial"/>
                <w:sz w:val="20"/>
              </w:rPr>
            </w:pPr>
            <w:r>
              <w:rPr>
                <w:rFonts w:cs="Arial" w:ascii="Arial" w:hAnsi="Arial"/>
                <w:sz w:val="20"/>
              </w:rPr>
              <w:t>Yonggang</w:t>
            </w:r>
          </w:p>
        </w:tc>
        <w:tc>
          <w:tcPr>
            <w:tcW w:w="4499" w:type="dxa"/>
            <w:tcBorders/>
            <w:vAlign w:val="center"/>
          </w:tcPr>
          <w:p>
            <w:pPr>
              <w:pStyle w:val="Normal"/>
              <w:widowControl w:val="false"/>
              <w:rPr>
                <w:rFonts w:ascii="Arial" w:hAnsi="Arial" w:cs="Arial"/>
                <w:sz w:val="20"/>
              </w:rPr>
            </w:pPr>
            <w:r>
              <w:rPr>
                <w:rFonts w:cs="Arial" w:ascii="Arial" w:hAnsi="Arial"/>
                <w:sz w:val="20"/>
              </w:rPr>
              <w:t>MediaTek</w:t>
            </w:r>
          </w:p>
        </w:tc>
        <w:tc>
          <w:tcPr>
            <w:tcW w:w="829" w:type="dxa"/>
            <w:tcBorders/>
            <w:vAlign w:val="center"/>
          </w:tcPr>
          <w:p>
            <w:pPr>
              <w:pStyle w:val="Normal"/>
              <w:widowControl w:val="false"/>
              <w:jc w:val="center"/>
              <w:rPr/>
            </w:pPr>
            <w:r>
              <w:rPr>
                <w:rFonts w:cs="Arial" w:ascii="Arial" w:hAnsi="Arial"/>
                <w:b/>
                <w:bCs/>
                <w:sz w:val="18"/>
                <w:szCs w:val="18"/>
              </w:rPr>
              <w:t>x</w:t>
            </w:r>
          </w:p>
        </w:tc>
      </w:tr>
      <w:tr>
        <w:trPr>
          <w:trHeight w:val="255" w:hRule="atLeast"/>
        </w:trPr>
        <w:tc>
          <w:tcPr>
            <w:tcW w:w="449" w:type="dxa"/>
            <w:tcBorders/>
            <w:vAlign w:val="center"/>
          </w:tcPr>
          <w:p>
            <w:pPr>
              <w:pStyle w:val="Normal"/>
              <w:widowControl w:val="false"/>
              <w:rPr>
                <w:rFonts w:ascii="Arial" w:hAnsi="Arial" w:cs="Arial"/>
                <w:sz w:val="20"/>
              </w:rPr>
            </w:pPr>
            <w:r>
              <w:rPr>
                <w:rFonts w:cs="Arial" w:ascii="Arial" w:hAnsi="Arial"/>
                <w:sz w:val="20"/>
              </w:rPr>
              <w:t>7</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Hiertz</w:t>
            </w:r>
          </w:p>
        </w:tc>
        <w:tc>
          <w:tcPr>
            <w:tcW w:w="2161" w:type="dxa"/>
            <w:tcBorders/>
            <w:vAlign w:val="center"/>
          </w:tcPr>
          <w:p>
            <w:pPr>
              <w:pStyle w:val="Normal"/>
              <w:widowControl w:val="false"/>
              <w:rPr>
                <w:rFonts w:ascii="Arial" w:hAnsi="Arial" w:cs="Arial"/>
                <w:sz w:val="20"/>
              </w:rPr>
            </w:pPr>
            <w:r>
              <w:rPr>
                <w:rFonts w:cs="Arial" w:ascii="Arial" w:hAnsi="Arial"/>
                <w:sz w:val="20"/>
              </w:rPr>
              <w:t>Guido</w:t>
            </w:r>
          </w:p>
        </w:tc>
        <w:tc>
          <w:tcPr>
            <w:tcW w:w="4499" w:type="dxa"/>
            <w:tcBorders/>
            <w:vAlign w:val="center"/>
          </w:tcPr>
          <w:p>
            <w:pPr>
              <w:pStyle w:val="Normal"/>
              <w:widowControl w:val="false"/>
              <w:rPr>
                <w:rFonts w:ascii="Arial" w:hAnsi="Arial" w:cs="Arial"/>
                <w:sz w:val="20"/>
              </w:rPr>
            </w:pPr>
            <w:r>
              <w:rPr>
                <w:rFonts w:cs="Arial" w:ascii="Arial" w:hAnsi="Arial"/>
                <w:sz w:val="20"/>
              </w:rPr>
              <w:t>Ericsson GmbH</w:t>
            </w:r>
          </w:p>
        </w:tc>
        <w:tc>
          <w:tcPr>
            <w:tcW w:w="829" w:type="dxa"/>
            <w:tcBorders/>
            <w:vAlign w:val="center"/>
          </w:tcPr>
          <w:p>
            <w:pPr>
              <w:pStyle w:val="Normal"/>
              <w:widowControl w:val="false"/>
              <w:jc w:val="center"/>
              <w:rPr/>
            </w:pPr>
            <w:r>
              <w:rPr>
                <w:rFonts w:cs="Arial" w:ascii="Arial" w:hAnsi="Arial"/>
                <w:b/>
                <w:bCs/>
                <w:sz w:val="18"/>
                <w:szCs w:val="18"/>
              </w:rPr>
              <w:t>x</w:t>
            </w:r>
          </w:p>
        </w:tc>
      </w:tr>
      <w:tr>
        <w:trPr>
          <w:trHeight w:val="255" w:hRule="atLeast"/>
        </w:trPr>
        <w:tc>
          <w:tcPr>
            <w:tcW w:w="449" w:type="dxa"/>
            <w:tcBorders/>
            <w:vAlign w:val="center"/>
          </w:tcPr>
          <w:p>
            <w:pPr>
              <w:pStyle w:val="Normal"/>
              <w:widowControl w:val="false"/>
              <w:rPr>
                <w:rFonts w:ascii="Arial" w:hAnsi="Arial" w:cs="Arial"/>
                <w:sz w:val="20"/>
              </w:rPr>
            </w:pPr>
            <w:r>
              <w:rPr>
                <w:rFonts w:cs="Arial" w:ascii="Arial" w:hAnsi="Arial"/>
                <w:sz w:val="20"/>
              </w:rPr>
              <w:t>8</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Holcomb</w:t>
            </w:r>
          </w:p>
        </w:tc>
        <w:tc>
          <w:tcPr>
            <w:tcW w:w="2161" w:type="dxa"/>
            <w:tcBorders/>
            <w:vAlign w:val="center"/>
          </w:tcPr>
          <w:p>
            <w:pPr>
              <w:pStyle w:val="Normal"/>
              <w:widowControl w:val="false"/>
              <w:rPr>
                <w:rFonts w:ascii="Arial" w:hAnsi="Arial" w:cs="Arial"/>
                <w:sz w:val="20"/>
              </w:rPr>
            </w:pPr>
            <w:r>
              <w:rPr>
                <w:rFonts w:cs="Arial" w:ascii="Arial" w:hAnsi="Arial"/>
                <w:sz w:val="20"/>
              </w:rPr>
              <w:t>Jay</w:t>
            </w:r>
          </w:p>
        </w:tc>
        <w:tc>
          <w:tcPr>
            <w:tcW w:w="4499" w:type="dxa"/>
            <w:tcBorders/>
            <w:vAlign w:val="center"/>
          </w:tcPr>
          <w:p>
            <w:pPr>
              <w:pStyle w:val="Normal"/>
              <w:widowControl w:val="false"/>
              <w:rPr>
                <w:rFonts w:ascii="Arial" w:hAnsi="Arial" w:cs="Arial"/>
                <w:sz w:val="20"/>
              </w:rPr>
            </w:pPr>
            <w:r>
              <w:rPr>
                <w:rFonts w:cs="Arial" w:ascii="Arial" w:hAnsi="Arial"/>
                <w:sz w:val="20"/>
              </w:rPr>
              <w:t>Self</w:t>
            </w:r>
          </w:p>
        </w:tc>
        <w:tc>
          <w:tcPr>
            <w:tcW w:w="829" w:type="dxa"/>
            <w:tcBorders/>
            <w:vAlign w:val="center"/>
          </w:tcPr>
          <w:p>
            <w:pPr>
              <w:pStyle w:val="Normal"/>
              <w:widowControl w:val="false"/>
              <w:jc w:val="center"/>
              <w:rPr/>
            </w:pPr>
            <w:r>
              <w:rPr>
                <w:rFonts w:cs="Arial" w:ascii="Arial" w:hAnsi="Arial"/>
                <w:b/>
                <w:bCs/>
                <w:sz w:val="18"/>
                <w:szCs w:val="18"/>
              </w:rPr>
              <w:t>x</w:t>
            </w:r>
          </w:p>
        </w:tc>
      </w:tr>
      <w:tr>
        <w:trPr>
          <w:trHeight w:val="255" w:hRule="atLeast"/>
        </w:trPr>
        <w:tc>
          <w:tcPr>
            <w:tcW w:w="449" w:type="dxa"/>
            <w:tcBorders/>
            <w:vAlign w:val="center"/>
          </w:tcPr>
          <w:p>
            <w:pPr>
              <w:pStyle w:val="Normal"/>
              <w:widowControl w:val="false"/>
              <w:rPr>
                <w:rFonts w:ascii="Arial" w:hAnsi="Arial" w:cs="Arial"/>
                <w:sz w:val="20"/>
              </w:rPr>
            </w:pPr>
            <w:r>
              <w:rPr>
                <w:rFonts w:cs="Arial" w:ascii="Arial" w:hAnsi="Arial"/>
                <w:sz w:val="20"/>
              </w:rPr>
              <w:t>9</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Kennedy</w:t>
            </w:r>
          </w:p>
        </w:tc>
        <w:tc>
          <w:tcPr>
            <w:tcW w:w="2161" w:type="dxa"/>
            <w:tcBorders/>
            <w:vAlign w:val="center"/>
          </w:tcPr>
          <w:p>
            <w:pPr>
              <w:pStyle w:val="Normal"/>
              <w:widowControl w:val="false"/>
              <w:rPr>
                <w:rFonts w:ascii="Arial" w:hAnsi="Arial" w:cs="Arial"/>
                <w:sz w:val="20"/>
              </w:rPr>
            </w:pPr>
            <w:r>
              <w:rPr>
                <w:rFonts w:cs="Arial" w:ascii="Arial" w:hAnsi="Arial"/>
                <w:sz w:val="20"/>
              </w:rPr>
              <w:t>Richard</w:t>
            </w:r>
          </w:p>
        </w:tc>
        <w:tc>
          <w:tcPr>
            <w:tcW w:w="4499" w:type="dxa"/>
            <w:tcBorders/>
            <w:vAlign w:val="center"/>
          </w:tcPr>
          <w:p>
            <w:pPr>
              <w:pStyle w:val="Normal"/>
              <w:widowControl w:val="false"/>
              <w:rPr>
                <w:rFonts w:ascii="Arial" w:hAnsi="Arial" w:cs="Arial"/>
                <w:sz w:val="20"/>
              </w:rPr>
            </w:pPr>
            <w:r>
              <w:rPr>
                <w:rFonts w:cs="Arial" w:ascii="Arial" w:hAnsi="Arial"/>
                <w:sz w:val="20"/>
              </w:rPr>
              <w:t>Unlicensed Spectrum Advocates, LLC</w:t>
            </w:r>
          </w:p>
        </w:tc>
        <w:tc>
          <w:tcPr>
            <w:tcW w:w="829" w:type="dxa"/>
            <w:tcBorders/>
            <w:vAlign w:val="center"/>
          </w:tcPr>
          <w:p>
            <w:pPr>
              <w:pStyle w:val="Normal"/>
              <w:widowControl w:val="false"/>
              <w:jc w:val="center"/>
              <w:rPr/>
            </w:pPr>
            <w:r>
              <w:rPr>
                <w:rFonts w:cs="Arial" w:ascii="Arial" w:hAnsi="Arial"/>
                <w:b/>
                <w:bCs/>
                <w:sz w:val="18"/>
                <w:szCs w:val="18"/>
              </w:rPr>
              <w:t>x</w:t>
            </w:r>
          </w:p>
        </w:tc>
      </w:tr>
      <w:tr>
        <w:trPr>
          <w:trHeight w:val="255" w:hRule="atLeast"/>
        </w:trPr>
        <w:tc>
          <w:tcPr>
            <w:tcW w:w="449" w:type="dxa"/>
            <w:tcBorders/>
            <w:vAlign w:val="center"/>
          </w:tcPr>
          <w:p>
            <w:pPr>
              <w:pStyle w:val="Normal"/>
              <w:widowControl w:val="false"/>
              <w:rPr>
                <w:rFonts w:ascii="Arial" w:hAnsi="Arial" w:cs="Arial"/>
                <w:sz w:val="20"/>
              </w:rPr>
            </w:pPr>
            <w:r>
              <w:rPr>
                <w:rFonts w:cs="Arial" w:ascii="Arial" w:hAnsi="Arial"/>
                <w:sz w:val="20"/>
              </w:rPr>
              <w:t>10</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Kerry</w:t>
            </w:r>
          </w:p>
        </w:tc>
        <w:tc>
          <w:tcPr>
            <w:tcW w:w="2161" w:type="dxa"/>
            <w:tcBorders/>
            <w:vAlign w:val="center"/>
          </w:tcPr>
          <w:p>
            <w:pPr>
              <w:pStyle w:val="Normal"/>
              <w:widowControl w:val="false"/>
              <w:rPr>
                <w:rFonts w:ascii="Arial" w:hAnsi="Arial" w:cs="Arial"/>
                <w:sz w:val="20"/>
              </w:rPr>
            </w:pPr>
            <w:r>
              <w:rPr>
                <w:rFonts w:cs="Arial" w:ascii="Arial" w:hAnsi="Arial"/>
                <w:sz w:val="20"/>
              </w:rPr>
              <w:t>Stuart</w:t>
            </w:r>
          </w:p>
        </w:tc>
        <w:tc>
          <w:tcPr>
            <w:tcW w:w="4499" w:type="dxa"/>
            <w:tcBorders/>
            <w:vAlign w:val="center"/>
          </w:tcPr>
          <w:p>
            <w:pPr>
              <w:pStyle w:val="Normal"/>
              <w:widowControl w:val="false"/>
              <w:rPr>
                <w:rFonts w:ascii="Arial" w:hAnsi="Arial" w:cs="Arial"/>
                <w:sz w:val="20"/>
              </w:rPr>
            </w:pPr>
            <w:r>
              <w:rPr>
                <w:rFonts w:cs="Arial" w:ascii="Arial" w:hAnsi="Arial"/>
                <w:sz w:val="20"/>
              </w:rPr>
              <w:t>OK</w:t>
            </w:r>
            <w:r>
              <w:rPr>
                <w:rFonts w:ascii="Cambria Math" w:hAnsi="Cambria Math"/>
                <w:sz w:val="20"/>
              </w:rPr>
              <w:t>‐</w:t>
            </w:r>
            <w:r>
              <w:rPr>
                <w:rFonts w:cs="Arial" w:ascii="Arial" w:hAnsi="Arial"/>
                <w:sz w:val="20"/>
              </w:rPr>
              <w:t>Brit, Self</w:t>
            </w:r>
          </w:p>
        </w:tc>
        <w:tc>
          <w:tcPr>
            <w:tcW w:w="829" w:type="dxa"/>
            <w:tcBorders/>
            <w:vAlign w:val="center"/>
          </w:tcPr>
          <w:p>
            <w:pPr>
              <w:pStyle w:val="Normal"/>
              <w:widowControl w:val="false"/>
              <w:jc w:val="center"/>
              <w:rPr/>
            </w:pPr>
            <w:r>
              <w:rPr>
                <w:rFonts w:cs="Arial" w:ascii="Arial" w:hAnsi="Arial"/>
                <w:b/>
                <w:bCs/>
                <w:sz w:val="18"/>
                <w:szCs w:val="18"/>
              </w:rPr>
              <w:t>x</w:t>
            </w:r>
          </w:p>
        </w:tc>
      </w:tr>
      <w:tr>
        <w:trPr>
          <w:trHeight w:val="255" w:hRule="atLeast"/>
        </w:trPr>
        <w:tc>
          <w:tcPr>
            <w:tcW w:w="449" w:type="dxa"/>
            <w:tcBorders/>
            <w:vAlign w:val="center"/>
          </w:tcPr>
          <w:p>
            <w:pPr>
              <w:pStyle w:val="Normal"/>
              <w:widowControl w:val="false"/>
              <w:rPr>
                <w:rFonts w:ascii="Arial" w:hAnsi="Arial" w:cs="Arial"/>
                <w:sz w:val="20"/>
              </w:rPr>
            </w:pPr>
            <w:r>
              <w:rPr>
                <w:rFonts w:cs="Arial" w:ascii="Arial" w:hAnsi="Arial"/>
                <w:sz w:val="20"/>
              </w:rPr>
              <w:t>11</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Levy</w:t>
            </w:r>
          </w:p>
        </w:tc>
        <w:tc>
          <w:tcPr>
            <w:tcW w:w="2161" w:type="dxa"/>
            <w:tcBorders/>
            <w:vAlign w:val="center"/>
          </w:tcPr>
          <w:p>
            <w:pPr>
              <w:pStyle w:val="Normal"/>
              <w:widowControl w:val="false"/>
              <w:rPr>
                <w:rFonts w:ascii="Arial" w:hAnsi="Arial" w:cs="Arial"/>
                <w:sz w:val="20"/>
              </w:rPr>
            </w:pPr>
            <w:r>
              <w:rPr>
                <w:rFonts w:cs="Arial" w:ascii="Arial" w:hAnsi="Arial"/>
                <w:sz w:val="20"/>
              </w:rPr>
              <w:t>Joseph</w:t>
            </w:r>
          </w:p>
        </w:tc>
        <w:tc>
          <w:tcPr>
            <w:tcW w:w="4499" w:type="dxa"/>
            <w:tcBorders/>
            <w:vAlign w:val="center"/>
          </w:tcPr>
          <w:p>
            <w:pPr>
              <w:pStyle w:val="Normal"/>
              <w:widowControl w:val="false"/>
              <w:rPr>
                <w:rFonts w:ascii="Arial" w:hAnsi="Arial" w:cs="Arial"/>
                <w:sz w:val="20"/>
              </w:rPr>
            </w:pPr>
            <w:r>
              <w:rPr>
                <w:rFonts w:cs="Arial" w:ascii="Arial" w:hAnsi="Arial"/>
                <w:sz w:val="20"/>
              </w:rPr>
              <w:t>InterDigital, Inc.</w:t>
            </w:r>
          </w:p>
        </w:tc>
        <w:tc>
          <w:tcPr>
            <w:tcW w:w="829" w:type="dxa"/>
            <w:tcBorders/>
            <w:vAlign w:val="center"/>
          </w:tcPr>
          <w:p>
            <w:pPr>
              <w:pStyle w:val="Normal"/>
              <w:widowControl w:val="false"/>
              <w:jc w:val="center"/>
              <w:rPr/>
            </w:pPr>
            <w:r>
              <w:rPr>
                <w:rFonts w:cs="Arial" w:ascii="Arial" w:hAnsi="Arial"/>
                <w:b/>
                <w:bCs/>
                <w:sz w:val="18"/>
                <w:szCs w:val="18"/>
              </w:rPr>
              <w:t>x</w:t>
            </w:r>
          </w:p>
        </w:tc>
      </w:tr>
      <w:tr>
        <w:trPr>
          <w:trHeight w:val="255" w:hRule="atLeast"/>
        </w:trPr>
        <w:tc>
          <w:tcPr>
            <w:tcW w:w="449" w:type="dxa"/>
            <w:tcBorders/>
            <w:vAlign w:val="center"/>
          </w:tcPr>
          <w:p>
            <w:pPr>
              <w:pStyle w:val="Normal"/>
              <w:widowControl w:val="false"/>
              <w:rPr>
                <w:rFonts w:ascii="Arial" w:hAnsi="Arial" w:cs="Arial"/>
                <w:sz w:val="20"/>
              </w:rPr>
            </w:pPr>
            <w:r>
              <w:rPr>
                <w:rFonts w:cs="Arial" w:ascii="Arial" w:hAnsi="Arial"/>
                <w:sz w:val="20"/>
              </w:rPr>
              <w:t>12</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Lynch</w:t>
            </w:r>
          </w:p>
        </w:tc>
        <w:tc>
          <w:tcPr>
            <w:tcW w:w="2161" w:type="dxa"/>
            <w:tcBorders/>
            <w:vAlign w:val="center"/>
          </w:tcPr>
          <w:p>
            <w:pPr>
              <w:pStyle w:val="Normal"/>
              <w:widowControl w:val="false"/>
              <w:rPr>
                <w:rFonts w:ascii="Arial" w:hAnsi="Arial" w:cs="Arial"/>
                <w:sz w:val="20"/>
              </w:rPr>
            </w:pPr>
            <w:r>
              <w:rPr>
                <w:rFonts w:cs="Arial" w:ascii="Arial" w:hAnsi="Arial"/>
                <w:sz w:val="20"/>
              </w:rPr>
              <w:t>Michael</w:t>
            </w:r>
          </w:p>
        </w:tc>
        <w:tc>
          <w:tcPr>
            <w:tcW w:w="4499" w:type="dxa"/>
            <w:tcBorders/>
            <w:vAlign w:val="center"/>
          </w:tcPr>
          <w:p>
            <w:pPr>
              <w:pStyle w:val="Normal"/>
              <w:widowControl w:val="false"/>
              <w:rPr>
                <w:rFonts w:ascii="Arial" w:hAnsi="Arial" w:cs="Arial"/>
                <w:sz w:val="20"/>
              </w:rPr>
            </w:pPr>
            <w:r>
              <w:rPr>
                <w:rFonts w:cs="Arial" w:ascii="Arial" w:hAnsi="Arial"/>
                <w:sz w:val="20"/>
              </w:rPr>
              <w:t>MJ Lynch &amp; Associates, LLC.</w:t>
            </w:r>
          </w:p>
        </w:tc>
        <w:tc>
          <w:tcPr>
            <w:tcW w:w="829" w:type="dxa"/>
            <w:tcBorders/>
            <w:vAlign w:val="center"/>
          </w:tcPr>
          <w:p>
            <w:pPr>
              <w:pStyle w:val="Normal"/>
              <w:widowControl w:val="false"/>
              <w:jc w:val="center"/>
              <w:rPr/>
            </w:pPr>
            <w:r>
              <w:rPr>
                <w:rFonts w:cs="Arial" w:ascii="Arial" w:hAnsi="Arial"/>
                <w:b/>
                <w:bCs/>
                <w:sz w:val="18"/>
                <w:szCs w:val="18"/>
              </w:rPr>
              <w:t>x</w:t>
            </w:r>
          </w:p>
        </w:tc>
      </w:tr>
      <w:tr>
        <w:trPr>
          <w:trHeight w:val="255" w:hRule="atLeast"/>
        </w:trPr>
        <w:tc>
          <w:tcPr>
            <w:tcW w:w="449" w:type="dxa"/>
            <w:tcBorders/>
            <w:vAlign w:val="center"/>
          </w:tcPr>
          <w:p>
            <w:pPr>
              <w:pStyle w:val="Normal"/>
              <w:widowControl w:val="false"/>
              <w:rPr>
                <w:rFonts w:ascii="Arial" w:hAnsi="Arial" w:cs="Arial"/>
                <w:sz w:val="20"/>
              </w:rPr>
            </w:pPr>
            <w:r>
              <w:rPr>
                <w:rFonts w:cs="Arial" w:ascii="Arial" w:hAnsi="Arial"/>
                <w:sz w:val="20"/>
              </w:rPr>
              <w:t>13</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Petrick</w:t>
            </w:r>
          </w:p>
        </w:tc>
        <w:tc>
          <w:tcPr>
            <w:tcW w:w="2161" w:type="dxa"/>
            <w:tcBorders/>
            <w:vAlign w:val="center"/>
          </w:tcPr>
          <w:p>
            <w:pPr>
              <w:pStyle w:val="Normal"/>
              <w:widowControl w:val="false"/>
              <w:rPr>
                <w:rFonts w:ascii="Arial" w:hAnsi="Arial" w:cs="Arial"/>
                <w:sz w:val="20"/>
              </w:rPr>
            </w:pPr>
            <w:r>
              <w:rPr>
                <w:rFonts w:cs="Arial" w:ascii="Arial" w:hAnsi="Arial"/>
                <w:sz w:val="20"/>
              </w:rPr>
              <w:t>Al</w:t>
            </w:r>
          </w:p>
        </w:tc>
        <w:tc>
          <w:tcPr>
            <w:tcW w:w="4499" w:type="dxa"/>
            <w:tcBorders/>
            <w:vAlign w:val="center"/>
          </w:tcPr>
          <w:p>
            <w:pPr>
              <w:pStyle w:val="Normal"/>
              <w:widowControl w:val="false"/>
              <w:rPr>
                <w:rFonts w:ascii="Arial" w:hAnsi="Arial" w:cs="Arial"/>
                <w:sz w:val="20"/>
              </w:rPr>
            </w:pPr>
            <w:r>
              <w:rPr>
                <w:rFonts w:cs="Arial" w:ascii="Arial" w:hAnsi="Arial"/>
                <w:sz w:val="20"/>
              </w:rPr>
              <w:t>Skyworks Solutions Inc.</w:t>
            </w:r>
          </w:p>
        </w:tc>
        <w:tc>
          <w:tcPr>
            <w:tcW w:w="829" w:type="dxa"/>
            <w:tcBorders/>
            <w:vAlign w:val="center"/>
          </w:tcPr>
          <w:p>
            <w:pPr>
              <w:pStyle w:val="Normal"/>
              <w:widowControl w:val="false"/>
              <w:jc w:val="center"/>
              <w:rPr/>
            </w:pPr>
            <w:r>
              <w:rPr>
                <w:rFonts w:cs="Arial" w:ascii="Arial" w:hAnsi="Arial"/>
                <w:b/>
                <w:bCs/>
                <w:sz w:val="18"/>
                <w:szCs w:val="18"/>
              </w:rPr>
              <w:t>x</w:t>
            </w:r>
          </w:p>
        </w:tc>
      </w:tr>
      <w:tr>
        <w:trPr>
          <w:trHeight w:val="51" w:hRule="atLeast"/>
        </w:trPr>
        <w:tc>
          <w:tcPr>
            <w:tcW w:w="449" w:type="dxa"/>
            <w:tcBorders/>
            <w:vAlign w:val="center"/>
          </w:tcPr>
          <w:p>
            <w:pPr>
              <w:pStyle w:val="Normal"/>
              <w:widowControl w:val="false"/>
              <w:rPr>
                <w:rFonts w:ascii="Arial" w:hAnsi="Arial" w:cs="Arial"/>
                <w:sz w:val="20"/>
              </w:rPr>
            </w:pPr>
            <w:r>
              <w:rPr>
                <w:rFonts w:cs="Arial" w:ascii="Arial" w:hAnsi="Arial"/>
                <w:sz w:val="20"/>
              </w:rPr>
              <w:t>14</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Powell</w:t>
            </w:r>
          </w:p>
        </w:tc>
        <w:tc>
          <w:tcPr>
            <w:tcW w:w="2161" w:type="dxa"/>
            <w:tcBorders/>
            <w:vAlign w:val="center"/>
          </w:tcPr>
          <w:p>
            <w:pPr>
              <w:pStyle w:val="Normal"/>
              <w:widowControl w:val="false"/>
              <w:rPr>
                <w:rFonts w:ascii="Arial" w:hAnsi="Arial" w:cs="Arial"/>
                <w:sz w:val="20"/>
              </w:rPr>
            </w:pPr>
            <w:r>
              <w:rPr>
                <w:rFonts w:cs="Arial" w:ascii="Arial" w:hAnsi="Arial"/>
                <w:sz w:val="20"/>
              </w:rPr>
              <w:t>Clint</w:t>
            </w:r>
          </w:p>
        </w:tc>
        <w:tc>
          <w:tcPr>
            <w:tcW w:w="4499" w:type="dxa"/>
            <w:tcBorders/>
            <w:vAlign w:val="center"/>
          </w:tcPr>
          <w:p>
            <w:pPr>
              <w:pStyle w:val="Normal"/>
              <w:widowControl w:val="false"/>
              <w:rPr>
                <w:rFonts w:ascii="Arial" w:hAnsi="Arial" w:cs="Arial"/>
                <w:sz w:val="20"/>
              </w:rPr>
            </w:pPr>
            <w:r>
              <w:rPr>
                <w:rFonts w:cs="Arial" w:ascii="Arial" w:hAnsi="Arial"/>
                <w:sz w:val="20"/>
              </w:rPr>
              <w:t>Meta Platforms, Inc.; Powell Wireless Commsulting, LLC</w:t>
            </w:r>
          </w:p>
        </w:tc>
        <w:tc>
          <w:tcPr>
            <w:tcW w:w="829" w:type="dxa"/>
            <w:tcBorders/>
            <w:vAlign w:val="center"/>
          </w:tcPr>
          <w:p>
            <w:pPr>
              <w:pStyle w:val="Normal"/>
              <w:widowControl w:val="false"/>
              <w:jc w:val="center"/>
              <w:rPr/>
            </w:pPr>
            <w:r>
              <w:rPr>
                <w:rFonts w:cs="Arial" w:ascii="Arial" w:hAnsi="Arial"/>
                <w:b/>
                <w:bCs/>
                <w:sz w:val="18"/>
                <w:szCs w:val="18"/>
              </w:rPr>
              <w:t>x</w:t>
            </w:r>
          </w:p>
        </w:tc>
      </w:tr>
      <w:tr>
        <w:trPr>
          <w:trHeight w:val="51" w:hRule="atLeast"/>
        </w:trPr>
        <w:tc>
          <w:tcPr>
            <w:tcW w:w="449" w:type="dxa"/>
            <w:tcBorders/>
            <w:vAlign w:val="center"/>
          </w:tcPr>
          <w:p>
            <w:pPr>
              <w:pStyle w:val="Normal"/>
              <w:widowControl w:val="false"/>
              <w:rPr>
                <w:rFonts w:ascii="Arial" w:hAnsi="Arial" w:cs="Arial"/>
                <w:sz w:val="20"/>
              </w:rPr>
            </w:pPr>
            <w:r>
              <w:rPr>
                <w:rFonts w:cs="Arial" w:ascii="Arial" w:hAnsi="Arial"/>
                <w:sz w:val="20"/>
              </w:rPr>
              <w:t>15</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Scott</w:t>
            </w:r>
          </w:p>
        </w:tc>
        <w:tc>
          <w:tcPr>
            <w:tcW w:w="2161" w:type="dxa"/>
            <w:tcBorders/>
            <w:vAlign w:val="center"/>
          </w:tcPr>
          <w:p>
            <w:pPr>
              <w:pStyle w:val="Normal"/>
              <w:widowControl w:val="false"/>
              <w:rPr>
                <w:rFonts w:ascii="Arial" w:hAnsi="Arial" w:cs="Arial"/>
                <w:sz w:val="20"/>
              </w:rPr>
            </w:pPr>
            <w:r>
              <w:rPr>
                <w:rFonts w:cs="Arial" w:ascii="Arial" w:hAnsi="Arial"/>
                <w:sz w:val="20"/>
              </w:rPr>
              <w:t>Andy</w:t>
            </w:r>
          </w:p>
        </w:tc>
        <w:tc>
          <w:tcPr>
            <w:tcW w:w="4499" w:type="dxa"/>
            <w:tcBorders/>
            <w:vAlign w:val="center"/>
          </w:tcPr>
          <w:p>
            <w:pPr>
              <w:pStyle w:val="Normal"/>
              <w:widowControl w:val="false"/>
              <w:rPr>
                <w:rFonts w:ascii="Arial" w:hAnsi="Arial" w:cs="Arial"/>
                <w:sz w:val="20"/>
              </w:rPr>
            </w:pPr>
            <w:r>
              <w:rPr>
                <w:rFonts w:cs="Arial" w:ascii="Arial" w:hAnsi="Arial"/>
                <w:sz w:val="20"/>
              </w:rPr>
              <w:t>NCTA – The Internet &amp; Television Association</w:t>
            </w:r>
          </w:p>
        </w:tc>
        <w:tc>
          <w:tcPr>
            <w:tcW w:w="829" w:type="dxa"/>
            <w:tcBorders/>
            <w:vAlign w:val="center"/>
          </w:tcPr>
          <w:p>
            <w:pPr>
              <w:pStyle w:val="Normal"/>
              <w:widowControl w:val="false"/>
              <w:jc w:val="center"/>
              <w:rPr/>
            </w:pPr>
            <w:r>
              <w:rPr>
                <w:rFonts w:cs="Arial" w:ascii="Arial" w:hAnsi="Arial"/>
                <w:b/>
                <w:bCs/>
                <w:sz w:val="18"/>
                <w:szCs w:val="18"/>
              </w:rPr>
              <w:t>x</w:t>
            </w:r>
          </w:p>
        </w:tc>
      </w:tr>
      <w:tr>
        <w:trPr>
          <w:trHeight w:val="255" w:hRule="atLeast"/>
        </w:trPr>
        <w:tc>
          <w:tcPr>
            <w:tcW w:w="449" w:type="dxa"/>
            <w:tcBorders/>
            <w:vAlign w:val="center"/>
          </w:tcPr>
          <w:p>
            <w:pPr>
              <w:pStyle w:val="Normal"/>
              <w:widowControl w:val="false"/>
              <w:rPr>
                <w:rFonts w:ascii="Arial" w:hAnsi="Arial" w:cs="Arial"/>
                <w:sz w:val="20"/>
              </w:rPr>
            </w:pPr>
            <w:r>
              <w:rPr>
                <w:rFonts w:cs="Arial" w:ascii="Arial" w:hAnsi="Arial"/>
                <w:sz w:val="20"/>
              </w:rPr>
              <w:t>16</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Stanley</w:t>
            </w:r>
          </w:p>
        </w:tc>
        <w:tc>
          <w:tcPr>
            <w:tcW w:w="2161" w:type="dxa"/>
            <w:tcBorders/>
            <w:vAlign w:val="center"/>
          </w:tcPr>
          <w:p>
            <w:pPr>
              <w:pStyle w:val="Normal"/>
              <w:widowControl w:val="false"/>
              <w:rPr>
                <w:rFonts w:ascii="Arial" w:hAnsi="Arial" w:cs="Arial"/>
                <w:sz w:val="20"/>
              </w:rPr>
            </w:pPr>
            <w:r>
              <w:rPr>
                <w:rFonts w:cs="Arial" w:ascii="Arial" w:hAnsi="Arial"/>
                <w:sz w:val="20"/>
              </w:rPr>
              <w:t>Dorothy</w:t>
            </w:r>
          </w:p>
        </w:tc>
        <w:tc>
          <w:tcPr>
            <w:tcW w:w="4499" w:type="dxa"/>
            <w:tcBorders/>
            <w:vAlign w:val="center"/>
          </w:tcPr>
          <w:p>
            <w:pPr>
              <w:pStyle w:val="Normal"/>
              <w:widowControl w:val="false"/>
              <w:rPr>
                <w:rFonts w:ascii="Arial" w:hAnsi="Arial" w:cs="Arial"/>
                <w:sz w:val="20"/>
              </w:rPr>
            </w:pPr>
            <w:r>
              <w:rPr>
                <w:rFonts w:cs="Arial" w:ascii="Arial" w:hAnsi="Arial"/>
                <w:sz w:val="20"/>
              </w:rPr>
              <w:t>Hewlett Packard Enterprise</w:t>
            </w:r>
          </w:p>
        </w:tc>
        <w:tc>
          <w:tcPr>
            <w:tcW w:w="829" w:type="dxa"/>
            <w:tcBorders/>
            <w:vAlign w:val="center"/>
          </w:tcPr>
          <w:p>
            <w:pPr>
              <w:pStyle w:val="Normal"/>
              <w:widowControl w:val="false"/>
              <w:jc w:val="center"/>
              <w:rPr/>
            </w:pPr>
            <w:r>
              <w:rPr>
                <w:rFonts w:cs="Arial" w:ascii="Arial" w:hAnsi="Arial"/>
                <w:b/>
                <w:bCs/>
                <w:sz w:val="18"/>
                <w:szCs w:val="18"/>
              </w:rPr>
              <w:t>x</w:t>
            </w:r>
          </w:p>
        </w:tc>
      </w:tr>
      <w:tr>
        <w:trPr>
          <w:trHeight w:val="255" w:hRule="atLeast"/>
        </w:trPr>
        <w:tc>
          <w:tcPr>
            <w:tcW w:w="449" w:type="dxa"/>
            <w:tcBorders/>
            <w:vAlign w:val="center"/>
          </w:tcPr>
          <w:p>
            <w:pPr>
              <w:pStyle w:val="Normal"/>
              <w:widowControl w:val="false"/>
              <w:rPr>
                <w:rFonts w:ascii="Arial" w:hAnsi="Arial" w:cs="Arial"/>
                <w:sz w:val="20"/>
              </w:rPr>
            </w:pPr>
            <w:r>
              <w:rPr>
                <w:rFonts w:cs="Arial" w:ascii="Arial" w:hAnsi="Arial"/>
                <w:sz w:val="20"/>
              </w:rPr>
              <w:t>17</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Wang</w:t>
            </w:r>
          </w:p>
        </w:tc>
        <w:tc>
          <w:tcPr>
            <w:tcW w:w="2161" w:type="dxa"/>
            <w:tcBorders/>
            <w:vAlign w:val="center"/>
          </w:tcPr>
          <w:p>
            <w:pPr>
              <w:pStyle w:val="Normal"/>
              <w:widowControl w:val="false"/>
              <w:rPr>
                <w:rFonts w:ascii="Arial" w:hAnsi="Arial" w:cs="Arial"/>
                <w:sz w:val="20"/>
              </w:rPr>
            </w:pPr>
            <w:r>
              <w:rPr>
                <w:rFonts w:cs="Arial" w:ascii="Arial" w:hAnsi="Arial"/>
                <w:sz w:val="20"/>
              </w:rPr>
              <w:t>Lei</w:t>
            </w:r>
          </w:p>
        </w:tc>
        <w:tc>
          <w:tcPr>
            <w:tcW w:w="4499" w:type="dxa"/>
            <w:tcBorders/>
            <w:vAlign w:val="center"/>
          </w:tcPr>
          <w:p>
            <w:pPr>
              <w:pStyle w:val="Normal"/>
              <w:widowControl w:val="false"/>
              <w:rPr>
                <w:rFonts w:ascii="Arial" w:hAnsi="Arial" w:cs="Arial"/>
                <w:sz w:val="20"/>
              </w:rPr>
            </w:pPr>
            <w:r>
              <w:rPr>
                <w:rFonts w:cs="Arial" w:ascii="Arial" w:hAnsi="Arial"/>
                <w:sz w:val="20"/>
              </w:rPr>
              <w:t>FutureWei Technologies, Inc.</w:t>
            </w:r>
          </w:p>
        </w:tc>
        <w:tc>
          <w:tcPr>
            <w:tcW w:w="829" w:type="dxa"/>
            <w:tcBorders/>
            <w:vAlign w:val="center"/>
          </w:tcPr>
          <w:p>
            <w:pPr>
              <w:pStyle w:val="Normal"/>
              <w:widowControl w:val="false"/>
              <w:jc w:val="center"/>
              <w:rPr/>
            </w:pPr>
            <w:r>
              <w:rPr>
                <w:rFonts w:cs="Arial" w:ascii="Arial" w:hAnsi="Arial"/>
                <w:b/>
                <w:bCs/>
                <w:sz w:val="18"/>
                <w:szCs w:val="18"/>
              </w:rPr>
              <w:t>x</w:t>
            </w:r>
          </w:p>
        </w:tc>
      </w:tr>
      <w:tr>
        <w:trPr>
          <w:trHeight w:val="255" w:hRule="atLeast"/>
        </w:trPr>
        <w:tc>
          <w:tcPr>
            <w:tcW w:w="449" w:type="dxa"/>
            <w:tcBorders/>
            <w:vAlign w:val="center"/>
          </w:tcPr>
          <w:p>
            <w:pPr>
              <w:pStyle w:val="Normal"/>
              <w:widowControl w:val="false"/>
              <w:rPr>
                <w:rFonts w:ascii="Arial" w:hAnsi="Arial" w:cs="Arial"/>
                <w:sz w:val="20"/>
              </w:rPr>
            </w:pPr>
            <w:r>
              <w:rPr>
                <w:rFonts w:cs="Arial" w:ascii="Arial" w:hAnsi="Arial"/>
                <w:sz w:val="20"/>
              </w:rPr>
              <w:t>18</w:t>
            </w:r>
          </w:p>
        </w:tc>
        <w:tc>
          <w:tcPr>
            <w:tcW w:w="1530" w:type="dxa"/>
            <w:tcBorders/>
            <w:vAlign w:val="center"/>
          </w:tcPr>
          <w:p>
            <w:pPr>
              <w:pStyle w:val="Normal"/>
              <w:widowControl w:val="false"/>
              <w:rPr>
                <w:rFonts w:ascii="Arial" w:hAnsi="Arial" w:cs="Arial"/>
                <w:b/>
                <w:b/>
                <w:bCs/>
                <w:sz w:val="20"/>
              </w:rPr>
            </w:pPr>
            <w:r>
              <w:rPr>
                <w:rFonts w:cs="Arial" w:ascii="Arial" w:hAnsi="Arial"/>
                <w:b/>
                <w:bCs/>
                <w:sz w:val="20"/>
              </w:rPr>
              <w:t>Yaghoobi</w:t>
            </w:r>
          </w:p>
        </w:tc>
        <w:tc>
          <w:tcPr>
            <w:tcW w:w="2161" w:type="dxa"/>
            <w:tcBorders/>
            <w:vAlign w:val="center"/>
          </w:tcPr>
          <w:p>
            <w:pPr>
              <w:pStyle w:val="Normal"/>
              <w:widowControl w:val="false"/>
              <w:rPr>
                <w:rFonts w:ascii="Arial" w:hAnsi="Arial" w:cs="Arial"/>
                <w:sz w:val="20"/>
              </w:rPr>
            </w:pPr>
            <w:r>
              <w:rPr>
                <w:rFonts w:cs="Arial" w:ascii="Arial" w:hAnsi="Arial"/>
                <w:sz w:val="20"/>
              </w:rPr>
              <w:t>Hassan</w:t>
            </w:r>
          </w:p>
        </w:tc>
        <w:tc>
          <w:tcPr>
            <w:tcW w:w="4499" w:type="dxa"/>
            <w:tcBorders/>
            <w:vAlign w:val="center"/>
          </w:tcPr>
          <w:p>
            <w:pPr>
              <w:pStyle w:val="Normal"/>
              <w:widowControl w:val="false"/>
              <w:rPr>
                <w:rFonts w:ascii="Arial" w:hAnsi="Arial" w:cs="Arial"/>
                <w:sz w:val="20"/>
              </w:rPr>
            </w:pPr>
            <w:r>
              <w:rPr>
                <w:rFonts w:cs="Arial" w:ascii="Arial" w:hAnsi="Arial"/>
                <w:sz w:val="20"/>
              </w:rPr>
              <w:t>Intel Corporation</w:t>
            </w:r>
          </w:p>
        </w:tc>
        <w:tc>
          <w:tcPr>
            <w:tcW w:w="829" w:type="dxa"/>
            <w:tcBorders/>
            <w:vAlign w:val="center"/>
          </w:tcPr>
          <w:p>
            <w:pPr>
              <w:pStyle w:val="Normal"/>
              <w:widowControl w:val="false"/>
              <w:jc w:val="center"/>
              <w:rPr/>
            </w:pPr>
            <w:r>
              <w:rPr>
                <w:rFonts w:cs="Arial" w:ascii="Arial" w:hAnsi="Arial"/>
                <w:b/>
                <w:bCs/>
                <w:sz w:val="18"/>
                <w:szCs w:val="18"/>
              </w:rPr>
              <w:t>x</w:t>
            </w:r>
          </w:p>
        </w:tc>
      </w:tr>
    </w:tbl>
    <w:p>
      <w:pPr>
        <w:pStyle w:val="ListParagraph"/>
        <w:ind w:left="0" w:hanging="0"/>
        <w:rPr>
          <w:rFonts w:ascii="Arial" w:hAnsi="Arial" w:eastAsia="Times New Roman" w:cs="Arial"/>
          <w:b/>
          <w:b/>
          <w:bCs/>
          <w:sz w:val="20"/>
          <w:szCs w:val="24"/>
        </w:rPr>
      </w:pPr>
      <w:r>
        <w:rPr/>
      </w:r>
    </w:p>
    <w:sectPr>
      <w:headerReference w:type="default" r:id="rId16"/>
      <w:footerReference w:type="default" r:id="rId17"/>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Cambria Math">
    <w:charset w:val="01"/>
    <w:family w:val="roman"/>
    <w:pitch w:val="variable"/>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5</w:t>
    </w:r>
    <w:r>
      <w:rPr/>
      <w:fldChar w:fldCharType="end"/>
    </w:r>
    <w:r>
      <w:rPr/>
      <w:t xml:space="preserve"> of </w:t>
    </w:r>
    <w:r>
      <w:rPr/>
      <w:fldChar w:fldCharType="begin"/>
    </w:r>
    <w:r>
      <w:rPr/>
      <w:instrText xml:space="preserve"> NUMPAGES </w:instrText>
    </w:r>
    <w:r>
      <w:rPr/>
      <w:fldChar w:fldCharType="separate"/>
    </w:r>
    <w:r>
      <w:rPr/>
      <w:t>5</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November 2022</w:t>
      <w:tab/>
      <w:tab/>
      <w:t>doc.: IEEE 802.18-22-</w:t>
    </w:r>
    <w:r>
      <w:rPr>
        <w:shd w:fill="auto" w:val="clear"/>
      </w:rPr>
      <w:t>0</w:t>
    </w:r>
    <w:r>
      <w:rPr>
        <w:shd w:fill="auto" w:val="clear"/>
      </w:rPr>
      <w:t>143</w:t>
    </w:r>
    <w:r>
      <w:rPr>
        <w:shd w:fill="auto" w:val="clea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trackRevisions/>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unhideWhenUsed/>
    <w:qFormat/>
    <w:rsid w:val="005f0a03"/>
    <w:rPr>
      <w:color w:val="0563C1" w:themeColor="hyperlink"/>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ing" w:customStyle="1">
    <w:name w:val="Line Numbering"/>
    <w:rPr/>
  </w:style>
  <w:style w:type="character" w:styleId="UnresolvedMention" w:customStyle="1">
    <w:name w:val="Unresolved Mention"/>
    <w:basedOn w:val="DefaultParagraphFont"/>
    <w:uiPriority w:val="99"/>
    <w:semiHidden/>
    <w:unhideWhenUsed/>
    <w:qFormat/>
    <w:rsid w:val="004e6fe7"/>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pPr>
      <w:ind w:left="720" w:hanging="0"/>
    </w:pPr>
    <w:rPr/>
  </w:style>
  <w:style w:type="paragraph" w:styleId="Default" w:customStyle="1">
    <w:name w:val="Default"/>
    <w:qFormat/>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PreformattedText" w:customStyle="1">
    <w:name w:val="Preformatte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139-01-0000-rr-tag-agenda-3-November-2022.pptx" TargetMode="External"/><Relationship Id="rId4" Type="http://schemas.openxmlformats.org/officeDocument/2006/relationships/hyperlink" Target="https://www.ieee802.org/18/RRTAG_Voter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standards.ieee.org/about/policies/opman/" TargetMode="External"/><Relationship Id="rId8" Type="http://schemas.openxmlformats.org/officeDocument/2006/relationships/hyperlink" Target="https://mentor.ieee.org/802.18/dcn/22/18-22-0140-00-0000-weekly-teleconference-minutes-27-october-2022.docx" TargetMode="External"/><Relationship Id="rId9" Type="http://schemas.openxmlformats.org/officeDocument/2006/relationships/hyperlink" Target="https://mentor.ieee.org/802.18/dcn/22/18-22-0035-43-0000-status-of-ongoing-consultations-and-tag-documents-for-approval.docx" TargetMode="External"/><Relationship Id="rId10" Type="http://schemas.openxmlformats.org/officeDocument/2006/relationships/hyperlink" Target="https://mentor.ieee.org/802.18/dcn/22/18-22-0119-02-0000-proposed-response-to-india-trai-consultation-on-ai-and-bd.pdf" TargetMode="External"/><Relationship Id="rId11" Type="http://schemas.openxmlformats.org/officeDocument/2006/relationships/hyperlink" Target="https://mentor.ieee.org/802.18/dcn/22/18-22-0119-01-0000-proposed-response-to-india-trai-consultation-on-ai-and-bd.pdf" TargetMode="External"/><Relationship Id="rId12" Type="http://schemas.openxmlformats.org/officeDocument/2006/relationships/hyperlink" Target="https://mentor.ieee.org/802.18/dcn/22/18-22-0119-03-0000-proposed-response-to-india-trai-consultation-on-ai-and-bd.docx" TargetMode="External"/><Relationship Id="rId13" Type="http://schemas.openxmlformats.org/officeDocument/2006/relationships/hyperlink" Target="https://dot.gov.in/sites/default/files/NFAP 2022 Document for e-release.pdf?download=1" TargetMode="External"/><Relationship Id="rId14" Type="http://schemas.openxmlformats.org/officeDocument/2006/relationships/hyperlink" Target="https://ieee802.org/16/cal-temp.html" TargetMode="External"/><Relationship Id="rId15" Type="http://schemas.openxmlformats.org/officeDocument/2006/relationships/hyperlink" Target="https://calendar.google.com/calendar/embed?src=c2gedttabtbj4bps23j4847004@group.calendar.google.com&amp;ctz=America%2FNew_York"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9EF6B-B6AB-4A13-9092-A30F19F8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Application>LibreOffice/7.3.7.2$Linux_X86_64 LibreOffice_project/30$Build-2</Application>
  <AppVersion>15.0000</AppVersion>
  <Pages>5</Pages>
  <Words>1198</Words>
  <Characters>6531</Characters>
  <CharactersWithSpaces>7600</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2022-11-10T19:11:00Z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2022-11-14T12:31:01Z</dcterms:modified>
  <cp:revision>19</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