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27 October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1</w:t>
            </w:r>
            <w:r>
              <w:rPr>
                <w:b w:val="false"/>
                <w:sz w:val="20"/>
              </w:rPr>
              <w:t xml:space="preserve"> </w:t>
            </w:r>
            <w:r>
              <w:rPr>
                <w:b w:val="false"/>
                <w:sz w:val="20"/>
              </w:rPr>
              <w:t>November</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405C0B92">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27 October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405C0B92">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Radio Regulatory Technical Advisory Group (RR-TAG) for the weekly teleconference call on 27 October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Thursday 27 October 2022, 15:00 ET.</w:t>
        <w:br/>
      </w:r>
    </w:p>
    <w:p>
      <w:pPr>
        <w:pStyle w:val="Normal"/>
        <w:numPr>
          <w:ilvl w:val="0"/>
          <w:numId w:val="1"/>
        </w:numPr>
        <w:spacing w:before="0" w:after="0"/>
        <w:contextualSpacing/>
        <w:rPr/>
      </w:pPr>
      <w:r>
        <w:rPr>
          <w:sz w:val="24"/>
          <w:szCs w:val="24"/>
        </w:rPr>
        <w:t>Chair calls the meeting to order at 15:00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color w:val="0563C1" w:themeColor="hyperlink"/>
            <w:sz w:val="24"/>
            <w:szCs w:val="24"/>
          </w:rPr>
          <w:t>18-22/0135r1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47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3</w:t>
      </w:r>
    </w:p>
    <w:p>
      <w:pPr>
        <w:pStyle w:val="Normal"/>
        <w:numPr>
          <w:ilvl w:val="2"/>
          <w:numId w:val="1"/>
        </w:numPr>
        <w:spacing w:before="0" w:after="0"/>
        <w:contextualSpacing/>
        <w:rPr>
          <w:sz w:val="24"/>
          <w:szCs w:val="24"/>
        </w:rPr>
      </w:pPr>
      <w:r>
        <w:rPr>
          <w:sz w:val="24"/>
          <w:szCs w:val="24"/>
        </w:rPr>
        <w:t xml:space="preserve">  </w:t>
      </w:r>
      <w:r>
        <w:rPr>
          <w:sz w:val="24"/>
          <w:szCs w:val="24"/>
        </w:rPr>
        <w:t>Aspirant members:  7</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 xml:space="preserve">Chair presents the agenda (slide #9).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Amelia Andersdotter</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Chair presented draft meeting minutes from 20 October 2022 RR-TAG weekly teleconference. No one had questions or comments.</w:t>
        <w:br/>
      </w:r>
      <w:r>
        <w:rPr>
          <w:b/>
          <w:bCs/>
          <w:sz w:val="24"/>
          <w:szCs w:val="24"/>
        </w:rPr>
        <w:br/>
        <w:t>Motion #2 (internal):</w:t>
      </w:r>
      <w:r>
        <w:rPr>
          <w:sz w:val="24"/>
          <w:szCs w:val="24"/>
        </w:rPr>
        <w:t xml:space="preserve"> To approve the weekly meeting minutes of the 20 October 2022 RR-TAG call as shown in the document </w:t>
      </w:r>
      <w:hyperlink r:id="rId8">
        <w:r>
          <w:rPr>
            <w:rStyle w:val="InternetLink"/>
            <w:color w:val="0563C1" w:themeColor="hyperlink"/>
            <w:sz w:val="24"/>
            <w:szCs w:val="24"/>
          </w:rPr>
          <w:t>18-22/0136r0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Amelia Andersdotter</w:t>
      </w:r>
    </w:p>
    <w:p>
      <w:pPr>
        <w:pStyle w:val="Normal"/>
        <w:spacing w:before="0" w:after="0"/>
        <w:ind w:left="1440" w:hanging="0"/>
        <w:contextualSpacing/>
        <w:rPr/>
      </w:pPr>
      <w:r>
        <w:rPr>
          <w:sz w:val="24"/>
          <w:szCs w:val="24"/>
        </w:rPr>
        <w:t>Seconded by:  Al Petrick</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p>
    <w:p>
      <w:pPr>
        <w:pStyle w:val="ListParagraph"/>
        <w:spacing w:before="0" w:after="0"/>
        <w:ind w:left="360" w:hanging="0"/>
        <w:contextualSpacing/>
        <w:rPr>
          <w:sz w:val="24"/>
          <w:szCs w:val="24"/>
        </w:rPr>
      </w:pPr>
      <w:r>
        <w:rPr>
          <w:sz w:val="24"/>
          <w:szCs w:val="24"/>
        </w:rP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18-22-0035r42</w:t>
        </w:r>
      </w:hyperlink>
      <w:r>
        <w:rPr>
          <w:sz w:val="24"/>
          <w:szCs w:val="24"/>
        </w:rPr>
        <w:t>), Edward Au (Chair)</w:t>
        <w:br/>
        <w:br/>
        <w:t xml:space="preserve">Discussion on India TRAI consultation on Artificial Intelligence and Big Data. </w:t>
      </w:r>
      <w:r>
        <w:rPr>
          <w:sz w:val="24"/>
          <w:szCs w:val="24"/>
          <w:shd w:fill="FFFF00" w:val="clear"/>
        </w:rPr>
        <w:t>Further work to be undertaken offline between interested parties.</w:t>
      </w:r>
      <w:r>
        <w:rPr>
          <w:sz w:val="24"/>
          <w:szCs w:val="24"/>
        </w:rPr>
        <w:br/>
        <w:br/>
        <w:t>Discussion on NKOM consultation.</w:t>
      </w:r>
      <w:r>
        <w:rPr>
          <w:sz w:val="24"/>
          <w:szCs w:val="24"/>
          <w:shd w:fill="FFFF00" w:val="clear"/>
        </w:rPr>
        <w:t xml:space="preserve"> Further work to be undertaken on reflector.</w:t>
      </w:r>
      <w:r>
        <w:rPr>
          <w:sz w:val="24"/>
          <w:szCs w:val="24"/>
        </w:rPr>
        <w:br/>
        <w:br/>
        <w:t xml:space="preserve">Australia ACMA consultation discussion. Seems like it is going in the same direction as the EU, except client-to-client communication. </w:t>
      </w:r>
      <w:r>
        <w:rPr>
          <w:sz w:val="24"/>
          <w:szCs w:val="24"/>
          <w:shd w:fill="FFFF00" w:val="clear"/>
        </w:rPr>
        <w:t>One volunteer to draft a response.</w:t>
      </w:r>
      <w:r>
        <w:rPr>
          <w:sz w:val="24"/>
          <w:szCs w:val="24"/>
        </w:rPr>
        <w:br/>
      </w:r>
    </w:p>
    <w:p>
      <w:pPr>
        <w:pStyle w:val="ListParagraph"/>
        <w:numPr>
          <w:ilvl w:val="0"/>
          <w:numId w:val="1"/>
        </w:numPr>
        <w:spacing w:before="0" w:after="0"/>
        <w:contextualSpacing/>
        <w:rPr/>
      </w:pPr>
      <w:r>
        <w:rPr>
          <w:b/>
          <w:sz w:val="24"/>
          <w:szCs w:val="24"/>
        </w:rPr>
        <w:t>General items</w:t>
        <w:br/>
      </w:r>
    </w:p>
    <w:p>
      <w:pPr>
        <w:pStyle w:val="ListParagraph"/>
        <w:numPr>
          <w:ilvl w:val="1"/>
          <w:numId w:val="1"/>
        </w:numPr>
        <w:spacing w:before="0" w:after="0"/>
        <w:contextualSpacing/>
        <w:rPr/>
      </w:pPr>
      <w:r>
        <w:rPr>
          <w:b/>
          <w:sz w:val="24"/>
          <w:szCs w:val="24"/>
        </w:rPr>
        <w:t>Europe</w:t>
        <w:br/>
        <w:br/>
      </w:r>
      <w:r>
        <w:rPr>
          <w:sz w:val="24"/>
          <w:szCs w:val="24"/>
        </w:rPr>
        <w:t>ETSI BRAN held a meeting last week. Work progressed on TR 103 721 (WAS/RLAN mitigation techniques for 5.8 GHz), EN 301 893 (5 GHz).</w:t>
        <w:br/>
        <w:br/>
        <w:t xml:space="preserve">In September, ETSI TC BRAN handed EN 303 687 (6 GHz WAS/RLAN) and EN 303753 (WDTS for Mobile and Fixed Equipment in the 57 - 71 GHz band) for assessment by the consultants of the European Commission (EC). During its meeting ETSI TC BRAN learned that the assessment program has been restarted. Assessments are expected to be concluded within 35 days to 50 days [see minutes contained in doc. 18-22-0108r0 for more thorough description of background, </w:t>
      </w:r>
      <w:r>
        <w:rPr>
          <w:i/>
          <w:iCs/>
          <w:sz w:val="24"/>
          <w:szCs w:val="24"/>
        </w:rPr>
        <w:t>rec.sec. note</w:t>
      </w:r>
      <w:r>
        <w:rPr>
          <w:sz w:val="24"/>
          <w:szCs w:val="24"/>
        </w:rPr>
        <w:t>].</w:t>
        <w:br/>
        <w:br/>
        <w:t>The 5 GHz HS (EN 301 893) is advancing. However, a number of stakeholders have raised issues with the existing agreement on having a detection threshold of -62 dBm/20 MHz for technologies limited to devices up to and including IEEE 802.11ax (Wi-Fi 6). For newer IEEE 802.11 technologies and other (non-Wi-Fi) technologies, the detection threshold is (on average) 10 dB lower. It is feared that this lower detection threshold will cause harms to future IEEE 802.11 technologies starting with IEEE 802.11be (Wi-Fi 7) and also other, non-Wi-Fi technologies. These conclusions are disputed.</w:t>
        <w:br/>
        <w:br/>
        <w:t>It has been agreed that this issue will be studied further in a report in November 2022</w:t>
      </w:r>
      <w:bookmarkStart w:id="0" w:name="_GoBack"/>
      <w:bookmarkEnd w:id="0"/>
      <w:r>
        <w:rPr>
          <w:sz w:val="24"/>
          <w:szCs w:val="24"/>
        </w:rPr>
        <w:t>. Based on the report this topic can be advanced through a vote or through more consensus-building meetings. A vote is an exceptional case in the ETSI procedures which needs to be well justified.</w:t>
        <w:br/>
      </w:r>
    </w:p>
    <w:p>
      <w:pPr>
        <w:pStyle w:val="ListParagraph"/>
        <w:numPr>
          <w:ilvl w:val="1"/>
          <w:numId w:val="1"/>
        </w:numPr>
        <w:spacing w:before="0" w:after="0"/>
        <w:contextualSpacing/>
        <w:rPr/>
      </w:pPr>
      <w:r>
        <w:rPr>
          <w:b/>
          <w:bCs/>
          <w:sz w:val="24"/>
          <w:szCs w:val="24"/>
        </w:rPr>
        <w:t>Americas</w:t>
      </w:r>
      <w:r>
        <w:rPr>
          <w:sz w:val="24"/>
          <w:szCs w:val="24"/>
        </w:rPr>
        <w:br/>
        <w:br/>
        <w:t>No updates w.r.t. past week.</w:t>
        <w:br/>
      </w:r>
    </w:p>
    <w:p>
      <w:pPr>
        <w:pStyle w:val="ListParagraph"/>
        <w:numPr>
          <w:ilvl w:val="1"/>
          <w:numId w:val="1"/>
        </w:numPr>
        <w:spacing w:before="0" w:after="0"/>
        <w:contextualSpacing/>
        <w:rPr/>
      </w:pPr>
      <w:r>
        <w:rPr>
          <w:b/>
          <w:bCs/>
          <w:sz w:val="24"/>
          <w:szCs w:val="24"/>
        </w:rPr>
        <w:t>Asia-Pacific</w:t>
      </w:r>
      <w:r>
        <w:rPr>
          <w:sz w:val="24"/>
          <w:szCs w:val="24"/>
        </w:rPr>
        <w:br/>
        <w:br/>
        <w:t>Reminder of most recent version of National Frequency Allocation Plan (NEAP) from the Indian Government.</w:t>
        <w:br/>
      </w:r>
    </w:p>
    <w:p>
      <w:pPr>
        <w:pStyle w:val="ListParagraph"/>
        <w:numPr>
          <w:ilvl w:val="1"/>
          <w:numId w:val="1"/>
        </w:numPr>
        <w:spacing w:before="0" w:after="0"/>
        <w:contextualSpacing/>
        <w:rPr/>
      </w:pPr>
      <w:r>
        <w:rPr>
          <w:b/>
          <w:bCs/>
          <w:sz w:val="24"/>
          <w:szCs w:val="24"/>
        </w:rPr>
        <w:t>Other countries or regions?</w:t>
      </w:r>
      <w:r>
        <w:rPr>
          <w:sz w:val="24"/>
          <w:szCs w:val="24"/>
        </w:rPr>
        <w:br/>
        <w:br/>
        <w:t>No updates.</w:t>
      </w:r>
      <w:r>
        <w:rPr>
          <w:b/>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The ISUS calls 31 October is canceled.</w:t>
        <w:br/>
        <w:br/>
        <w:t>The mmWave call on 2 November is canceled.</w:t>
        <w:br/>
        <w:br/>
        <w:t>Reminder of IEEE 802 Plenary meeting in Bangkok and associated administration (hotel booking, registration fees).</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br/>
        <w:t xml:space="preserve">Nobody has reported interest in being mmWave ad-hoc group chair after 26 October. </w:t>
      </w:r>
      <w:r>
        <w:rPr>
          <w:sz w:val="24"/>
          <w:szCs w:val="24"/>
          <w:shd w:fill="FFFF00" w:val="clear"/>
        </w:rPr>
        <w:t xml:space="preserve">Nomination period is extended until 17 November 2022. </w:t>
      </w:r>
      <w:r>
        <w:rPr>
          <w:sz w:val="24"/>
          <w:szCs w:val="24"/>
        </w:rPr>
        <w:br/>
        <w:br/>
        <w:t xml:space="preserve">The Frequency Table Ad-Hoc call was canceled earlier this week. The Wireless Chairs Standing Committee (WCSC) meeting minutes clarify that the WCSC does not consider there to be a need of individual approval by each Working Group (WG). WGs can link to a posted document on their respective websites. The spreadsheet maintenance meeting cadence is still under discussion by the Ad-Hoc leaders. </w:t>
      </w:r>
      <w:r>
        <w:rPr>
          <w:sz w:val="24"/>
          <w:szCs w:val="24"/>
          <w:shd w:fill="FFFF00" w:val="clear"/>
        </w:rPr>
        <w:t>More information will be shared as this discussion proceeds.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17 attendees, 16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3 November 2022, 15:00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https://mentor.ieee.org/802.18/dcn/16/18-16-0038-27-0000-teleconference-call-in-info.pptx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Plenary meeting is 13-18 November in Bangkok, Thailand.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0">
        <w:r>
          <w:rPr>
            <w:rStyle w:val="Internetlnk"/>
            <w:sz w:val="24"/>
            <w:szCs w:val="24"/>
          </w:rPr>
          <w:t>https://ieee802.org/16/cal-temp.html</w:t>
        </w:r>
      </w:hyperlink>
      <w:r>
        <w:rPr>
          <w:sz w:val="24"/>
          <w:szCs w:val="24"/>
        </w:rPr>
        <w:t xml:space="preserve"> or only 802.18:  </w:t>
      </w:r>
      <w:hyperlink r:id="rId11">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15:59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tbl>
      <w:tblPr>
        <w:tblW w:w="5000" w:type="pct"/>
        <w:jc w:val="left"/>
        <w:tblInd w:w="0" w:type="dxa"/>
        <w:tblLayout w:type="fixed"/>
        <w:tblCellMar>
          <w:top w:w="0" w:type="dxa"/>
          <w:left w:w="0" w:type="dxa"/>
          <w:bottom w:w="0" w:type="dxa"/>
          <w:right w:w="0" w:type="dxa"/>
        </w:tblCellMar>
      </w:tblPr>
      <w:tblGrid>
        <w:gridCol w:w="233"/>
        <w:gridCol w:w="1567"/>
        <w:gridCol w:w="2250"/>
        <w:gridCol w:w="5400"/>
        <w:gridCol w:w="630"/>
      </w:tblGrid>
      <w:tr>
        <w:trPr/>
        <w:tc>
          <w:tcPr>
            <w:tcW w:w="9450"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630" w:type="dxa"/>
            <w:tcBorders/>
            <w:vAlign w:val="center"/>
          </w:tcPr>
          <w:p>
            <w:pPr>
              <w:pStyle w:val="TableContents"/>
              <w:spacing w:before="0" w:after="0"/>
              <w:jc w:val="center"/>
              <w:rPr>
                <w:rFonts w:ascii="Arial;sans-serif" w:hAnsi="Arial;sans-serif"/>
                <w:b/>
                <w:sz w:val="20"/>
              </w:rPr>
            </w:pPr>
            <w:r>
              <w:rPr>
                <w:rFonts w:ascii="Arial;sans-serif" w:hAnsi="Arial;sans-serif"/>
                <w:b/>
                <w:sz w:val="20"/>
              </w:rPr>
              <w:t>27-Oct</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Holcomb</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Jay</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Jeffries</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Timothy</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Kain</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Carl</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USDOT, Noblis, Inc.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5400"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Pirhonen</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Riku</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NXP Semiconductors</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Powell</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Clint</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Meta Platforms, Inc.; Powell Wireless Commsulting, LLC</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Rolfe</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Benjamin</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Blind Creek Associates</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Ward</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Lisa</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Rohde &amp; Schwarz</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33" w:type="dxa"/>
            <w:tcBorders/>
            <w:vAlign w:val="center"/>
          </w:tcPr>
          <w:p>
            <w:pPr>
              <w:pStyle w:val="TableContents"/>
              <w:rPr>
                <w:sz w:val="4"/>
                <w:szCs w:val="4"/>
              </w:rPr>
            </w:pPr>
            <w:r>
              <w:rPr>
                <w:sz w:val="4"/>
                <w:szCs w:val="4"/>
              </w:rPr>
            </w:r>
          </w:p>
        </w:tc>
        <w:tc>
          <w:tcPr>
            <w:tcW w:w="1567" w:type="dxa"/>
            <w:tcBorders/>
            <w:vAlign w:val="center"/>
          </w:tcPr>
          <w:p>
            <w:pPr>
              <w:pStyle w:val="TableContents"/>
              <w:rPr>
                <w:sz w:val="4"/>
                <w:szCs w:val="4"/>
              </w:rPr>
            </w:pPr>
            <w:r>
              <w:rPr>
                <w:sz w:val="4"/>
                <w:szCs w:val="4"/>
              </w:rPr>
            </w:r>
          </w:p>
        </w:tc>
        <w:tc>
          <w:tcPr>
            <w:tcW w:w="2250" w:type="dxa"/>
            <w:tcBorders/>
            <w:vAlign w:val="center"/>
          </w:tcPr>
          <w:p>
            <w:pPr>
              <w:pStyle w:val="TableContents"/>
              <w:rPr>
                <w:sz w:val="4"/>
                <w:szCs w:val="4"/>
              </w:rPr>
            </w:pPr>
            <w:r>
              <w:rPr>
                <w:sz w:val="4"/>
                <w:szCs w:val="4"/>
              </w:rPr>
            </w:r>
          </w:p>
        </w:tc>
        <w:tc>
          <w:tcPr>
            <w:tcW w:w="5400" w:type="dxa"/>
            <w:tcBorders/>
            <w:vAlign w:val="center"/>
          </w:tcPr>
          <w:p>
            <w:pPr>
              <w:pStyle w:val="TableContents"/>
              <w:rPr>
                <w:sz w:val="4"/>
                <w:szCs w:val="4"/>
              </w:rPr>
            </w:pPr>
            <w:r>
              <w:rPr>
                <w:sz w:val="4"/>
                <w:szCs w:val="4"/>
              </w:rPr>
            </w:r>
          </w:p>
        </w:tc>
        <w:tc>
          <w:tcPr>
            <w:tcW w:w="630" w:type="dxa"/>
            <w:tcBorders/>
            <w:vAlign w:val="center"/>
          </w:tcPr>
          <w:p>
            <w:pPr>
              <w:pStyle w:val="TableContents"/>
              <w:rPr>
                <w:sz w:val="4"/>
                <w:szCs w:val="4"/>
              </w:rPr>
            </w:pPr>
            <w:r>
              <w:rPr>
                <w:sz w:val="4"/>
                <w:szCs w:val="4"/>
              </w:rPr>
            </w:r>
          </w:p>
        </w:tc>
      </w:tr>
      <w:tr>
        <w:trPr/>
        <w:tc>
          <w:tcPr>
            <w:tcW w:w="9450"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630" w:type="dxa"/>
            <w:tcBorders/>
            <w:vAlign w:val="center"/>
          </w:tcPr>
          <w:p>
            <w:pPr>
              <w:pStyle w:val="TableContents"/>
              <w:spacing w:before="0" w:after="0"/>
              <w:jc w:val="center"/>
              <w:rPr>
                <w:rFonts w:ascii="Arial;sans-serif" w:hAnsi="Arial;sans-serif"/>
                <w:b/>
                <w:sz w:val="20"/>
              </w:rPr>
            </w:pPr>
            <w:r>
              <w:rPr>
                <w:rFonts w:ascii="Arial;sans-serif" w:hAnsi="Arial;sans-serif"/>
                <w:b/>
                <w:sz w:val="20"/>
              </w:rPr>
              <w:t>27-Oct</w:t>
            </w:r>
          </w:p>
        </w:tc>
      </w:tr>
      <w:tr>
        <w:trPr/>
        <w:tc>
          <w:tcPr>
            <w:tcW w:w="233"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567" w:type="dxa"/>
            <w:tcBorders/>
            <w:vAlign w:val="center"/>
          </w:tcPr>
          <w:p>
            <w:pPr>
              <w:pStyle w:val="TableContents"/>
              <w:spacing w:before="0" w:after="0"/>
              <w:rPr>
                <w:rFonts w:ascii="Arial;sans-serif" w:hAnsi="Arial;sans-serif"/>
                <w:b/>
                <w:sz w:val="20"/>
              </w:rPr>
            </w:pPr>
            <w:r>
              <w:rPr>
                <w:rFonts w:ascii="Arial;sans-serif" w:hAnsi="Arial;sans-serif"/>
                <w:b/>
                <w:sz w:val="20"/>
              </w:rPr>
              <w:t>Lubar</w:t>
            </w:r>
          </w:p>
        </w:tc>
        <w:tc>
          <w:tcPr>
            <w:tcW w:w="2250" w:type="dxa"/>
            <w:tcBorders/>
            <w:vAlign w:val="center"/>
          </w:tcPr>
          <w:p>
            <w:pPr>
              <w:pStyle w:val="TableContents"/>
              <w:spacing w:before="0" w:after="0"/>
              <w:rPr>
                <w:rFonts w:ascii="Arial;sans-serif" w:hAnsi="Arial;sans-serif"/>
                <w:sz w:val="20"/>
              </w:rPr>
            </w:pPr>
            <w:r>
              <w:rPr>
                <w:rFonts w:ascii="Arial;sans-serif" w:hAnsi="Arial;sans-serif"/>
                <w:sz w:val="20"/>
              </w:rPr>
              <w:t>Dan</w:t>
            </w:r>
          </w:p>
        </w:tc>
        <w:tc>
          <w:tcPr>
            <w:tcW w:w="5400" w:type="dxa"/>
            <w:tcBorders/>
            <w:vAlign w:val="center"/>
          </w:tcPr>
          <w:p>
            <w:pPr>
              <w:pStyle w:val="TableContents"/>
              <w:spacing w:before="0" w:after="0"/>
              <w:rPr>
                <w:rFonts w:ascii="Arial;sans-serif" w:hAnsi="Arial;sans-serif"/>
                <w:sz w:val="20"/>
              </w:rPr>
            </w:pPr>
            <w:r>
              <w:rPr>
                <w:rFonts w:ascii="Arial;sans-serif" w:hAnsi="Arial;sans-serif"/>
                <w:sz w:val="20"/>
              </w:rPr>
              <w:t>RelayServices</w:t>
            </w:r>
          </w:p>
        </w:tc>
        <w:tc>
          <w:tcPr>
            <w:tcW w:w="63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widowControl/>
        <w:suppressAutoHyphens w:val="true"/>
        <w:bidi w:val="0"/>
        <w:spacing w:before="0" w:after="0"/>
        <w:ind w:left="0" w:hanging="0"/>
        <w:jc w:val="left"/>
        <w:rPr>
          <w:rFonts w:ascii="Arial" w:hAnsi="Arial" w:eastAsia="Times New Roman" w:cs="Arial"/>
          <w:b/>
          <w:b/>
          <w:bCs/>
          <w:sz w:val="20"/>
          <w:szCs w:val="24"/>
        </w:rPr>
      </w:pPr>
      <w:r>
        <w:rPr/>
      </w:r>
    </w:p>
    <w:sectPr>
      <w:headerReference w:type="default" r:id="rId12"/>
      <w:footerReference w:type="default" r:id="rId1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November</w:t>
    </w:r>
    <w:r>
      <w:rPr/>
      <w:t xml:space="preserve"> 2022</w:t>
      <w:tab/>
      <w:tab/>
      <w:t>doc.: IEEE 802.18-22-01</w:t>
    </w:r>
    <w:r>
      <w:rPr/>
      <w:t>40</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35-01-0000-rr-tag-agenda-27-octo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36-00-0000-weekly-teleconference-minutes-20-october-2022.docx" TargetMode="External"/><Relationship Id="rId9" Type="http://schemas.openxmlformats.org/officeDocument/2006/relationships/hyperlink" Target="https://mentor.ieee.org/802.18/dcn/22/18-22-0035-42-0000-status-of-ongoing-consultations-and-tag-documents-for-approval.docx" TargetMode="External"/><Relationship Id="rId10" Type="http://schemas.openxmlformats.org/officeDocument/2006/relationships/hyperlink" Target="https://ieee802.org/16/cal-temp.html" TargetMode="External"/><Relationship Id="rId11" Type="http://schemas.openxmlformats.org/officeDocument/2006/relationships/hyperlink" Target="https://calendar.google.com/calendar/embed?src=c2gedttabtbj4bps23j4847004@group.calendar.google.com&amp;ctz=America%2FNew_Y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13376</TotalTime>
  <Application>LibreOffice/7.3.6.2$Linux_X86_64 LibreOffice_project/30$Build-2</Application>
  <AppVersion>15.0000</AppVersion>
  <Pages>4</Pages>
  <Words>1058</Words>
  <Characters>5839</Characters>
  <CharactersWithSpaces>6768</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2022-08-19T14:07:00Z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2022-11-01T15:14:36Z</dcterms:modified>
  <cp:revision>46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