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2423"/>
        <w:gridCol w:w="990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13 October 2022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1</w:t>
            </w:r>
            <w:r>
              <w:rPr>
                <w:b w:val="false"/>
                <w:sz w:val="20"/>
              </w:rPr>
              <w:t>8</w:t>
            </w:r>
            <w:r>
              <w:rPr>
                <w:b w:val="false"/>
                <w:sz w:val="20"/>
              </w:rPr>
              <w:t xml:space="preserve"> October 2022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Radio Regulatory Technical Advisory Group (RR-TAG) for the weekly teleconference call on 13 October 2022 at 15:00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C:</w:t>
                            </w:r>
                            <w:r>
                              <w:rPr/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Chair:</w:t>
                            </w:r>
                            <w:r>
                              <w:rPr/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shd w:fill="FFFF00" w:val="clear"/>
                              </w:rPr>
                              <w:t>Highlight</w:t>
                            </w:r>
                            <w:r>
                              <w:rPr/>
                              <w:t xml:space="preserve"> means action point.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ild1" path="m0,0l-2147483645,0l-2147483645,-2147483646l0,-2147483646xe" fillcolor="white" stroked="f" o:allowincell="f" style="position:absolute;margin-left:13.05pt;margin-top:2.15pt;width:479.55pt;height:224.6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>This document constitutes the minutes of the IEEE 802.18 Radio Regulatory Technical Advisory Group (RR-TAG) for the weekly teleconference call on 13 October 2022 at 15:00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</w:rPr>
                        <w:t>C:</w:t>
                      </w:r>
                      <w:r>
                        <w:rPr/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</w:rPr>
                        <w:t>Chair:</w:t>
                      </w:r>
                      <w:r>
                        <w:rPr/>
                        <w:t xml:space="preserve"> means statement by the chair as chair.</w:t>
                        <w:br/>
                      </w:r>
                      <w:r>
                        <w:rPr>
                          <w:shd w:fill="FFFF00" w:val="clear"/>
                        </w:rPr>
                        <w:t>Highlight</w:t>
                      </w:r>
                      <w:r>
                        <w:rPr/>
                        <w:t xml:space="preserve"> means action point.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(Comcast)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These are minutes of the IEEE 802.18 RR-TAG teleconference on Thursday 13 October 2022, 15:00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15:00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nk"/>
            <w:sz w:val="24"/>
            <w:szCs w:val="24"/>
          </w:rPr>
          <w:t>18-22/0125r1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Voters:  47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Nearly Voters: 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Aspirant members:  7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hyperlink r:id="rId4">
        <w:r>
          <w:rPr>
            <w:rStyle w:val="Internetlnk"/>
            <w:sz w:val="24"/>
            <w:szCs w:val="24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5">
        <w:r>
          <w:rPr>
            <w:rStyle w:val="Internetlnk"/>
            <w:sz w:val="24"/>
            <w:szCs w:val="24"/>
            <w:lang w:val="nl-NL"/>
          </w:rPr>
          <w:t>802 LMSC WG P&amp;P</w:t>
        </w:r>
      </w:hyperlink>
      <w:r>
        <w:rPr>
          <w:sz w:val="24"/>
          <w:szCs w:val="24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the agenda (slide #9). No comments or questions on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Administrative: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>To approve the agenda as shown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Moved by:</w:t>
        <w:tab/>
        <w:t>Hassan Yaghoobi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</w:r>
      <w:r>
        <w:rPr>
          <w:rStyle w:val="Internetlnk"/>
          <w:bCs/>
          <w:color w:val="000000"/>
          <w:sz w:val="24"/>
          <w:szCs w:val="24"/>
          <w:u w:val="none"/>
        </w:rPr>
        <w:t>Amelia Andersdotter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Chair presented draft meeting minutes from 6 October 2022 RR-TAG weekly teleconference. </w:t>
        <w:br/>
      </w:r>
      <w:r>
        <w:rPr>
          <w:b/>
          <w:bCs/>
          <w:sz w:val="24"/>
          <w:szCs w:val="24"/>
        </w:rPr>
        <w:br/>
        <w:t>Motion #2 (internal):</w:t>
      </w:r>
      <w:r>
        <w:rPr>
          <w:sz w:val="24"/>
          <w:szCs w:val="24"/>
        </w:rPr>
        <w:t xml:space="preserve"> To approve the weekly meeting minutes of the 6 October 2022 RR-TAG call as shown in the document </w:t>
      </w:r>
      <w:hyperlink r:id="rId8">
        <w:r>
          <w:rPr>
            <w:rStyle w:val="Internetlnk"/>
            <w:sz w:val="24"/>
            <w:szCs w:val="24"/>
          </w:rPr>
          <w:t>18-22/0128r0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Al Petrick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Amelia Andersdotter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Discussion?  None.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Approved with unanimous consent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Status of ongoing consultations (</w:t>
      </w:r>
      <w:hyperlink r:id="rId9">
        <w:r>
          <w:rPr>
            <w:rStyle w:val="Internetlnk"/>
            <w:b/>
            <w:bCs/>
            <w:sz w:val="24"/>
            <w:szCs w:val="24"/>
          </w:rPr>
          <w:t>18-22/0035r40</w:t>
        </w:r>
      </w:hyperlink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contains the status of ongoing consultations along with internal deadlines for EC approval and external approval.</w:t>
        <w:br/>
        <w:br/>
        <w:t>Short discussion Swedish PTS consultation on Spectrum Strategy.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Contributions to ITU-R WP5A</w:t>
      </w:r>
      <w:r>
        <w:rPr>
          <w:sz w:val="24"/>
          <w:szCs w:val="24"/>
        </w:rPr>
        <w:t xml:space="preserve"> (</w:t>
      </w:r>
      <w:hyperlink r:id="rId10">
        <w:r>
          <w:rPr>
            <w:rStyle w:val="Internetlnk"/>
            <w:sz w:val="24"/>
            <w:szCs w:val="24"/>
          </w:rPr>
          <w:t>18-22-0131r0</w:t>
        </w:r>
      </w:hyperlink>
      <w:r>
        <w:rPr>
          <w:sz w:val="24"/>
          <w:szCs w:val="24"/>
        </w:rPr>
        <w:t xml:space="preserve">, </w:t>
      </w:r>
      <w:hyperlink r:id="rId11">
        <w:r>
          <w:rPr>
            <w:rStyle w:val="Internetlnk"/>
            <w:sz w:val="24"/>
            <w:szCs w:val="24"/>
          </w:rPr>
          <w:t>18-22-0132r0</w:t>
        </w:r>
      </w:hyperlink>
      <w:r>
        <w:rPr>
          <w:sz w:val="24"/>
          <w:szCs w:val="24"/>
        </w:rPr>
        <w:t>), Hassan Yaghoobi (Intel)</w:t>
        <w:br/>
        <w:br/>
      </w:r>
      <w:r>
        <w:rPr>
          <w:b w:val="false"/>
          <w:bCs w:val="false"/>
          <w:sz w:val="24"/>
          <w:szCs w:val="24"/>
        </w:rPr>
        <w:t xml:space="preserve">This work follows on previous work in IEEE 802.18 to assist the ITU-R with documentation and knowledge (see records in minutes </w:t>
      </w:r>
      <w:hyperlink r:id="rId12">
        <w:r>
          <w:rPr>
            <w:rStyle w:val="Internetlnk"/>
            <w:b w:val="false"/>
            <w:bCs w:val="false"/>
            <w:sz w:val="24"/>
            <w:szCs w:val="24"/>
          </w:rPr>
          <w:t>18-22-0039r0</w:t>
        </w:r>
      </w:hyperlink>
      <w:r>
        <w:rPr>
          <w:b w:val="false"/>
          <w:bCs w:val="false"/>
          <w:sz w:val="24"/>
          <w:szCs w:val="24"/>
        </w:rPr>
        <w:t xml:space="preserve"> and </w:t>
      </w:r>
      <w:hyperlink r:id="rId13">
        <w:r>
          <w:rPr>
            <w:rStyle w:val="Internetlnk"/>
            <w:b w:val="false"/>
            <w:bCs w:val="false"/>
            <w:sz w:val="24"/>
            <w:szCs w:val="24"/>
          </w:rPr>
          <w:t>18-22-0041r0</w:t>
        </w:r>
      </w:hyperlink>
      <w:r>
        <w:rPr>
          <w:b w:val="false"/>
          <w:bCs w:val="false"/>
          <w:sz w:val="24"/>
          <w:szCs w:val="24"/>
        </w:rPr>
        <w:t xml:space="preserve">). </w:t>
        <w:br/>
        <w:br/>
        <w:t xml:space="preserve">Doc. 18-22-0131r0 reiterates the IEEE 802 position from previous WP5A meeting. </w:t>
        <w:br/>
        <w:br/>
      </w:r>
      <w:r>
        <w:rPr>
          <w:b/>
          <w:bCs/>
          <w:sz w:val="24"/>
          <w:szCs w:val="24"/>
        </w:rPr>
        <w:t>C:</w:t>
      </w:r>
      <w:r>
        <w:rPr>
          <w:b w:val="false"/>
          <w:bCs w:val="false"/>
          <w:sz w:val="24"/>
          <w:szCs w:val="24"/>
        </w:rPr>
        <w:t xml:space="preserve"> It says here that IEEE 802.11 has developed a set of standards for RLANs. These standards are not </w:t>
      </w:r>
      <w:r>
        <w:rPr>
          <w:b w:val="false"/>
          <w:bCs w:val="false"/>
          <w:i/>
          <w:iCs/>
          <w:sz w:val="24"/>
          <w:szCs w:val="24"/>
        </w:rPr>
        <w:t>harmonised with</w:t>
      </w:r>
      <w:r>
        <w:rPr>
          <w:b w:val="false"/>
          <w:bCs w:val="false"/>
          <w:sz w:val="24"/>
          <w:szCs w:val="24"/>
        </w:rPr>
        <w:t xml:space="preserve"> ISO, but </w:t>
      </w:r>
      <w:r>
        <w:rPr>
          <w:b w:val="false"/>
          <w:bCs w:val="false"/>
          <w:i/>
          <w:iCs/>
          <w:sz w:val="24"/>
          <w:szCs w:val="24"/>
        </w:rPr>
        <w:t>adopted by</w:t>
      </w:r>
      <w:r>
        <w:rPr>
          <w:b w:val="false"/>
          <w:bCs w:val="false"/>
          <w:sz w:val="24"/>
          <w:szCs w:val="24"/>
        </w:rPr>
        <w:t xml:space="preserve"> ISO.</w:t>
        <w:br/>
        <w:br/>
        <w:t xml:space="preserve">Doc. 18-22-0132r0 contains the IEEE 802 views on a proposed new Report ITU-R M.[no number yet]. It reiterates the position that the IEEE 802 does not believe a frequency table is necessary in doc. M.1801. </w:t>
        <w:br/>
        <w:br/>
      </w:r>
      <w:r>
        <w:rPr>
          <w:b/>
          <w:bCs/>
          <w:sz w:val="24"/>
          <w:szCs w:val="24"/>
        </w:rPr>
        <w:t>C:</w:t>
      </w:r>
      <w:r>
        <w:rPr>
          <w:b w:val="false"/>
          <w:bCs w:val="false"/>
          <w:sz w:val="24"/>
          <w:szCs w:val="24"/>
        </w:rPr>
        <w:t xml:space="preserve"> I would like to have this vote postponed until next week.</w:t>
      </w:r>
      <w:r>
        <w:rPr>
          <w:sz w:val="24"/>
          <w:szCs w:val="24"/>
        </w:rPr>
        <w:br/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General items</w:t>
        <w:br/>
        <w:br/>
        <w:t xml:space="preserve">Chair: </w:t>
      </w:r>
      <w:r>
        <w:rPr>
          <w:b w:val="false"/>
          <w:bCs w:val="false"/>
          <w:sz w:val="24"/>
          <w:szCs w:val="24"/>
        </w:rPr>
        <w:t>We will postpone a discussion on general items until our next call.</w:t>
      </w:r>
      <w:r>
        <w:rPr>
          <w:b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of future meetings</w:t>
      </w:r>
      <w:r>
        <w:rPr>
          <w:sz w:val="24"/>
          <w:szCs w:val="24"/>
        </w:rPr>
        <w:br/>
        <w:br/>
        <w:t>The ISUS calls on 17 October and 24 October will be canceled.</w:t>
        <w:br/>
        <w:br/>
        <w:t xml:space="preserve">The mmWave call on 19 October will be canceled. </w:t>
        <w:br/>
        <w:br/>
        <w:t>Within the next two weeks we have another Frequency Table Ad-hoc call on 25 October.</w:t>
        <w:br/>
        <w:br/>
        <w:t>Remind of IEEE 802 Plenary meeting in Bangkok.</w:t>
      </w:r>
      <w:r>
        <w:rPr>
          <w:b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br/>
        <w:t xml:space="preserve">The mmWave ad-hoc group chair is resigning after 26 October. A call for a new ad-hoc chair will be issued. </w:t>
        <w:br/>
        <w:br/>
        <w:t>Reminder that next week's call (which coincides with the Wi-Fi Alliance Lisbon meeting) will be organized at 20:00 Lisbon time.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 attendees, 16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weekly teleconference call scheduled for: 20 October 2022, 15:00 ET.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https://mentor.ieee.org/802.18/dcn/16/18-16-0038-27-0000-teleconference-call-in-info.pptx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IEEE 802 Plenary meeting is 13-18 November in Bangkok, Thailand.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Currently, RR-TAG weekly teleconferences are scheduled until 26 January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4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5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Adjourn at 15:59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>
      <w:pPr>
        <w:pStyle w:val="ListParagraph"/>
        <w:ind w:left="0" w:hanging="0"/>
        <w:rPr>
          <w:rFonts w:ascii="Arial" w:hAnsi="Arial" w:eastAsia="Times New Roman" w:cs="Arial"/>
          <w:b/>
          <w:b/>
          <w:bCs/>
          <w:sz w:val="20"/>
          <w:szCs w:val="24"/>
        </w:rPr>
      </w:pPr>
      <w:r>
        <w:rPr/>
      </w:r>
    </w:p>
    <w:p>
      <w:pPr>
        <w:pStyle w:val="ListParagraph"/>
        <w:ind w:left="0" w:hanging="0"/>
        <w:rPr>
          <w:rFonts w:ascii="Arial" w:hAnsi="Arial" w:eastAsia="Times New Roman" w:cs="Arial"/>
          <w:b/>
          <w:b/>
          <w:bCs/>
          <w:sz w:val="20"/>
          <w:szCs w:val="24"/>
        </w:rPr>
      </w:pPr>
      <w:r>
        <w:rPr/>
      </w:r>
    </w:p>
    <w:tbl>
      <w:tblPr>
        <w:tblW w:w="999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800"/>
        <w:gridCol w:w="2003"/>
        <w:gridCol w:w="4762"/>
        <w:gridCol w:w="994"/>
      </w:tblGrid>
      <w:tr>
        <w:trPr/>
        <w:tc>
          <w:tcPr>
            <w:tcW w:w="9000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13-Oct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</w:t>
            </w:r>
            <w:r>
              <w:rPr>
                <w:rFonts w:ascii="Arial;sans-serif" w:hAnsi="Arial;sans-serif"/>
                <w:sz w:val="20"/>
              </w:rPr>
              <w:t xml:space="preserve">d </w:t>
            </w:r>
            <w:r>
              <w:rPr>
                <w:rFonts w:ascii="Arial;sans-serif" w:hAnsi="Arial;sans-serif"/>
                <w:sz w:val="20"/>
              </w:rPr>
              <w:t>(Kwok Shum)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Boldy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David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Unlicensed Spectrum Advocates, LLC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OK-Brit, Self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 xml:space="preserve">Self, HPE, Huawei, Wyebot, UNH BCoE, YAS BBV, Origin Wireless 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Pirhonen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Riku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NXP Semiconductors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Stanley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Dorothy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Hewlett Packard Enterprise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Wang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Lei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16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000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13-Oct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Haasz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Jodi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IEEE SA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Sosack</w:t>
            </w:r>
          </w:p>
        </w:tc>
        <w:tc>
          <w:tcPr>
            <w:tcW w:w="200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Robert</w:t>
            </w:r>
          </w:p>
        </w:tc>
        <w:tc>
          <w:tcPr>
            <w:tcW w:w="4762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Molex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rFonts w:ascii="Arial" w:hAnsi="Arial" w:eastAsia="Times New Roman" w:cs="Arial"/>
          <w:b/>
          <w:b/>
          <w:bCs/>
          <w:sz w:val="20"/>
          <w:szCs w:val="24"/>
        </w:rPr>
      </w:pPr>
      <w:r>
        <w:rPr/>
      </w:r>
    </w:p>
    <w:sectPr>
      <w:headerReference w:type="default" r:id="rId16"/>
      <w:footerReference w:type="default" r:id="rId17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October 2022</w:t>
      <w:tab/>
      <w:tab/>
      <w:t>doc.: IEEE 802.18-22-01</w:t>
    </w:r>
    <w:r>
      <w:rPr/>
      <w:t>34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mirrorMargin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styleId="AnvndInternetlnk" w:customStyle="1">
    <w:name w:val="Använd Internetlänk"/>
    <w:qFormat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qFormat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basedOn w:val="CommentTextChar"/>
    <w:link w:val="Annotationsubject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125-01-0000-rr-tag-agenda-13-october-2022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2/18-22-0128-00-0000-weekly-teleconference-minutes-6-october-2022.docx" TargetMode="External"/><Relationship Id="rId9" Type="http://schemas.openxmlformats.org/officeDocument/2006/relationships/hyperlink" Target="https://mentor.ieee.org/802.18/dcn/22/18-22-0035-40-0000-status-of-ongoing-consultations-and-tag-documents-for-approval.docx" TargetMode="External"/><Relationship Id="rId10" Type="http://schemas.openxmlformats.org/officeDocument/2006/relationships/hyperlink" Target="https://mentor.ieee.org/802.18/dcn/22/18-22-0131-00-0000-proposed-modifications-to-itu-r-m-1450-5-for-wp5a-nov-2022.docx" TargetMode="External"/><Relationship Id="rId11" Type="http://schemas.openxmlformats.org/officeDocument/2006/relationships/hyperlink" Target="https://mentor.ieee.org/802.18/dcn/22/18-22-0132-00-0000-proposed-ieee-s-views-on-annex-17-to-doc-5a-597-for-wp5a-nov-2022.docx" TargetMode="External"/><Relationship Id="rId12" Type="http://schemas.openxmlformats.org/officeDocument/2006/relationships/hyperlink" Target="https://mentor.ieee.org/802.18/dcn/22/18-22-0039-00-0000-teleconference-minutes-24-march-2022.docx" TargetMode="External"/><Relationship Id="rId13" Type="http://schemas.openxmlformats.org/officeDocument/2006/relationships/hyperlink" Target="https://mentor.ieee.org/802.18/dcn/22/18-22-0041-00-0000-minutes-teleconference-31-march-2022.docx" TargetMode="External"/><Relationship Id="rId14" Type="http://schemas.openxmlformats.org/officeDocument/2006/relationships/hyperlink" Target="https://ieee802.org/16/cal-temp.html" TargetMode="External"/><Relationship Id="rId15" Type="http://schemas.openxmlformats.org/officeDocument/2006/relationships/hyperlink" Target="https://calendar.google.com/calendar/embed?src=c2gedttabtbj4bps23j4847004@group.calendar.google.com&amp;ctz=America%2FNew_York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6861</TotalTime>
  <Application>LibreOffice/7.3.6.2$Linux_X86_64 LibreOffice_project/30$Build-2</Application>
  <AppVersion>15.0000</AppVersion>
  <Pages>4</Pages>
  <Words>853</Words>
  <Characters>4708</Characters>
  <CharactersWithSpaces>5434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2022-08-19T14:07:00Z</dcterms:created>
  <dc:creator>author</dc:creator>
  <dc:description/>
  <cp:keywords>28 28 28 28 28 28 28 28 28 28 28 28 28 28 28 28 28 April 2022</cp:keywords>
  <dc:language>sv-SE</dc:language>
  <cp:lastModifiedBy>Amelia Andersdotter</cp:lastModifiedBy>
  <cp:lastPrinted>2012-05-15T22:13:00Z</cp:lastPrinted>
  <dcterms:modified xsi:type="dcterms:W3CDTF">2022-10-18T10:23:07Z</dcterms:modified>
  <cp:revision>35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