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4"/>
        <w:gridCol w:w="989"/>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6 October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9</w:t>
            </w:r>
            <w:r>
              <w:rPr>
                <w:b w:val="false"/>
                <w:sz w:val="20"/>
              </w:rPr>
              <w:t xml:space="preserve"> October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6 October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6 October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802.18 RR-TAG teleconference on Thursday 6 October 2022, 15:00 ET.</w:t>
        <w:br/>
      </w:r>
    </w:p>
    <w:p>
      <w:pPr>
        <w:pStyle w:val="Normal"/>
        <w:numPr>
          <w:ilvl w:val="0"/>
          <w:numId w:val="1"/>
        </w:numPr>
        <w:spacing w:before="0" w:after="0"/>
        <w:contextualSpacing/>
        <w:rPr/>
      </w:pPr>
      <w:r>
        <w:rPr>
          <w:sz w:val="24"/>
          <w:szCs w:val="24"/>
        </w:rPr>
        <w:t>Chair calls the meeting to order at 15:00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18-22/0123r0</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Group officers and voting membership</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47 (8 on LMSC) </w:t>
      </w:r>
    </w:p>
    <w:p>
      <w:pPr>
        <w:pStyle w:val="Normal"/>
        <w:numPr>
          <w:ilvl w:val="2"/>
          <w:numId w:val="1"/>
        </w:numPr>
        <w:spacing w:before="0" w:after="0"/>
        <w:contextualSpacing/>
        <w:rPr>
          <w:sz w:val="24"/>
          <w:szCs w:val="24"/>
        </w:rPr>
      </w:pPr>
      <w:r>
        <w:rPr>
          <w:sz w:val="24"/>
          <w:szCs w:val="24"/>
        </w:rPr>
        <w:t xml:space="preserve">  </w:t>
      </w:r>
      <w:r>
        <w:rPr>
          <w:sz w:val="24"/>
          <w:szCs w:val="24"/>
        </w:rPr>
        <w:t>Nearly Voters: 3</w:t>
      </w:r>
    </w:p>
    <w:p>
      <w:pPr>
        <w:pStyle w:val="Normal"/>
        <w:numPr>
          <w:ilvl w:val="2"/>
          <w:numId w:val="1"/>
        </w:numPr>
        <w:spacing w:before="0" w:after="0"/>
        <w:contextualSpacing/>
        <w:rPr>
          <w:sz w:val="24"/>
          <w:szCs w:val="24"/>
        </w:rPr>
      </w:pPr>
      <w:r>
        <w:rPr>
          <w:sz w:val="24"/>
          <w:szCs w:val="24"/>
        </w:rPr>
        <w:t xml:space="preserve">  </w:t>
      </w:r>
      <w:r>
        <w:rPr>
          <w:sz w:val="24"/>
          <w:szCs w:val="24"/>
        </w:rPr>
        <w:t>Aspirant members:  7</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Chair presents the agenda (slide #9). No comments or questions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Rich Kennedy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Amelia Andersdotter</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 xml:space="preserve">Chair presented draft meeting minutes from 29 September 2022 RR-TAG weekly teleconference. </w:t>
        <w:br/>
        <w:t>The EC may delay until the November 2022 plenary to bring forward recommendations on how to proceed with the ISUS Ad-Hoc work.</w:t>
        <w:br/>
      </w:r>
      <w:r>
        <w:rPr>
          <w:b/>
          <w:bCs/>
          <w:sz w:val="24"/>
          <w:szCs w:val="24"/>
        </w:rPr>
        <w:br/>
        <w:t>Motion #2 (internal):</w:t>
      </w:r>
      <w:r>
        <w:rPr>
          <w:sz w:val="24"/>
          <w:szCs w:val="24"/>
        </w:rPr>
        <w:t xml:space="preserve"> To approve the weekly meeting minutes of the 29 September 2022 RR-TAG call as shown in the document </w:t>
      </w:r>
      <w:hyperlink r:id="rId8">
        <w:r>
          <w:rPr>
            <w:rStyle w:val="Internetlnk"/>
            <w:sz w:val="24"/>
            <w:szCs w:val="24"/>
          </w:rPr>
          <w:t>18-22/0122r0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Stuart Kerry</w:t>
      </w:r>
    </w:p>
    <w:p>
      <w:pPr>
        <w:pStyle w:val="Normal"/>
        <w:spacing w:before="0" w:after="0"/>
        <w:ind w:left="1440" w:hanging="0"/>
        <w:contextualSpacing/>
        <w:rPr/>
      </w:pPr>
      <w:r>
        <w:rPr>
          <w:sz w:val="24"/>
          <w:szCs w:val="24"/>
        </w:rPr>
        <w:t xml:space="preserve">Seconded by: </w:t>
        <w:tab/>
        <w:t>Amelia Andersdotter</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Status of ongoing consultations (</w:t>
      </w:r>
      <w:hyperlink r:id="rId9">
        <w:r>
          <w:rPr>
            <w:rStyle w:val="Internetlnk"/>
            <w:b/>
            <w:bCs/>
            <w:sz w:val="24"/>
            <w:szCs w:val="24"/>
          </w:rPr>
          <w:t>18-22/0035r38</w:t>
        </w:r>
      </w:hyperlink>
      <w:r>
        <w:rPr>
          <w:b/>
          <w:bCs/>
          <w:sz w:val="24"/>
          <w:szCs w:val="24"/>
        </w:rPr>
        <w:t>)</w:t>
      </w:r>
      <w:r>
        <w:rPr>
          <w:sz w:val="24"/>
          <w:szCs w:val="24"/>
        </w:rPr>
        <w:t xml:space="preserve"> contains the status of ongoing consultations along with internal deadlines for EC approval and external approval.</w:t>
        <w:br/>
        <w:br/>
      </w:r>
      <w:r>
        <w:rPr>
          <w:b/>
          <w:bCs/>
          <w:sz w:val="24"/>
          <w:szCs w:val="24"/>
        </w:rPr>
        <w:t>C:</w:t>
      </w:r>
      <w:r>
        <w:rPr>
          <w:sz w:val="24"/>
          <w:szCs w:val="24"/>
        </w:rPr>
        <w:t xml:space="preserve"> On the ANACOM consultation, even if we were to find translation in the community, would the Chair of the EC even feel comfortable signing off on something in a language he does not speak?</w:t>
        <w:br/>
      </w:r>
      <w:r>
        <w:rPr>
          <w:b/>
          <w:bCs/>
          <w:sz w:val="24"/>
          <w:szCs w:val="24"/>
        </w:rPr>
        <w:t>Chair:</w:t>
      </w:r>
      <w:r>
        <w:rPr>
          <w:sz w:val="24"/>
          <w:szCs w:val="24"/>
        </w:rPr>
        <w:t xml:space="preserve"> </w:t>
      </w:r>
      <w:r>
        <w:rPr>
          <w:sz w:val="24"/>
          <w:szCs w:val="24"/>
          <w:shd w:fill="FFFF00" w:val="clear"/>
        </w:rPr>
        <w:t>Give me an action point to contact the EC Chair to clarify this.</w:t>
        <w:br/>
      </w:r>
      <w:r>
        <w:rPr>
          <w:b/>
          <w:bCs/>
          <w:sz w:val="24"/>
          <w:szCs w:val="24"/>
        </w:rPr>
        <w:t>C:</w:t>
      </w:r>
      <w:r>
        <w:rPr>
          <w:sz w:val="24"/>
          <w:szCs w:val="24"/>
        </w:rPr>
        <w:t xml:space="preserve"> There is offline work on the TRAI consultation.</w:t>
        <w:br/>
        <w:br/>
        <w:t xml:space="preserve">Chair reminds group that there is an IEEE 802.11 ITU AH call scheduled for 11 October at 19h00 ET for one hour to discuss IEEE 802 LMSC contributions to the ITU-R Working Party 5A November meeting. </w:t>
        <w:br/>
      </w:r>
    </w:p>
    <w:p>
      <w:pPr>
        <w:pStyle w:val="ListParagraph"/>
        <w:numPr>
          <w:ilvl w:val="0"/>
          <w:numId w:val="1"/>
        </w:numPr>
        <w:spacing w:before="0" w:after="0"/>
        <w:contextualSpacing/>
        <w:rPr/>
      </w:pPr>
      <w:r>
        <w:rPr>
          <w:b/>
          <w:sz w:val="24"/>
          <w:szCs w:val="24"/>
        </w:rPr>
        <w:t>General items</w:t>
        <w:br/>
      </w:r>
    </w:p>
    <w:p>
      <w:pPr>
        <w:pStyle w:val="ListParagraph"/>
        <w:numPr>
          <w:ilvl w:val="1"/>
          <w:numId w:val="1"/>
        </w:numPr>
        <w:spacing w:before="0" w:after="0"/>
        <w:contextualSpacing/>
        <w:rPr/>
      </w:pPr>
      <w:r>
        <w:rPr>
          <w:b/>
          <w:sz w:val="24"/>
          <w:szCs w:val="24"/>
        </w:rPr>
        <w:t>Europe</w:t>
        <w:br/>
        <w:br/>
      </w:r>
      <w:r>
        <w:rPr>
          <w:sz w:val="24"/>
          <w:szCs w:val="24"/>
        </w:rPr>
        <w:t xml:space="preserve">Ofcom has released its </w:t>
      </w:r>
      <w:hyperlink r:id="rId10">
        <w:r>
          <w:rPr>
            <w:rStyle w:val="Internetlnk"/>
            <w:sz w:val="24"/>
            <w:szCs w:val="24"/>
          </w:rPr>
          <w:t>conclusions</w:t>
        </w:r>
      </w:hyperlink>
      <w:r>
        <w:rPr>
          <w:sz w:val="24"/>
          <w:szCs w:val="24"/>
        </w:rPr>
        <w:t xml:space="preserve"> from the consultation on SRD (5.1 GHz, 5.9 GHz, UWB, sub 1-GHz band, 24 GHz). They have decided to</w:t>
      </w:r>
    </w:p>
    <w:p>
      <w:pPr>
        <w:pStyle w:val="ListParagraph"/>
        <w:numPr>
          <w:ilvl w:val="3"/>
          <w:numId w:val="4"/>
        </w:numPr>
        <w:spacing w:before="0" w:after="0"/>
        <w:contextualSpacing/>
        <w:rPr/>
      </w:pPr>
      <w:r>
        <w:rPr>
          <w:sz w:val="24"/>
          <w:szCs w:val="24"/>
        </w:rPr>
        <w:t>Extending the spectrum available for safety related ITS by 20 MHz, from 5905 to 5925 MHz;</w:t>
      </w:r>
    </w:p>
    <w:p>
      <w:pPr>
        <w:pStyle w:val="ListParagraph"/>
        <w:numPr>
          <w:ilvl w:val="3"/>
          <w:numId w:val="4"/>
        </w:numPr>
        <w:spacing w:before="0" w:after="0"/>
        <w:contextualSpacing/>
        <w:rPr/>
      </w:pPr>
      <w:r>
        <w:rPr/>
        <w:t>Liberalising the use of 5150 to 5250 MHz for WAS/RLAN to allow outdoor mobile/nomadic use, including in-vehicle and inside train use.  Ofcom will also allow airborne use in the 5170 to 5250 MHz part of the band; and clarify that there is no requirement for DFS and TPC in the 5150 to 5250 MHz band;</w:t>
      </w:r>
    </w:p>
    <w:p>
      <w:pPr>
        <w:pStyle w:val="ListParagraph"/>
        <w:numPr>
          <w:ilvl w:val="3"/>
          <w:numId w:val="4"/>
        </w:numPr>
        <w:spacing w:before="0" w:after="0"/>
        <w:contextualSpacing/>
        <w:rPr/>
      </w:pPr>
      <w:r>
        <w:rPr/>
        <w:t>Liberalising some of the technical conditions for some UWB devices;</w:t>
      </w:r>
    </w:p>
    <w:p>
      <w:pPr>
        <w:pStyle w:val="ListParagraph"/>
        <w:numPr>
          <w:ilvl w:val="3"/>
          <w:numId w:val="4"/>
        </w:numPr>
        <w:spacing w:before="0" w:after="0"/>
        <w:contextualSpacing/>
        <w:rPr/>
      </w:pPr>
      <w:r>
        <w:rPr/>
        <w:t>Closing the 24 GHz Automotive SRR band to new applications;</w:t>
      </w:r>
    </w:p>
    <w:p>
      <w:pPr>
        <w:pStyle w:val="ListParagraph"/>
        <w:numPr>
          <w:ilvl w:val="3"/>
          <w:numId w:val="4"/>
        </w:numPr>
        <w:spacing w:before="0" w:after="0"/>
        <w:contextualSpacing/>
        <w:rPr/>
      </w:pPr>
      <w:r>
        <w:rPr/>
        <w:t>Making some technical and minor editorial changes to SRD applications in the 870/915 MHz bands;</w:t>
      </w:r>
    </w:p>
    <w:p>
      <w:pPr>
        <w:pStyle w:val="ListParagraph"/>
        <w:spacing w:before="0" w:after="0"/>
        <w:contextualSpacing/>
        <w:rPr/>
      </w:pPr>
      <w:r>
        <w:rPr>
          <w:b/>
          <w:sz w:val="24"/>
          <w:szCs w:val="24"/>
        </w:rPr>
        <w:br/>
      </w:r>
      <w:r>
        <w:rPr>
          <w:sz w:val="24"/>
          <w:szCs w:val="24"/>
        </w:rPr>
        <w:t xml:space="preserve">The next ETSI BRAN meeting will occur 17-21 October 2022. </w:t>
        <w:br/>
      </w:r>
    </w:p>
    <w:p>
      <w:pPr>
        <w:pStyle w:val="ListParagraph"/>
        <w:numPr>
          <w:ilvl w:val="1"/>
          <w:numId w:val="1"/>
        </w:numPr>
        <w:spacing w:before="0" w:after="0"/>
        <w:contextualSpacing/>
        <w:rPr/>
      </w:pPr>
      <w:r>
        <w:rPr>
          <w:b/>
          <w:bCs/>
          <w:sz w:val="24"/>
          <w:szCs w:val="24"/>
        </w:rPr>
        <w:t>Americas</w:t>
        <w:br/>
        <w:br/>
      </w:r>
      <w:r>
        <w:rPr>
          <w:sz w:val="24"/>
          <w:szCs w:val="24"/>
        </w:rPr>
        <w:t>The next open meeting of the FCC will be on 27 October 2022.</w:t>
        <w:br/>
        <w:br/>
        <w:t xml:space="preserve">FCC Chairwoman has made </w:t>
      </w:r>
      <w:hyperlink r:id="rId11">
        <w:r>
          <w:rPr>
            <w:rStyle w:val="Internetlnk"/>
            <w:sz w:val="24"/>
            <w:szCs w:val="24"/>
          </w:rPr>
          <w:t>remarks</w:t>
        </w:r>
      </w:hyperlink>
      <w:r>
        <w:rPr>
          <w:sz w:val="24"/>
          <w:szCs w:val="24"/>
        </w:rPr>
        <w:t xml:space="preserve"> to the effect of 1) extend FCC auction authority, 2) need for more mid-band spectrum, 3) need to consider receiver performance.</w:t>
        <w:br/>
      </w:r>
    </w:p>
    <w:p>
      <w:pPr>
        <w:pStyle w:val="ListParagraph"/>
        <w:numPr>
          <w:ilvl w:val="1"/>
          <w:numId w:val="1"/>
        </w:numPr>
        <w:spacing w:before="0" w:after="0"/>
        <w:contextualSpacing/>
        <w:rPr>
          <w:b/>
          <w:b/>
          <w:bCs/>
        </w:rPr>
      </w:pPr>
      <w:r>
        <w:rPr>
          <w:b/>
          <w:bCs/>
          <w:sz w:val="24"/>
          <w:szCs w:val="24"/>
        </w:rPr>
        <w:t>Asia/Pacific</w:t>
      </w:r>
    </w:p>
    <w:p>
      <w:pPr>
        <w:pStyle w:val="ListParagraph"/>
        <w:spacing w:before="0" w:after="0"/>
        <w:contextualSpacing/>
        <w:rPr/>
      </w:pPr>
      <w:r>
        <w:rPr>
          <w:sz w:val="24"/>
          <w:szCs w:val="24"/>
        </w:rPr>
        <w:br/>
        <w:t>No updates.</w:t>
      </w:r>
      <w:r>
        <w:rPr>
          <w:b/>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Next week mmWave Ad-hoc will meet on 12 October 2022, and regular weekly call will occur on 13 October 2022. The ISUS Ad-hoc call on 10 October 2022 is canceled.</w:t>
        <w:br/>
        <w:br/>
        <w:t xml:space="preserve">There will be a meeting collision of mmWave Ad-hoc and IEEE 802 </w:t>
      </w:r>
      <w:bookmarkStart w:id="0" w:name="_GoBack"/>
      <w:bookmarkEnd w:id="0"/>
      <w:r>
        <w:rPr>
          <w:sz w:val="24"/>
          <w:szCs w:val="24"/>
        </w:rPr>
        <w:t xml:space="preserve">Wireless Chairs Standing Committee (WCSC) meeting on 2 November 2022, 15:00 ET. </w:t>
      </w:r>
      <w:r>
        <w:rPr>
          <w:sz w:val="24"/>
          <w:szCs w:val="24"/>
          <w:shd w:fill="FFFF00" w:val="clear"/>
        </w:rPr>
        <w:t>Chair and Ad-hoc Chair will coordinate on moving or cancelling the mmWave Ad-hoc that week.</w:t>
      </w:r>
      <w:r>
        <w:rPr>
          <w:sz w:val="24"/>
          <w:szCs w:val="24"/>
        </w:rPr>
        <w:t xml:space="preserve"> </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sz w:val="24"/>
          <w:szCs w:val="24"/>
        </w:rPr>
      </w:pPr>
      <w:r>
        <w:rPr>
          <w:sz w:val="24"/>
          <w:szCs w:val="24"/>
        </w:rPr>
        <w:br/>
        <w:t>The mmWave ad-hoc group is in need of volunteers. Any help that can be mustered is welcome.</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 xml:space="preserve">16 attendees, 15 voters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13 October 2022, 15:00 ET.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https://mentor.ieee.org/802.18/dcn/16/18-16-0038-26-0000-teleconference-call-in-info.pptx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Plenary meeting is 13-18 November in Bangkok, Thailand.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26 January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2">
        <w:r>
          <w:rPr>
            <w:rStyle w:val="Internetlnk"/>
            <w:sz w:val="24"/>
            <w:szCs w:val="24"/>
          </w:rPr>
          <w:t>https://ieee802.org/16/cal-temp.html</w:t>
        </w:r>
      </w:hyperlink>
      <w:r>
        <w:rPr>
          <w:sz w:val="24"/>
          <w:szCs w:val="24"/>
        </w:rPr>
        <w:t xml:space="preserve"> or only 802.18:  </w:t>
      </w:r>
      <w:hyperlink r:id="rId13">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15:48 ET</w:t>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p>
    <w:p>
      <w:pPr>
        <w:pStyle w:val="ListParagraph"/>
        <w:ind w:left="0" w:hanging="0"/>
        <w:rPr>
          <w:rFonts w:ascii="Arial" w:hAnsi="Arial" w:eastAsia="Times New Roman" w:cs="Arial"/>
          <w:b/>
          <w:b/>
          <w:bCs/>
          <w:sz w:val="20"/>
          <w:szCs w:val="24"/>
        </w:rPr>
      </w:pPr>
      <w:r>
        <w:rPr/>
      </w:r>
    </w:p>
    <w:p>
      <w:pPr>
        <w:pStyle w:val="ListParagraph"/>
        <w:ind w:left="0" w:hanging="0"/>
        <w:rPr>
          <w:rFonts w:ascii="Arial" w:hAnsi="Arial" w:eastAsia="Times New Roman" w:cs="Arial"/>
          <w:b/>
          <w:b/>
          <w:bCs/>
          <w:sz w:val="20"/>
          <w:szCs w:val="24"/>
        </w:rPr>
      </w:pPr>
      <w:r>
        <w:rPr/>
      </w:r>
    </w:p>
    <w:tbl>
      <w:tblPr>
        <w:tblW w:w="9626" w:type="dxa"/>
        <w:jc w:val="left"/>
        <w:tblInd w:w="0" w:type="dxa"/>
        <w:tblLayout w:type="fixed"/>
        <w:tblCellMar>
          <w:top w:w="0" w:type="dxa"/>
          <w:left w:w="0" w:type="dxa"/>
          <w:bottom w:w="0" w:type="dxa"/>
          <w:right w:w="0" w:type="dxa"/>
        </w:tblCellMar>
      </w:tblPr>
      <w:tblGrid>
        <w:gridCol w:w="362"/>
        <w:gridCol w:w="1976"/>
        <w:gridCol w:w="2250"/>
        <w:gridCol w:w="4236"/>
        <w:gridCol w:w="802"/>
      </w:tblGrid>
      <w:tr>
        <w:trPr/>
        <w:tc>
          <w:tcPr>
            <w:tcW w:w="8824" w:type="dxa"/>
            <w:gridSpan w:val="4"/>
            <w:tcBorders/>
            <w:vAlign w:val="center"/>
          </w:tcPr>
          <w:p>
            <w:pPr>
              <w:pStyle w:val="Tabellinnehll"/>
              <w:spacing w:before="0" w:after="0"/>
              <w:rPr>
                <w:rFonts w:ascii="Arial;sans-serif" w:hAnsi="Arial;sans-serif"/>
                <w:b/>
                <w:sz w:val="20"/>
              </w:rPr>
            </w:pPr>
            <w:r>
              <w:rPr>
                <w:rFonts w:ascii="Arial;sans-serif" w:hAnsi="Arial;sans-serif"/>
                <w:b/>
                <w:sz w:val="20"/>
              </w:rPr>
              <w:t>Voting Attendees:</w:t>
            </w:r>
          </w:p>
        </w:tc>
        <w:tc>
          <w:tcPr>
            <w:tcW w:w="802" w:type="dxa"/>
            <w:tcBorders/>
            <w:vAlign w:val="center"/>
          </w:tcPr>
          <w:p>
            <w:pPr>
              <w:pStyle w:val="Tabellinnehll"/>
              <w:spacing w:before="0" w:after="0"/>
              <w:jc w:val="center"/>
              <w:rPr>
                <w:rFonts w:ascii="Arial;sans-serif" w:hAnsi="Arial;sans-serif"/>
                <w:b/>
                <w:sz w:val="20"/>
              </w:rPr>
            </w:pPr>
            <w:r>
              <w:rPr>
                <w:rFonts w:ascii="Arial;sans-serif" w:hAnsi="Arial;sans-serif"/>
                <w:b/>
                <w:sz w:val="20"/>
              </w:rPr>
              <w:t>6-Oct</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Andersdotter</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Amelia</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Sky Group/Comcast</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2</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Au</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Edward (Kwok Shum)</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Huawei Technologies Co., Ltd</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3</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Boldy</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David</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Broadcom Corporation</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4</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Fang</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Yonggang</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MediaTek</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5</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Holcomb</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Jay</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Self</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6</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Jeffries</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Timothy</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FutureWei Technologies, Inc.</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7</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Kain</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Carl</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USDOT, Noblis, Inc.</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8</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Kennedy</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Richard</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Unlicensed Spectrum Advocates, LLC</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9</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Kenney</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John</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TOYOTA InfoTechnology Center U.S.A.</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10</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Kerry</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Stuart</w:t>
            </w:r>
          </w:p>
        </w:tc>
        <w:tc>
          <w:tcPr>
            <w:tcW w:w="4236" w:type="dxa"/>
            <w:tcBorders/>
            <w:vAlign w:val="center"/>
          </w:tcPr>
          <w:p>
            <w:pPr>
              <w:pStyle w:val="Tabellinnehll"/>
              <w:spacing w:before="0" w:after="0"/>
              <w:rPr/>
            </w:pPr>
            <w:r>
              <w:rPr>
                <w:rFonts w:ascii="Arial;sans-serif" w:hAnsi="Arial;sans-serif"/>
                <w:sz w:val="20"/>
              </w:rPr>
              <w:t>OK</w:t>
            </w:r>
            <w:r>
              <w:rPr/>
              <w:t>‐</w:t>
            </w:r>
            <w:r>
              <w:rPr>
                <w:rFonts w:ascii="Arial;sans-serif" w:hAnsi="Arial;sans-serif"/>
                <w:sz w:val="20"/>
              </w:rPr>
              <w:t>Brit, Self</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11</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Levy</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Joseph</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InterDigital, Inc.</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12</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Petrick</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Al</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Skyworks Solutions Inc.</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13</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Pirhonen</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Riku</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NXP Semiconductors</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14</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Rolfe</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Benjamin</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Blind Creek Associates</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15</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Stanley</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Dorothy</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Hewlett Packard Enterprise</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362" w:type="dxa"/>
            <w:tcBorders/>
            <w:vAlign w:val="center"/>
          </w:tcPr>
          <w:p>
            <w:pPr>
              <w:pStyle w:val="Tabellinnehll"/>
              <w:rPr>
                <w:sz w:val="4"/>
                <w:szCs w:val="4"/>
              </w:rPr>
            </w:pPr>
            <w:r>
              <w:rPr>
                <w:sz w:val="4"/>
                <w:szCs w:val="4"/>
              </w:rPr>
            </w:r>
          </w:p>
        </w:tc>
        <w:tc>
          <w:tcPr>
            <w:tcW w:w="1976" w:type="dxa"/>
            <w:tcBorders/>
            <w:vAlign w:val="center"/>
          </w:tcPr>
          <w:p>
            <w:pPr>
              <w:pStyle w:val="Tabellinnehll"/>
              <w:rPr>
                <w:sz w:val="4"/>
                <w:szCs w:val="4"/>
              </w:rPr>
            </w:pPr>
            <w:r>
              <w:rPr>
                <w:sz w:val="4"/>
                <w:szCs w:val="4"/>
              </w:rPr>
            </w:r>
          </w:p>
        </w:tc>
        <w:tc>
          <w:tcPr>
            <w:tcW w:w="2250" w:type="dxa"/>
            <w:tcBorders/>
            <w:vAlign w:val="center"/>
          </w:tcPr>
          <w:p>
            <w:pPr>
              <w:pStyle w:val="Tabellinnehll"/>
              <w:rPr>
                <w:sz w:val="4"/>
                <w:szCs w:val="4"/>
              </w:rPr>
            </w:pPr>
            <w:r>
              <w:rPr>
                <w:sz w:val="4"/>
                <w:szCs w:val="4"/>
              </w:rPr>
            </w:r>
          </w:p>
        </w:tc>
        <w:tc>
          <w:tcPr>
            <w:tcW w:w="4236" w:type="dxa"/>
            <w:tcBorders/>
            <w:vAlign w:val="center"/>
          </w:tcPr>
          <w:p>
            <w:pPr>
              <w:pStyle w:val="Tabellinnehll"/>
              <w:rPr>
                <w:sz w:val="4"/>
                <w:szCs w:val="4"/>
              </w:rPr>
            </w:pPr>
            <w:r>
              <w:rPr>
                <w:sz w:val="4"/>
                <w:szCs w:val="4"/>
              </w:rPr>
            </w:r>
          </w:p>
        </w:tc>
        <w:tc>
          <w:tcPr>
            <w:tcW w:w="802" w:type="dxa"/>
            <w:tcBorders/>
            <w:vAlign w:val="center"/>
          </w:tcPr>
          <w:p>
            <w:pPr>
              <w:pStyle w:val="Tabellinnehll"/>
              <w:rPr>
                <w:sz w:val="4"/>
                <w:szCs w:val="4"/>
              </w:rPr>
            </w:pPr>
            <w:r>
              <w:rPr>
                <w:sz w:val="4"/>
                <w:szCs w:val="4"/>
              </w:rPr>
            </w:r>
          </w:p>
        </w:tc>
      </w:tr>
      <w:tr>
        <w:trPr/>
        <w:tc>
          <w:tcPr>
            <w:tcW w:w="8824" w:type="dxa"/>
            <w:gridSpan w:val="4"/>
            <w:tcBorders/>
            <w:vAlign w:val="center"/>
          </w:tcPr>
          <w:p>
            <w:pPr>
              <w:pStyle w:val="Tabellinnehll"/>
              <w:spacing w:before="0" w:after="0"/>
              <w:rPr>
                <w:rFonts w:ascii="Arial;sans-serif" w:hAnsi="Arial;sans-serif"/>
                <w:b/>
                <w:sz w:val="20"/>
              </w:rPr>
            </w:pPr>
            <w:r>
              <w:rPr>
                <w:rFonts w:ascii="Arial;sans-serif" w:hAnsi="Arial;sans-serif"/>
                <w:b/>
                <w:sz w:val="20"/>
              </w:rPr>
              <w:t>Non-Voting Attendees:</w:t>
            </w:r>
          </w:p>
        </w:tc>
        <w:tc>
          <w:tcPr>
            <w:tcW w:w="802" w:type="dxa"/>
            <w:tcBorders/>
            <w:vAlign w:val="center"/>
          </w:tcPr>
          <w:p>
            <w:pPr>
              <w:pStyle w:val="Tabellinnehll"/>
              <w:spacing w:before="0" w:after="0"/>
              <w:jc w:val="center"/>
              <w:rPr>
                <w:rFonts w:ascii="Arial;sans-serif" w:hAnsi="Arial;sans-serif"/>
                <w:b/>
                <w:sz w:val="20"/>
              </w:rPr>
            </w:pPr>
            <w:r>
              <w:rPr>
                <w:rFonts w:ascii="Arial;sans-serif" w:hAnsi="Arial;sans-serif"/>
                <w:b/>
                <w:sz w:val="20"/>
              </w:rPr>
              <w:t>6-Oct</w:t>
            </w:r>
          </w:p>
        </w:tc>
      </w:tr>
      <w:tr>
        <w:trPr/>
        <w:tc>
          <w:tcPr>
            <w:tcW w:w="362"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1976" w:type="dxa"/>
            <w:tcBorders/>
            <w:vAlign w:val="center"/>
          </w:tcPr>
          <w:p>
            <w:pPr>
              <w:pStyle w:val="Tabellinnehll"/>
              <w:spacing w:before="0" w:after="0"/>
              <w:rPr>
                <w:rFonts w:ascii="Arial;sans-serif" w:hAnsi="Arial;sans-serif"/>
                <w:b/>
                <w:sz w:val="20"/>
              </w:rPr>
            </w:pPr>
            <w:r>
              <w:rPr>
                <w:rFonts w:ascii="Arial;sans-serif" w:hAnsi="Arial;sans-serif"/>
                <w:b/>
                <w:sz w:val="20"/>
              </w:rPr>
              <w:t>Halasz</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Dave</w:t>
            </w:r>
          </w:p>
        </w:tc>
        <w:tc>
          <w:tcPr>
            <w:tcW w:w="4236" w:type="dxa"/>
            <w:tcBorders/>
            <w:vAlign w:val="center"/>
          </w:tcPr>
          <w:p>
            <w:pPr>
              <w:pStyle w:val="Tabellinnehll"/>
              <w:spacing w:before="0" w:after="0"/>
              <w:rPr>
                <w:rFonts w:ascii="Arial;sans-serif" w:hAnsi="Arial;sans-serif"/>
                <w:sz w:val="20"/>
              </w:rPr>
            </w:pPr>
            <w:r>
              <w:rPr>
                <w:rFonts w:ascii="Arial;sans-serif" w:hAnsi="Arial;sans-serif"/>
                <w:sz w:val="20"/>
              </w:rPr>
              <w:t>Morse Micro</w:t>
            </w:r>
          </w:p>
        </w:tc>
        <w:tc>
          <w:tcPr>
            <w:tcW w:w="802"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bl>
    <w:p>
      <w:pPr>
        <w:pStyle w:val="ListParagraph"/>
        <w:ind w:left="0" w:hanging="0"/>
        <w:rPr>
          <w:rFonts w:ascii="Arial" w:hAnsi="Arial" w:eastAsia="Times New Roman" w:cs="Arial"/>
          <w:b/>
          <w:b/>
          <w:bCs/>
          <w:sz w:val="20"/>
          <w:szCs w:val="24"/>
        </w:rPr>
      </w:pPr>
      <w:r>
        <w:rPr/>
      </w:r>
    </w:p>
    <w:sectPr>
      <w:headerReference w:type="default" r:id="rId14"/>
      <w:footerReference w:type="default" r:id="rId15"/>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3</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clear" w:pos="6480"/>
        <w:tab w:val="center" w:pos="4680" w:leader="none"/>
        <w:tab w:val="right" w:pos="9990" w:leader="none"/>
        <w:tab w:val="right" w:pos="12960" w:leader="none"/>
      </w:tabs>
      <w:rPr/>
    </w:pPr>
    <w:r>
      <w:rPr/>
      <w:t>October 2022</w:t>
      <w:tab/>
      <w:tab/>
      <w:t>doc.: IEEE 802.18-22-0</w:t>
    </w:r>
    <w:r>
      <w:rPr/>
      <w:t>128</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basedOn w:val="DefaultParagraphFont"/>
    <w:uiPriority w:val="99"/>
    <w:unhideWhenUsed/>
    <w:rsid w:val="005f0a03"/>
    <w:rPr>
      <w:color w:val="0563C1" w:themeColor="hyperlink"/>
      <w:u w:val="single"/>
    </w:rPr>
  </w:style>
  <w:style w:type="character" w:styleId="AnvndInternetlnk" w:customStyle="1">
    <w:name w:val="Använd Internetlänk"/>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Brdtext"/>
    <w:qFormat/>
    <w:pPr>
      <w:widowControl w:val="false"/>
      <w:spacing w:before="0" w:after="0"/>
      <w:jc w:val="center"/>
    </w:pPr>
    <w:rPr>
      <w:b/>
      <w:sz w:val="20"/>
    </w:rPr>
  </w:style>
  <w:style w:type="paragraph" w:styleId="Fotnot">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23-00-0000-rr-tag-agenda-6-octo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22-00-0000-weekly-teleconference-minutes-29-september-2022.docx" TargetMode="External"/><Relationship Id="rId9" Type="http://schemas.openxmlformats.org/officeDocument/2006/relationships/hyperlink" Target="https://mentor.ieee.org/802.18/dcn/22/18-22-0035-38-0000-status-of-ongoing-consultations-and-tag-documents-for-approval.docx" TargetMode="External"/><Relationship Id="rId10" Type="http://schemas.openxmlformats.org/officeDocument/2006/relationships/hyperlink" Target="https://www.ofcom.org.uk/__data/assets/pdf_file/0027/244557/srd-policy-statement.pdf" TargetMode="External"/><Relationship Id="rId11" Type="http://schemas.openxmlformats.org/officeDocument/2006/relationships/hyperlink" Target="https://docs.fcc.gov/public/attachments/DOC-387346A1.pdf" TargetMode="External"/><Relationship Id="rId12" Type="http://schemas.openxmlformats.org/officeDocument/2006/relationships/hyperlink" Target="https://ieee802.org/16/cal-temp.html" TargetMode="External"/><Relationship Id="rId13" Type="http://schemas.openxmlformats.org/officeDocument/2006/relationships/hyperlink" Target="https://calendar.google.com/calendar/embed?src=c2gedttabtbj4bps23j4847004@group.calendar.google.com&amp;ctz=America%2FNew_Yor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6753</TotalTime>
  <Application>LibreOffice/7.3.6.2$Linux_X86_64 LibreOffice_project/30$Build-2</Application>
  <AppVersion>15.0000</AppVersion>
  <Pages>4</Pages>
  <Words>1001</Words>
  <Characters>5312</Characters>
  <CharactersWithSpaces>6177</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2022-08-19T14:07:00Z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2022-10-09T22:14:14Z</dcterms:modified>
  <cp:revision>28</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