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342"/>
        <w:gridCol w:w="2262"/>
        <w:gridCol w:w="1151"/>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rPr/>
            </w:pPr>
            <w:r>
              <w:rPr/>
              <w:t>September Mixed-Mode Interim Session 2022</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w:t>
            </w:r>
            <w:r>
              <w:rPr>
                <w:b w:val="false"/>
                <w:sz w:val="20"/>
              </w:rPr>
              <w:t>25</w:t>
            </w:r>
            <w:r>
              <w:rPr>
                <w:b w:val="false"/>
                <w:sz w:val="20"/>
              </w:rPr>
              <w:t xml:space="preserve"> September 2022</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26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115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226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w:t>
            </w:r>
            <w:r>
              <w:rPr>
                <w:b w:val="false"/>
                <w:sz w:val="20"/>
              </w:rPr>
              <w:t>Comcast</w:t>
            </w:r>
          </w:p>
        </w:tc>
        <w:tc>
          <w:tcPr>
            <w:tcW w:w="115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15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635" distB="0" distL="0" distR="0" simplePos="0" locked="0" layoutInCell="0" allowOverlap="1" relativeHeight="2" wp14:anchorId="15AD4455">
                <wp:simplePos x="0" y="0"/>
                <wp:positionH relativeFrom="column">
                  <wp:posOffset>165735</wp:posOffset>
                </wp:positionH>
                <wp:positionV relativeFrom="paragraph">
                  <wp:posOffset>27305</wp:posOffset>
                </wp:positionV>
                <wp:extent cx="6090920" cy="2853055"/>
                <wp:effectExtent l="0" t="635" r="0" b="0"/>
                <wp:wrapNone/>
                <wp:docPr id="1" name="Bild1"/>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pPr>
                            <w:r>
                              <w:rPr>
                                <w:color w:val="000000"/>
                              </w:rPr>
                              <w:t>This document constitutes the minutes of the IEEE 802.18 Technical Advisory Group from the September Mixed Mode Interim Session 2022, with on-site participants in Waikoloa, Hawaii, US, and remote participants through Webex. "Local time" in this document is intended to mean "local time" in Waikoloa, Hawaii, US.</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rPr>
                              <w:t>C:</w:t>
                            </w:r>
                            <w:r>
                              <w:rPr/>
                              <w:t xml:space="preserve"> means question from participant.</w:t>
                            </w:r>
                          </w:p>
                          <w:p>
                            <w:pPr>
                              <w:pStyle w:val="Raminnehll"/>
                              <w:rPr/>
                            </w:pPr>
                            <w:r>
                              <w:rPr>
                                <w:b/>
                                <w:bCs/>
                              </w:rPr>
                              <w:t>Chair:</w:t>
                            </w:r>
                            <w:r>
                              <w:rPr/>
                              <w:t xml:space="preserve"> means statement by the chair as chair.</w:t>
                              <w:br/>
                            </w:r>
                            <w:r>
                              <w:rPr>
                                <w:shd w:fill="FFFF00" w:val="clear"/>
                              </w:rPr>
                              <w:t>Highlight</w:t>
                            </w:r>
                            <w:r>
                              <w:rPr/>
                              <w:t xml:space="preserve"> means action point.</w:t>
                            </w:r>
                          </w:p>
                        </w:txbxContent>
                      </wps:txbx>
                      <wps:bodyPr anchor="t">
                        <a:noAutofit/>
                      </wps:bodyPr>
                    </wps:wsp>
                  </a:graphicData>
                </a:graphic>
              </wp:anchor>
            </w:drawing>
          </mc:Choice>
          <mc:Fallback>
            <w:pict>
              <v:rect id="shape_0" ID="Bild1" path="m0,0l-2147483645,0l-2147483645,-2147483646l0,-2147483646xe" fillcolor="white" stroked="f" o:allowincell="f" style="position:absolute;margin-left:13.05pt;margin-top:2.15pt;width:479.55pt;height:224.6pt;mso-wrap-style:square;v-text-anchor:top" wp14:anchorId="15AD4455">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pPr>
                      <w:r>
                        <w:rPr>
                          <w:color w:val="000000"/>
                        </w:rPr>
                        <w:t>This document constitutes the minutes of the IEEE 802.18 Technical Advisory Group from the September Mixed Mode Interim Session 2022, with on-site participants in Waikoloa, Hawaii, US, and remote participants through Webex. "Local time" in this document is intended to mean "local time" in Waikoloa, Hawaii, US.</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rPr>
                        <w:t>C:</w:t>
                      </w:r>
                      <w:r>
                        <w:rPr/>
                        <w:t xml:space="preserve"> means question from participant.</w:t>
                      </w:r>
                    </w:p>
                    <w:p>
                      <w:pPr>
                        <w:pStyle w:val="Raminnehll"/>
                        <w:rPr/>
                      </w:pPr>
                      <w:r>
                        <w:rPr>
                          <w:b/>
                          <w:bCs/>
                        </w:rPr>
                        <w:t>Chair:</w:t>
                      </w:r>
                      <w:r>
                        <w:rPr/>
                        <w:t xml:space="preserve"> means statement by the chair as chair.</w:t>
                        <w:br/>
                      </w:r>
                      <w:r>
                        <w:rPr>
                          <w:shd w:fill="FFFF00" w:val="clear"/>
                        </w:rPr>
                        <w:t>Highlight</w:t>
                      </w:r>
                      <w:r>
                        <w:rPr/>
                        <w:t xml:space="preserve"> means action point.</w:t>
                      </w:r>
                    </w:p>
                  </w:txbxContent>
                </v:textbox>
                <w10:wrap type="none"/>
              </v:rect>
            </w:pict>
          </mc:Fallback>
        </mc:AlternateContent>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pPr>
      <w:r>
        <w:rPr>
          <w:rStyle w:val="Internetlnk"/>
          <w:b w:val="false"/>
          <w:color w:val="000000"/>
          <w:sz w:val="24"/>
          <w:szCs w:val="24"/>
          <w:u w:val="none"/>
        </w:rPr>
        <w:t>Secretary: Amelia Andersdotter (Comcast)</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pPr>
      <w:r>
        <w:rPr>
          <w:rStyle w:val="Internetlnk"/>
          <w:b w:val="false"/>
          <w:color w:val="000000"/>
          <w:sz w:val="24"/>
          <w:szCs w:val="24"/>
          <w:u w:val="none"/>
        </w:rPr>
        <w:t>Secretary: Amelia Andersdotter (</w:t>
      </w:r>
      <w:r>
        <w:rPr>
          <w:rStyle w:val="Internetlnk"/>
          <w:b w:val="false"/>
          <w:color w:val="000000"/>
          <w:sz w:val="24"/>
          <w:szCs w:val="24"/>
          <w:u w:val="none"/>
        </w:rPr>
        <w:t>Sky Group/Comcast</w:t>
      </w:r>
      <w:r>
        <w:rPr>
          <w:rStyle w:val="Internetlnk"/>
          <w:b w:val="false"/>
          <w:color w:val="000000"/>
          <w:sz w:val="24"/>
          <w:szCs w:val="24"/>
          <w:u w:val="none"/>
        </w:rPr>
        <w:t>)</w:t>
      </w:r>
    </w:p>
    <w:p>
      <w:pPr>
        <w:pStyle w:val="T1"/>
        <w:spacing w:before="0" w:after="120"/>
        <w:rPr>
          <w:b w:val="false"/>
          <w:b w:val="false"/>
          <w:sz w:val="24"/>
          <w:szCs w:val="24"/>
        </w:rPr>
      </w:pPr>
      <w:r>
        <w:rPr>
          <w:b w:val="false"/>
          <w:sz w:val="24"/>
          <w:szCs w:val="24"/>
        </w:rPr>
        <w:t>IEEE SA Program Manager:  Jodi Hassz (IEEE SA)</w:t>
      </w:r>
    </w:p>
    <w:p>
      <w:pPr>
        <w:pStyle w:val="Normal"/>
        <w:jc w:val="center"/>
        <w:rPr/>
      </w:pPr>
      <w:r>
        <w:rPr>
          <w:sz w:val="24"/>
          <w:szCs w:val="24"/>
        </w:rPr>
        <w:t xml:space="preserve">IEEE 802.18, RR-TAG website:  </w:t>
      </w:r>
      <w:hyperlink r:id="rId3">
        <w:r>
          <w:rPr>
            <w:rStyle w:val="Internetlnk"/>
            <w:sz w:val="24"/>
            <w:szCs w:val="24"/>
          </w:rPr>
          <w:t>https://www.ieee802.org/18/</w:t>
        </w:r>
      </w:hyperlink>
      <w:r>
        <w:rPr>
          <w:sz w:val="24"/>
          <w:szCs w:val="24"/>
        </w:rPr>
        <w:t xml:space="preserve"> .</w:t>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rPr/>
      </w:pPr>
      <w:r>
        <w:rPr>
          <w:b/>
          <w:bCs/>
          <w:sz w:val="30"/>
          <w:szCs w:val="30"/>
          <w:u w:val="single"/>
        </w:rPr>
        <w:t>Opening plenary</w:t>
      </w:r>
      <w:r>
        <w:rPr>
          <w:sz w:val="24"/>
          <w:szCs w:val="24"/>
        </w:rPr>
        <w:br/>
      </w:r>
    </w:p>
    <w:p>
      <w:pPr>
        <w:pStyle w:val="Normal"/>
        <w:spacing w:before="0" w:after="0"/>
        <w:ind w:left="360" w:hanging="0"/>
        <w:contextualSpacing/>
        <w:rPr>
          <w:sz w:val="24"/>
          <w:szCs w:val="24"/>
        </w:rPr>
      </w:pPr>
      <w:r>
        <w:rPr>
          <w:sz w:val="24"/>
          <w:szCs w:val="24"/>
        </w:rPr>
      </w:r>
    </w:p>
    <w:p>
      <w:pPr>
        <w:pStyle w:val="Normal"/>
        <w:numPr>
          <w:ilvl w:val="0"/>
          <w:numId w:val="1"/>
        </w:numPr>
        <w:spacing w:before="0" w:after="0"/>
        <w:contextualSpacing/>
        <w:rPr/>
      </w:pPr>
      <w:r>
        <w:rPr>
          <w:sz w:val="24"/>
          <w:szCs w:val="24"/>
        </w:rPr>
        <w:t>Chair calls the meeting to order at 10:36 local time.</w:t>
      </w:r>
    </w:p>
    <w:p>
      <w:pPr>
        <w:pStyle w:val="Normal"/>
        <w:spacing w:before="0" w:after="0"/>
        <w:ind w:left="360" w:hanging="0"/>
        <w:contextualSpacing/>
        <w:rPr/>
      </w:pPr>
      <w:r>
        <w:rPr>
          <w:sz w:val="24"/>
          <w:szCs w:val="24"/>
        </w:rPr>
        <w:br/>
        <w:t xml:space="preserve">Agenda slide deck </w:t>
      </w:r>
      <w:hyperlink r:id="rId4">
        <w:r>
          <w:rPr>
            <w:rStyle w:val="Internetlnk"/>
            <w:sz w:val="24"/>
            <w:szCs w:val="24"/>
          </w:rPr>
          <w:t>18/22-0090r2</w:t>
        </w:r>
      </w:hyperlink>
      <w:r>
        <w:rPr>
          <w:rStyle w:val="Internetlnk"/>
          <w:sz w:val="24"/>
          <w:szCs w:val="24"/>
        </w:rPr>
        <w:br/>
      </w:r>
    </w:p>
    <w:p>
      <w:pPr>
        <w:pStyle w:val="Normal"/>
        <w:numPr>
          <w:ilvl w:val="0"/>
          <w:numId w:val="1"/>
        </w:numPr>
        <w:spacing w:before="0" w:after="0"/>
        <w:contextualSpacing/>
        <w:rPr>
          <w:sz w:val="24"/>
          <w:szCs w:val="24"/>
        </w:rPr>
      </w:pPr>
      <w:r>
        <w:rPr>
          <w:sz w:val="24"/>
          <w:szCs w:val="24"/>
        </w:rPr>
        <w:t>Chair presents administrative items</w:t>
      </w:r>
    </w:p>
    <w:p>
      <w:pPr>
        <w:pStyle w:val="Normal"/>
        <w:numPr>
          <w:ilvl w:val="1"/>
          <w:numId w:val="2"/>
        </w:numPr>
        <w:spacing w:before="0" w:after="0"/>
        <w:contextualSpacing/>
        <w:rPr>
          <w:bCs/>
          <w:sz w:val="24"/>
          <w:szCs w:val="24"/>
        </w:rPr>
      </w:pPr>
      <w:r>
        <w:rPr>
          <w:bCs/>
          <w:sz w:val="24"/>
          <w:szCs w:val="24"/>
        </w:rPr>
        <w:t>This meeting is part of the IEEE 802 electronic wireless interim session in 11 September to 16 September 2022.</w:t>
      </w:r>
    </w:p>
    <w:p>
      <w:pPr>
        <w:pStyle w:val="Normal"/>
        <w:numPr>
          <w:ilvl w:val="2"/>
          <w:numId w:val="2"/>
        </w:numPr>
        <w:spacing w:before="0" w:after="0"/>
        <w:contextualSpacing/>
        <w:rPr/>
      </w:pPr>
      <w:r>
        <w:rPr>
          <w:sz w:val="24"/>
          <w:szCs w:val="24"/>
        </w:rPr>
        <w:t xml:space="preserve">You </w:t>
      </w:r>
      <w:r>
        <w:rPr>
          <w:b/>
          <w:bCs/>
          <w:sz w:val="24"/>
          <w:szCs w:val="24"/>
        </w:rPr>
        <w:t>must</w:t>
      </w:r>
      <w:r>
        <w:rPr>
          <w:sz w:val="24"/>
          <w:szCs w:val="24"/>
        </w:rPr>
        <w:t xml:space="preserve"> pay the registration fee in order to attend</w:t>
      </w:r>
    </w:p>
    <w:p>
      <w:pPr>
        <w:pStyle w:val="Normal"/>
        <w:numPr>
          <w:ilvl w:val="2"/>
          <w:numId w:val="2"/>
        </w:numPr>
        <w:spacing w:before="0" w:after="0"/>
        <w:contextualSpacing/>
        <w:rPr>
          <w:color w:val="0563C1"/>
          <w:sz w:val="24"/>
          <w:szCs w:val="24"/>
          <w:u w:val="single"/>
        </w:rPr>
      </w:pPr>
      <w:r>
        <w:rPr>
          <w:sz w:val="24"/>
          <w:szCs w:val="24"/>
        </w:rPr>
        <w:t xml:space="preserve">If you have not already done so, you can register w/Face to Face Events – Registration website at:  </w:t>
      </w:r>
    </w:p>
    <w:p>
      <w:pPr>
        <w:pStyle w:val="Normal"/>
        <w:spacing w:before="0" w:after="0"/>
        <w:ind w:left="2160" w:hanging="0"/>
        <w:contextualSpacing/>
        <w:rPr>
          <w:color w:val="0563C1"/>
          <w:sz w:val="24"/>
          <w:szCs w:val="24"/>
          <w:u w:val="single"/>
        </w:rPr>
      </w:pPr>
      <w:r>
        <w:rPr>
          <w:color w:val="0563C1"/>
          <w:sz w:val="24"/>
          <w:szCs w:val="24"/>
          <w:u w:val="single"/>
        </w:rPr>
        <w:t xml:space="preserve">https://web.cvent.com/event/ae5c1e5a-6074-492a-9cd7-16b5ddc15864/ </w:t>
      </w:r>
    </w:p>
    <w:p>
      <w:pPr>
        <w:pStyle w:val="Normal"/>
        <w:numPr>
          <w:ilvl w:val="2"/>
          <w:numId w:val="2"/>
        </w:numPr>
        <w:spacing w:before="0" w:after="0"/>
        <w:contextualSpacing/>
        <w:rPr/>
      </w:pPr>
      <w:hyperlink r:id="rId5">
        <w:r>
          <w:rPr>
            <w:sz w:val="24"/>
            <w:szCs w:val="24"/>
          </w:rPr>
          <w:t xml:space="preserve"> </w:t>
        </w:r>
      </w:hyperlink>
    </w:p>
    <w:p>
      <w:pPr>
        <w:pStyle w:val="Normal"/>
        <w:numPr>
          <w:ilvl w:val="2"/>
          <w:numId w:val="2"/>
        </w:numPr>
        <w:spacing w:before="0" w:after="0"/>
        <w:contextualSpacing/>
        <w:rPr>
          <w:sz w:val="24"/>
          <w:szCs w:val="24"/>
        </w:rPr>
      </w:pPr>
      <w:r>
        <w:rPr>
          <w:sz w:val="24"/>
          <w:szCs w:val="24"/>
        </w:rPr>
        <w:t>If you do not intend to register for this session you must leave this meeting and, if you have logged attendance on IMAT, please email the 802.18 chair or a vice chair to have your attendance cancelled</w:t>
      </w:r>
    </w:p>
    <w:p>
      <w:pPr>
        <w:pStyle w:val="Normal"/>
        <w:numPr>
          <w:ilvl w:val="2"/>
          <w:numId w:val="2"/>
        </w:numPr>
        <w:spacing w:before="0" w:after="0"/>
        <w:contextualSpacing/>
        <w:rPr>
          <w:sz w:val="24"/>
          <w:szCs w:val="24"/>
        </w:rPr>
      </w:pPr>
      <w:r>
        <w:rPr>
          <w:sz w:val="24"/>
          <w:szCs w:val="24"/>
        </w:rPr>
        <w:t xml:space="preserve">At conclusion of each of the 802.18 calls, the Webex log and IMAT will be reviewed.  </w:t>
      </w:r>
    </w:p>
    <w:p>
      <w:pPr>
        <w:pStyle w:val="Normal"/>
        <w:numPr>
          <w:ilvl w:val="2"/>
          <w:numId w:val="2"/>
        </w:numPr>
        <w:spacing w:before="0" w:after="0"/>
        <w:contextualSpacing/>
        <w:rPr>
          <w:bCs/>
          <w:sz w:val="24"/>
          <w:szCs w:val="24"/>
        </w:rPr>
      </w:pPr>
      <w:r>
        <w:rPr>
          <w:bCs/>
          <w:sz w:val="24"/>
          <w:szCs w:val="24"/>
        </w:rPr>
        <w:t xml:space="preserve">No payment, become dead beat and lose voting rights in all groups, after 60-day grace. </w:t>
      </w:r>
    </w:p>
    <w:p>
      <w:pPr>
        <w:pStyle w:val="Normal"/>
        <w:numPr>
          <w:ilvl w:val="1"/>
          <w:numId w:val="2"/>
        </w:numPr>
        <w:spacing w:before="0" w:after="0"/>
        <w:contextualSpacing/>
        <w:rPr>
          <w:bCs/>
          <w:sz w:val="24"/>
          <w:szCs w:val="24"/>
        </w:rPr>
      </w:pPr>
      <w:r>
        <w:rPr>
          <w:bCs/>
          <w:sz w:val="24"/>
          <w:szCs w:val="24"/>
        </w:rPr>
        <w:t>Group officers and voting membership</w:t>
      </w:r>
    </w:p>
    <w:p>
      <w:pPr>
        <w:pStyle w:val="Normal"/>
        <w:numPr>
          <w:ilvl w:val="2"/>
          <w:numId w:val="2"/>
        </w:numPr>
        <w:spacing w:before="0" w:after="0"/>
        <w:contextualSpacing/>
        <w:rPr/>
      </w:pPr>
      <w:r>
        <w:rPr/>
        <w:t xml:space="preserve">  </w:t>
      </w:r>
      <w:r>
        <w:rPr/>
        <w:t xml:space="preserve">Voters:  47 (8 on LMSC) </w:t>
      </w:r>
    </w:p>
    <w:p>
      <w:pPr>
        <w:pStyle w:val="Normal"/>
        <w:numPr>
          <w:ilvl w:val="2"/>
          <w:numId w:val="2"/>
        </w:numPr>
        <w:spacing w:before="0" w:after="0"/>
        <w:contextualSpacing/>
        <w:rPr/>
      </w:pPr>
      <w:r>
        <w:rPr/>
        <w:t xml:space="preserve">  </w:t>
      </w:r>
      <w:r>
        <w:rPr/>
        <w:t>Nearly Voters:  0</w:t>
      </w:r>
    </w:p>
    <w:p>
      <w:pPr>
        <w:pStyle w:val="Normal"/>
        <w:numPr>
          <w:ilvl w:val="2"/>
          <w:numId w:val="2"/>
        </w:numPr>
        <w:spacing w:before="0" w:after="0"/>
        <w:contextualSpacing/>
        <w:rPr/>
      </w:pPr>
      <w:r>
        <w:rPr/>
        <w:t xml:space="preserve">  </w:t>
      </w:r>
      <w:r>
        <w:rPr/>
        <w:t>Aspirant members: 9</w:t>
      </w:r>
    </w:p>
    <w:p>
      <w:pPr>
        <w:pStyle w:val="Normal"/>
        <w:numPr>
          <w:ilvl w:val="2"/>
          <w:numId w:val="2"/>
        </w:numPr>
        <w:spacing w:before="0" w:after="0"/>
        <w:contextualSpacing/>
        <w:rPr/>
      </w:pPr>
      <w:r>
        <w:rPr/>
        <w:t xml:space="preserve">  </w:t>
      </w:r>
      <w:hyperlink r:id="rId6">
        <w:r>
          <w:rPr>
            <w:rStyle w:val="Internetlnk"/>
          </w:rPr>
          <w:t>802.18 Voters List</w:t>
        </w:r>
      </w:hyperlink>
    </w:p>
    <w:p>
      <w:pPr>
        <w:pStyle w:val="Normal"/>
        <w:numPr>
          <w:ilvl w:val="1"/>
          <w:numId w:val="2"/>
        </w:numPr>
        <w:spacing w:before="0" w:after="0"/>
        <w:contextualSpacing/>
        <w:rPr/>
      </w:pPr>
      <w:r>
        <w:rPr>
          <w:sz w:val="24"/>
          <w:szCs w:val="24"/>
        </w:rPr>
        <w:t>RR-TAG Policies &amp; Procedures [</w:t>
      </w:r>
      <w:hyperlink r:id="rId7">
        <w:r>
          <w:rPr>
            <w:rStyle w:val="Internetlnk"/>
            <w:sz w:val="24"/>
            <w:szCs w:val="24"/>
            <w:lang w:val="nl-NL"/>
          </w:rPr>
          <w:t>8</w:t>
        </w:r>
      </w:hyperlink>
      <w:hyperlink r:id="rId8">
        <w:r>
          <w:rPr>
            <w:rStyle w:val="Internetlnk"/>
            <w:szCs w:val="22"/>
            <w:lang w:val="nl-NL"/>
          </w:rPr>
          <w:t>02 LMSC WG P&amp;P</w:t>
        </w:r>
      </w:hyperlink>
      <w:r>
        <w:rPr>
          <w:szCs w:val="22"/>
          <w:lang w:val="nl-NL"/>
        </w:rPr>
        <w:t>]</w:t>
      </w:r>
    </w:p>
    <w:p>
      <w:pPr>
        <w:pStyle w:val="Normal"/>
        <w:numPr>
          <w:ilvl w:val="1"/>
          <w:numId w:val="2"/>
        </w:numPr>
        <w:spacing w:before="60" w:after="60"/>
        <w:contextualSpacing/>
        <w:rPr/>
      </w:pPr>
      <w:r>
        <w:rPr>
          <w:bCs/>
          <w:sz w:val="24"/>
          <w:szCs w:val="24"/>
        </w:rPr>
        <w:t>IEEE 802 meeting and participant’s guidelines and requirements [</w:t>
      </w:r>
      <w:hyperlink r:id="rId9">
        <w:r>
          <w:rPr>
            <w:rStyle w:val="Internetlnk"/>
            <w:bCs/>
            <w:sz w:val="24"/>
            <w:szCs w:val="24"/>
          </w:rPr>
          <w:t>link</w:t>
        </w:r>
      </w:hyperlink>
      <w:r>
        <w:rPr>
          <w:bCs/>
          <w:sz w:val="24"/>
          <w:szCs w:val="24"/>
        </w:rPr>
        <w:t>]</w:t>
      </w:r>
    </w:p>
    <w:p>
      <w:pPr>
        <w:pStyle w:val="Normal"/>
        <w:numPr>
          <w:ilvl w:val="1"/>
          <w:numId w:val="2"/>
        </w:numPr>
        <w:spacing w:before="60" w:after="60"/>
        <w:contextualSpacing/>
        <w:rPr/>
      </w:pPr>
      <w:r>
        <w:rPr>
          <w:bCs/>
          <w:sz w:val="24"/>
          <w:szCs w:val="24"/>
        </w:rPr>
        <w:t>IEEE policies and procedures [</w:t>
      </w:r>
      <w:hyperlink r:id="rId10">
        <w:r>
          <w:rPr>
            <w:rStyle w:val="Internetlnk"/>
            <w:bCs/>
            <w:sz w:val="24"/>
            <w:szCs w:val="24"/>
          </w:rPr>
          <w:t>link</w:t>
        </w:r>
      </w:hyperlink>
      <w:r>
        <w:rPr>
          <w:bCs/>
          <w:sz w:val="24"/>
          <w:szCs w:val="24"/>
        </w:rPr>
        <w:t>]</w:t>
      </w:r>
    </w:p>
    <w:p>
      <w:pPr>
        <w:pStyle w:val="Normal"/>
        <w:numPr>
          <w:ilvl w:val="1"/>
          <w:numId w:val="2"/>
        </w:numPr>
        <w:spacing w:before="60" w:after="60"/>
        <w:contextualSpacing/>
        <w:rPr/>
      </w:pPr>
      <w:r>
        <w:rPr>
          <w:b/>
          <w:bCs/>
          <w:sz w:val="24"/>
          <w:szCs w:val="24"/>
        </w:rPr>
        <w:t xml:space="preserve">Reminder that IMAT </w:t>
      </w:r>
      <w:r>
        <w:rPr>
          <w:b/>
          <w:bCs/>
          <w:sz w:val="24"/>
          <w:szCs w:val="24"/>
          <w:u w:val="single"/>
        </w:rPr>
        <w:t>is</w:t>
      </w:r>
      <w:r>
        <w:rPr>
          <w:b/>
          <w:bCs/>
          <w:sz w:val="24"/>
          <w:szCs w:val="24"/>
        </w:rPr>
        <w:t xml:space="preserve"> being used for attendance</w:t>
      </w:r>
    </w:p>
    <w:p>
      <w:pPr>
        <w:pStyle w:val="Normal"/>
        <w:numPr>
          <w:ilvl w:val="1"/>
          <w:numId w:val="2"/>
        </w:numPr>
        <w:spacing w:before="0" w:after="0"/>
        <w:contextualSpacing/>
        <w:rPr>
          <w:bCs/>
          <w:sz w:val="24"/>
          <w:szCs w:val="24"/>
        </w:rPr>
      </w:pPr>
      <w:r>
        <w:rPr>
          <w:bCs/>
          <w:sz w:val="24"/>
          <w:szCs w:val="24"/>
        </w:rPr>
        <w:t>Online meeting procedures reminder</w:t>
        <w:br/>
        <w:t xml:space="preserve"> </w:t>
      </w:r>
    </w:p>
    <w:p>
      <w:pPr>
        <w:pStyle w:val="Normal"/>
        <w:spacing w:before="0" w:after="0"/>
        <w:contextualSpacing/>
        <w:rPr>
          <w:bCs/>
          <w:sz w:val="24"/>
          <w:szCs w:val="24"/>
        </w:rPr>
      </w:pPr>
      <w:r>
        <w:rPr>
          <w:bCs/>
          <w:sz w:val="24"/>
          <w:szCs w:val="24"/>
        </w:rPr>
        <w:t xml:space="preserve">Chair asks group if there are any questions relating to the IEEE policies. No response, no comments on WebEx Chat window.  </w:t>
      </w:r>
    </w:p>
    <w:p>
      <w:pPr>
        <w:pStyle w:val="Normal"/>
        <w:spacing w:before="0" w:after="0"/>
        <w:ind w:left="360" w:hanging="0"/>
        <w:contextualSpacing/>
        <w:rPr>
          <w:sz w:val="24"/>
          <w:szCs w:val="24"/>
        </w:rPr>
      </w:pPr>
      <w:r>
        <w:rPr>
          <w:sz w:val="24"/>
          <w:szCs w:val="24"/>
        </w:rPr>
      </w:r>
    </w:p>
    <w:p>
      <w:pPr>
        <w:pStyle w:val="Normal"/>
        <w:numPr>
          <w:ilvl w:val="0"/>
          <w:numId w:val="1"/>
        </w:numPr>
        <w:spacing w:before="0" w:after="0"/>
        <w:contextualSpacing/>
        <w:rPr/>
      </w:pPr>
      <w:r>
        <w:rPr>
          <w:sz w:val="24"/>
          <w:szCs w:val="24"/>
        </w:rPr>
        <w:t>Chair presents the agenda (slide #12). No comments or questions on the agenda.</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sz w:val="24"/>
          <w:szCs w:val="24"/>
        </w:rPr>
      </w:pPr>
      <w:r>
        <w:rPr>
          <w:sz w:val="24"/>
          <w:szCs w:val="24"/>
        </w:rPr>
        <w:t>Administrative:</w:t>
        <w:br/>
      </w:r>
    </w:p>
    <w:p>
      <w:pPr>
        <w:pStyle w:val="Normal"/>
        <w:numPr>
          <w:ilvl w:val="1"/>
          <w:numId w:val="1"/>
        </w:numPr>
        <w:tabs>
          <w:tab w:val="left" w:pos="720" w:leader="none"/>
        </w:tabs>
        <w:spacing w:before="0" w:after="0"/>
        <w:contextualSpacing/>
        <w:rPr/>
      </w:pPr>
      <w:r>
        <w:rPr>
          <w:b/>
          <w:bCs/>
          <w:sz w:val="24"/>
          <w:szCs w:val="24"/>
        </w:rPr>
        <w:t xml:space="preserve">Motion #1 (internal): </w:t>
      </w:r>
      <w:r>
        <w:rPr>
          <w:sz w:val="24"/>
          <w:szCs w:val="24"/>
        </w:rPr>
        <w:t>To approve the agenda as shown on previous slide</w:t>
      </w:r>
    </w:p>
    <w:p>
      <w:pPr>
        <w:pStyle w:val="Normal"/>
        <w:spacing w:before="0" w:after="0"/>
        <w:ind w:left="1440" w:hanging="0"/>
        <w:contextualSpacing/>
        <w:rPr>
          <w:sz w:val="24"/>
          <w:szCs w:val="24"/>
        </w:rPr>
      </w:pPr>
      <w:r>
        <w:rPr>
          <w:sz w:val="24"/>
          <w:szCs w:val="24"/>
        </w:rPr>
        <w:t>Moved by:</w:t>
        <w:tab/>
        <w:t>Stuart Kerry</w:t>
      </w:r>
    </w:p>
    <w:p>
      <w:pPr>
        <w:pStyle w:val="Normal"/>
        <w:spacing w:before="0" w:after="0"/>
        <w:ind w:left="1440" w:hanging="0"/>
        <w:contextualSpacing/>
        <w:rPr/>
      </w:pPr>
      <w:r>
        <w:rPr>
          <w:sz w:val="24"/>
          <w:szCs w:val="24"/>
        </w:rPr>
        <w:t xml:space="preserve">Seconded by: </w:t>
        <w:tab/>
      </w:r>
      <w:r>
        <w:rPr>
          <w:rStyle w:val="Internetlnk"/>
          <w:bCs/>
          <w:color w:val="000000"/>
          <w:sz w:val="24"/>
          <w:szCs w:val="24"/>
          <w:u w:val="none"/>
        </w:rPr>
        <w:t>Hassan Yaghoobi</w:t>
      </w:r>
    </w:p>
    <w:p>
      <w:pPr>
        <w:pStyle w:val="Normal"/>
        <w:spacing w:before="0" w:after="0"/>
        <w:ind w:left="1440" w:hanging="0"/>
        <w:contextualSpacing/>
        <w:rPr>
          <w:sz w:val="24"/>
          <w:szCs w:val="24"/>
        </w:rPr>
      </w:pPr>
      <w:r>
        <w:rPr>
          <w:sz w:val="24"/>
          <w:szCs w:val="24"/>
        </w:rPr>
        <w:t xml:space="preserve">Discussion?  </w:t>
        <w:tab/>
        <w:t>None</w:t>
      </w:r>
    </w:p>
    <w:p>
      <w:pPr>
        <w:pStyle w:val="Normal"/>
        <w:spacing w:before="0" w:after="0"/>
        <w:ind w:left="1440" w:hanging="0"/>
        <w:contextualSpacing/>
        <w:rPr>
          <w:sz w:val="24"/>
          <w:szCs w:val="24"/>
        </w:rPr>
      </w:pPr>
      <w:r>
        <w:rPr>
          <w:sz w:val="24"/>
          <w:szCs w:val="24"/>
        </w:rPr>
        <w:t>Vote:  Approved with unanimous consent</w:t>
      </w:r>
    </w:p>
    <w:p>
      <w:pPr>
        <w:pStyle w:val="Normal"/>
        <w:spacing w:before="0" w:after="0"/>
        <w:ind w:left="1440" w:hanging="0"/>
        <w:contextualSpacing/>
        <w:rPr/>
      </w:pPr>
      <w:r>
        <w:rPr/>
      </w:r>
    </w:p>
    <w:p>
      <w:pPr>
        <w:pStyle w:val="Normal"/>
        <w:numPr>
          <w:ilvl w:val="1"/>
          <w:numId w:val="1"/>
        </w:numPr>
        <w:rPr/>
      </w:pPr>
      <w:r>
        <w:rPr>
          <w:sz w:val="24"/>
          <w:szCs w:val="24"/>
        </w:rPr>
        <w:t>Chair presented the meeting minutes from RR-TAG 2022 July Mixed Mode Plenary session. No questions or comment.</w:t>
        <w:br/>
      </w:r>
      <w:r>
        <w:rPr>
          <w:b/>
          <w:bCs/>
          <w:sz w:val="24"/>
          <w:szCs w:val="24"/>
        </w:rPr>
        <w:br/>
        <w:t>Motion #2 (internal):</w:t>
      </w:r>
      <w:r>
        <w:rPr>
          <w:sz w:val="24"/>
          <w:szCs w:val="24"/>
        </w:rPr>
        <w:t xml:space="preserve"> To approve the meeting minutes of the RR-TAG 2022 July Mixed Mode Plenary session as shown in the document </w:t>
      </w:r>
      <w:hyperlink r:id="rId11">
        <w:r>
          <w:rPr>
            <w:rStyle w:val="Internetlnk"/>
            <w:sz w:val="24"/>
            <w:szCs w:val="24"/>
          </w:rPr>
          <w:t>18-22/0076r1</w:t>
        </w:r>
      </w:hyperlink>
      <w:r>
        <w:rPr>
          <w:sz w:val="24"/>
          <w:szCs w:val="24"/>
        </w:rPr>
        <w:t>, with editorial privilege for the 802.18 Chair.</w:t>
      </w:r>
    </w:p>
    <w:p>
      <w:pPr>
        <w:pStyle w:val="Normal"/>
        <w:spacing w:before="0" w:after="0"/>
        <w:ind w:left="1440" w:hanging="0"/>
        <w:contextualSpacing/>
        <w:rPr/>
      </w:pPr>
      <w:r>
        <w:rPr>
          <w:sz w:val="24"/>
          <w:szCs w:val="24"/>
        </w:rPr>
        <w:t xml:space="preserve">Moved by: </w:t>
        <w:tab/>
        <w:t>kiwin Palm</w:t>
      </w:r>
    </w:p>
    <w:p>
      <w:pPr>
        <w:pStyle w:val="Normal"/>
        <w:spacing w:before="0" w:after="0"/>
        <w:ind w:left="1440" w:hanging="0"/>
        <w:contextualSpacing/>
        <w:rPr/>
      </w:pPr>
      <w:r>
        <w:rPr>
          <w:sz w:val="24"/>
          <w:szCs w:val="24"/>
        </w:rPr>
        <w:t xml:space="preserve">Seconded by: </w:t>
        <w:tab/>
        <w:t>Al Petrick</w:t>
      </w:r>
    </w:p>
    <w:p>
      <w:pPr>
        <w:pStyle w:val="Normal"/>
        <w:spacing w:before="0" w:after="0"/>
        <w:ind w:left="1440" w:hanging="0"/>
        <w:contextualSpacing/>
        <w:rPr>
          <w:sz w:val="24"/>
          <w:szCs w:val="24"/>
        </w:rPr>
      </w:pPr>
      <w:r>
        <w:rPr>
          <w:sz w:val="24"/>
          <w:szCs w:val="24"/>
        </w:rPr>
        <w:t>Discussion?  None.</w:t>
      </w:r>
    </w:p>
    <w:p>
      <w:pPr>
        <w:pStyle w:val="Normal"/>
        <w:spacing w:before="0" w:after="0"/>
        <w:ind w:left="1440" w:hanging="0"/>
        <w:contextualSpacing/>
        <w:rPr/>
      </w:pPr>
      <w:r>
        <w:rPr>
          <w:sz w:val="24"/>
          <w:szCs w:val="24"/>
        </w:rPr>
        <w:t>Vote:  Approved with unanimous consent</w:t>
      </w:r>
      <w:r>
        <w:rPr>
          <w:b/>
          <w:bCs/>
          <w:sz w:val="24"/>
          <w:szCs w:val="24"/>
        </w:rPr>
        <w:br/>
      </w:r>
    </w:p>
    <w:p>
      <w:pPr>
        <w:pStyle w:val="ListParagraph"/>
        <w:numPr>
          <w:ilvl w:val="0"/>
          <w:numId w:val="1"/>
        </w:numPr>
        <w:spacing w:before="0" w:after="0"/>
        <w:contextualSpacing/>
        <w:rPr/>
      </w:pPr>
      <w:r>
        <w:rPr>
          <w:b/>
          <w:bCs/>
          <w:sz w:val="24"/>
          <w:szCs w:val="24"/>
        </w:rPr>
        <w:t>Presentation of 802.18 opening report (</w:t>
      </w:r>
      <w:hyperlink r:id="rId12">
        <w:r>
          <w:rPr>
            <w:rStyle w:val="Internetlnk"/>
            <w:b/>
            <w:bCs/>
            <w:sz w:val="24"/>
            <w:szCs w:val="24"/>
          </w:rPr>
          <w:t>18-22-0091r0</w:t>
        </w:r>
      </w:hyperlink>
      <w:r>
        <w:rPr>
          <w:b/>
          <w:bCs/>
          <w:sz w:val="24"/>
          <w:szCs w:val="24"/>
        </w:rPr>
        <w:t>), Edward Au (Chair)</w:t>
        <w:br/>
        <w:br/>
      </w:r>
      <w:r>
        <w:rPr>
          <w:sz w:val="24"/>
          <w:szCs w:val="24"/>
        </w:rPr>
        <w:t>Chair presented progress since the plenary meeting in July.</w:t>
        <w:br/>
      </w:r>
    </w:p>
    <w:p>
      <w:pPr>
        <w:pStyle w:val="ListParagraph"/>
        <w:numPr>
          <w:ilvl w:val="0"/>
          <w:numId w:val="1"/>
        </w:numPr>
        <w:spacing w:before="0" w:after="0"/>
        <w:contextualSpacing/>
        <w:rPr/>
      </w:pPr>
      <w:r>
        <w:rPr>
          <w:b/>
          <w:bCs/>
          <w:sz w:val="24"/>
          <w:szCs w:val="24"/>
        </w:rPr>
        <w:t>Report from mmWave Ad-hoc, Rich Kennedy (Ad-hoc chair)</w:t>
        <w:br/>
        <w:br/>
      </w:r>
      <w:r>
        <w:rPr>
          <w:sz w:val="24"/>
          <w:szCs w:val="24"/>
        </w:rPr>
        <w:t>Clarification on ETSI standards.</w:t>
        <w:br/>
      </w:r>
      <w:r>
        <w:rPr>
          <w:b/>
          <w:bCs/>
          <w:sz w:val="24"/>
          <w:szCs w:val="24"/>
        </w:rPr>
        <w:t>Q:</w:t>
      </w:r>
      <w:r>
        <w:rPr>
          <w:sz w:val="24"/>
          <w:szCs w:val="24"/>
        </w:rPr>
        <w:t xml:space="preserve"> We already have IEEE 802.11ay for 60GHz. what additional use here?</w:t>
        <w:br/>
      </w:r>
      <w:r>
        <w:rPr>
          <w:b/>
          <w:bCs/>
          <w:sz w:val="24"/>
          <w:szCs w:val="24"/>
        </w:rPr>
        <w:t>A:</w:t>
      </w:r>
      <w:r>
        <w:rPr>
          <w:sz w:val="24"/>
          <w:szCs w:val="24"/>
        </w:rPr>
        <w:t xml:space="preserve"> UHR </w:t>
      </w:r>
      <w:r>
        <w:rPr>
          <w:i/>
          <w:iCs/>
          <w:sz w:val="24"/>
          <w:szCs w:val="24"/>
        </w:rPr>
        <w:t>[expected next larger 802.11 amendment, sec. note]</w:t>
      </w:r>
      <w:r>
        <w:rPr>
          <w:sz w:val="24"/>
          <w:szCs w:val="24"/>
        </w:rPr>
        <w:t xml:space="preserve"> will not use existing amendments. It's newm so we will give them new info. IEEE 802.11aj and IEEE 802.11ay may be used by them, but they may have limitations.</w:t>
        <w:br/>
      </w:r>
      <w:r>
        <w:rPr>
          <w:b/>
          <w:bCs/>
          <w:sz w:val="24"/>
          <w:szCs w:val="24"/>
        </w:rPr>
        <w:t>Q:</w:t>
      </w:r>
      <w:r>
        <w:rPr>
          <w:sz w:val="24"/>
          <w:szCs w:val="24"/>
        </w:rPr>
        <w:t xml:space="preserve"> is there any changes in regulation since those amendments?</w:t>
        <w:br/>
      </w:r>
      <w:r>
        <w:rPr>
          <w:b/>
          <w:bCs/>
          <w:sz w:val="24"/>
          <w:szCs w:val="24"/>
        </w:rPr>
        <w:t>A:</w:t>
      </w:r>
      <w:r>
        <w:rPr>
          <w:sz w:val="24"/>
          <w:szCs w:val="24"/>
        </w:rPr>
        <w:t xml:space="preserve"> no. the bands are still available as when IEEE 802.11aj or IEEE 802.11ay was formed.</w:t>
        <w:br/>
        <w:br/>
      </w:r>
      <w:r>
        <w:rPr>
          <w:b/>
          <w:bCs/>
          <w:sz w:val="24"/>
          <w:szCs w:val="24"/>
        </w:rPr>
        <w:t>Motion #3 (External):</w:t>
      </w:r>
      <w:r>
        <w:rPr>
          <w:sz w:val="24"/>
          <w:szCs w:val="24"/>
        </w:rPr>
        <w:t xml:space="preserve"> Move to approve forwarding the document </w:t>
      </w:r>
      <w:hyperlink r:id="rId13">
        <w:r>
          <w:rPr>
            <w:rStyle w:val="Internetlnk"/>
            <w:sz w:val="24"/>
            <w:szCs w:val="24"/>
          </w:rPr>
          <w:t>11-22/1398r4</w:t>
        </w:r>
      </w:hyperlink>
      <w:r>
        <w:rPr>
          <w:sz w:val="24"/>
          <w:szCs w:val="24"/>
        </w:rPr>
        <w:t xml:space="preserve"> to the IEEE 802.11 Ultra High Reliability Study Group for presentation and discussion.</w:t>
        <w:br/>
        <w:br/>
        <w:t>Moved: Rich Kennedy</w:t>
        <w:br/>
        <w:t>Seconded: Stuart Kerry</w:t>
        <w:br/>
        <w:t>Discussion? None.</w:t>
        <w:br/>
        <w:t>Attendees: 16</w:t>
        <w:br/>
        <w:t>Voters: 14</w:t>
        <w:br/>
        <w:t>Vote: 10 Y, 2 N, 2 A (The Chair did not vote)</w:t>
        <w:br/>
        <w:br/>
        <w:t>Preliminarily passed.</w:t>
        <w:br/>
      </w:r>
      <w:r>
        <w:rPr>
          <w:b/>
          <w:bCs/>
          <w:sz w:val="24"/>
          <w:szCs w:val="24"/>
        </w:rPr>
        <w:br/>
      </w:r>
    </w:p>
    <w:p>
      <w:pPr>
        <w:pStyle w:val="ListParagraph"/>
        <w:numPr>
          <w:ilvl w:val="0"/>
          <w:numId w:val="1"/>
        </w:numPr>
        <w:spacing w:before="0" w:after="0"/>
        <w:contextualSpacing/>
        <w:rPr/>
      </w:pPr>
      <w:r>
        <w:rPr>
          <w:b/>
          <w:bCs/>
          <w:sz w:val="24"/>
          <w:szCs w:val="24"/>
        </w:rPr>
        <w:t>Status of ongoing consultations (</w:t>
      </w:r>
      <w:hyperlink r:id="rId14">
        <w:r>
          <w:rPr>
            <w:rStyle w:val="Internetlnk"/>
            <w:b/>
            <w:bCs/>
            <w:sz w:val="24"/>
            <w:szCs w:val="24"/>
          </w:rPr>
          <w:t>18-22/0035r33</w:t>
        </w:r>
      </w:hyperlink>
      <w:r>
        <w:rPr>
          <w:b/>
          <w:bCs/>
          <w:sz w:val="24"/>
          <w:szCs w:val="24"/>
        </w:rPr>
        <w:t>)</w:t>
      </w:r>
      <w:r>
        <w:rPr>
          <w:sz w:val="24"/>
          <w:szCs w:val="24"/>
        </w:rPr>
        <w:t xml:space="preserve"> contains the status of ongoing consultations along with internal deadlines for EC approval and external approval.</w:t>
        <w:br/>
      </w:r>
    </w:p>
    <w:p>
      <w:pPr>
        <w:pStyle w:val="ListParagraph"/>
        <w:numPr>
          <w:ilvl w:val="0"/>
          <w:numId w:val="1"/>
        </w:numPr>
        <w:spacing w:before="0" w:after="0"/>
        <w:contextualSpacing/>
        <w:rPr/>
      </w:pPr>
      <w:r>
        <w:rPr>
          <w:b/>
          <w:sz w:val="24"/>
          <w:szCs w:val="24"/>
        </w:rPr>
        <w:t xml:space="preserve">Proposed Response to Ofcom call for input on UK preparation for World Radiocommunications Conference 2023, </w:t>
      </w:r>
      <w:hyperlink r:id="rId15">
        <w:r>
          <w:rPr>
            <w:rStyle w:val="Internetlnk"/>
            <w:b/>
            <w:sz w:val="24"/>
            <w:szCs w:val="24"/>
          </w:rPr>
          <w:t>18-22-0111r0</w:t>
        </w:r>
      </w:hyperlink>
      <w:r>
        <w:rPr>
          <w:b/>
          <w:sz w:val="24"/>
          <w:szCs w:val="24"/>
        </w:rPr>
        <w:t>, Hassan Yaghoobi (Intel Corp.)</w:t>
        <w:br/>
        <w:br/>
      </w:r>
      <w:r>
        <w:rPr>
          <w:sz w:val="24"/>
          <w:szCs w:val="24"/>
        </w:rPr>
        <w:t>Presentation of the draft response.</w:t>
        <w:br/>
        <w:br/>
        <w:t>Some comments to be resolved.</w:t>
        <w:br/>
        <w:br/>
      </w:r>
      <w:r>
        <w:rPr>
          <w:b/>
          <w:bCs/>
          <w:sz w:val="24"/>
          <w:szCs w:val="24"/>
        </w:rPr>
        <w:t>C:</w:t>
      </w:r>
      <w:r>
        <w:rPr>
          <w:sz w:val="24"/>
          <w:szCs w:val="24"/>
        </w:rPr>
        <w:t xml:space="preserve"> Agree security should be highlighted.</w:t>
        <w:br/>
      </w:r>
      <w:r>
        <w:rPr>
          <w:b/>
          <w:bCs/>
          <w:sz w:val="24"/>
          <w:szCs w:val="24"/>
        </w:rPr>
        <w:t>C:</w:t>
      </w:r>
      <w:r>
        <w:rPr>
          <w:sz w:val="24"/>
          <w:szCs w:val="24"/>
        </w:rPr>
        <w:t xml:space="preserve"> ECC Report 316 also contains good information.</w:t>
        <w:br/>
      </w:r>
      <w:r>
        <w:rPr>
          <w:b/>
          <w:bCs/>
          <w:sz w:val="24"/>
          <w:szCs w:val="24"/>
        </w:rPr>
        <w:t>A:</w:t>
      </w:r>
      <w:r>
        <w:rPr>
          <w:sz w:val="24"/>
          <w:szCs w:val="24"/>
        </w:rPr>
        <w:t xml:space="preserve"> Will check, revise draft and get back.</w:t>
      </w:r>
      <w:r>
        <w:rPr>
          <w:b/>
          <w:sz w:val="24"/>
          <w:szCs w:val="24"/>
        </w:rPr>
        <w:br/>
      </w:r>
    </w:p>
    <w:p>
      <w:pPr>
        <w:pStyle w:val="ListParagraph"/>
        <w:numPr>
          <w:ilvl w:val="0"/>
          <w:numId w:val="1"/>
        </w:numPr>
        <w:spacing w:before="0" w:after="0"/>
        <w:contextualSpacing/>
        <w:rPr/>
      </w:pPr>
      <w:r>
        <w:rPr>
          <w:b/>
          <w:sz w:val="24"/>
          <w:szCs w:val="24"/>
        </w:rPr>
        <w:t>Recess at 12:10pm local time</w:t>
        <w:br/>
        <w:br/>
      </w:r>
      <w:r>
        <w:rPr>
          <w:b/>
          <w:sz w:val="30"/>
          <w:szCs w:val="30"/>
          <w:u w:val="single"/>
        </w:rPr>
        <w:t>Closing plenary</w:t>
        <w:br/>
      </w:r>
    </w:p>
    <w:p>
      <w:pPr>
        <w:pStyle w:val="ListParagraph"/>
        <w:numPr>
          <w:ilvl w:val="0"/>
          <w:numId w:val="1"/>
        </w:numPr>
        <w:spacing w:before="0" w:after="0"/>
        <w:contextualSpacing/>
        <w:rPr/>
      </w:pPr>
      <w:r>
        <w:rPr>
          <w:b/>
          <w:bCs/>
          <w:sz w:val="24"/>
          <w:szCs w:val="24"/>
        </w:rPr>
        <w:t>Chair calls meeting to order at 08:02 local time</w:t>
        <w:br/>
        <w:br/>
      </w:r>
      <w:r>
        <w:rPr>
          <w:sz w:val="24"/>
          <w:szCs w:val="24"/>
        </w:rPr>
        <w:t xml:space="preserve">Agenda slide-deck: </w:t>
      </w:r>
      <w:hyperlink r:id="rId16">
        <w:r>
          <w:rPr>
            <w:rStyle w:val="Internetlnk"/>
            <w:sz w:val="24"/>
            <w:szCs w:val="24"/>
          </w:rPr>
          <w:t>18-22-0090r4</w:t>
        </w:r>
      </w:hyperlink>
      <w:r>
        <w:rPr>
          <w:b/>
          <w:bCs/>
          <w:sz w:val="24"/>
          <w:szCs w:val="24"/>
        </w:rPr>
        <w:br/>
      </w:r>
    </w:p>
    <w:p>
      <w:pPr>
        <w:pStyle w:val="ListParagraph"/>
        <w:numPr>
          <w:ilvl w:val="0"/>
          <w:numId w:val="1"/>
        </w:numPr>
        <w:spacing w:before="0" w:after="0"/>
        <w:contextualSpacing/>
        <w:rPr/>
      </w:pPr>
      <w:r>
        <w:rPr>
          <w:b/>
          <w:bCs/>
          <w:sz w:val="24"/>
          <w:szCs w:val="24"/>
        </w:rPr>
        <w:t>Chair presents administrative items</w:t>
        <w:br/>
        <w:br/>
      </w:r>
      <w:r>
        <w:rPr>
          <w:sz w:val="24"/>
          <w:szCs w:val="24"/>
        </w:rPr>
        <w:t>See above para. 2)</w:t>
        <w:br/>
        <w:br/>
        <w:t xml:space="preserve">Reminder of registration fee was presented. </w:t>
        <w:br/>
        <w:br/>
        <w:t xml:space="preserve">Chair asked group if there were any questions on the policies, procedures or conditions applicable to this meeting. </w:t>
        <w:br/>
      </w:r>
    </w:p>
    <w:p>
      <w:pPr>
        <w:pStyle w:val="ListParagraph"/>
        <w:numPr>
          <w:ilvl w:val="0"/>
          <w:numId w:val="1"/>
        </w:numPr>
        <w:spacing w:before="0" w:after="0"/>
        <w:contextualSpacing/>
        <w:rPr>
          <w:sz w:val="24"/>
          <w:szCs w:val="24"/>
        </w:rPr>
      </w:pPr>
      <w:r>
        <w:rPr>
          <w:b/>
          <w:bCs/>
          <w:sz w:val="24"/>
          <w:szCs w:val="24"/>
        </w:rPr>
        <w:t>Administrative motions</w:t>
      </w:r>
      <w:r>
        <w:rPr>
          <w:sz w:val="24"/>
          <w:szCs w:val="24"/>
        </w:rPr>
        <w:br/>
      </w:r>
    </w:p>
    <w:p>
      <w:pPr>
        <w:pStyle w:val="ListParagraph"/>
        <w:numPr>
          <w:ilvl w:val="1"/>
          <w:numId w:val="1"/>
        </w:numPr>
        <w:spacing w:before="0" w:after="0"/>
        <w:contextualSpacing/>
        <w:rPr/>
      </w:pPr>
      <w:r>
        <w:rPr>
          <w:b/>
          <w:bCs/>
          <w:sz w:val="24"/>
          <w:szCs w:val="24"/>
        </w:rPr>
        <w:t xml:space="preserve">Motion #4 (internal): </w:t>
      </w:r>
      <w:r>
        <w:rPr>
          <w:sz w:val="24"/>
          <w:szCs w:val="24"/>
        </w:rPr>
        <w:t>To approve the agenda as shown on previous slide</w:t>
      </w:r>
    </w:p>
    <w:p>
      <w:pPr>
        <w:pStyle w:val="Normal"/>
        <w:spacing w:before="0" w:after="0"/>
        <w:ind w:left="1440" w:hanging="0"/>
        <w:contextualSpacing/>
        <w:rPr/>
      </w:pPr>
      <w:r>
        <w:rPr>
          <w:sz w:val="24"/>
          <w:szCs w:val="24"/>
        </w:rPr>
        <w:t>Moved by:</w:t>
        <w:tab/>
        <w:t>kiwin Palm</w:t>
      </w:r>
    </w:p>
    <w:p>
      <w:pPr>
        <w:pStyle w:val="Normal"/>
        <w:spacing w:before="0" w:after="0"/>
        <w:ind w:left="1440" w:hanging="0"/>
        <w:contextualSpacing/>
        <w:rPr/>
      </w:pPr>
      <w:r>
        <w:rPr>
          <w:sz w:val="24"/>
          <w:szCs w:val="24"/>
        </w:rPr>
        <w:t xml:space="preserve">Seconded by: </w:t>
        <w:tab/>
      </w:r>
      <w:r>
        <w:rPr>
          <w:rStyle w:val="Internetlnk"/>
          <w:bCs/>
          <w:color w:val="000000"/>
          <w:sz w:val="24"/>
          <w:szCs w:val="24"/>
          <w:u w:val="none"/>
        </w:rPr>
        <w:t>Stuart Kerry</w:t>
      </w:r>
    </w:p>
    <w:p>
      <w:pPr>
        <w:pStyle w:val="Normal"/>
        <w:spacing w:before="0" w:after="0"/>
        <w:ind w:left="1440" w:hanging="0"/>
        <w:contextualSpacing/>
        <w:rPr>
          <w:sz w:val="24"/>
          <w:szCs w:val="24"/>
        </w:rPr>
      </w:pPr>
      <w:r>
        <w:rPr>
          <w:sz w:val="24"/>
          <w:szCs w:val="24"/>
        </w:rPr>
        <w:t xml:space="preserve">Discussion?  </w:t>
        <w:tab/>
        <w:t>None</w:t>
      </w:r>
    </w:p>
    <w:p>
      <w:pPr>
        <w:pStyle w:val="Normal"/>
        <w:spacing w:before="0" w:after="0"/>
        <w:ind w:left="1440" w:hanging="0"/>
        <w:contextualSpacing/>
        <w:rPr>
          <w:sz w:val="24"/>
          <w:szCs w:val="24"/>
        </w:rPr>
      </w:pPr>
      <w:r>
        <w:rPr>
          <w:sz w:val="24"/>
          <w:szCs w:val="24"/>
        </w:rPr>
        <w:t>Vote:  Approved with unanimous consent</w:t>
        <w:br/>
      </w:r>
    </w:p>
    <w:p>
      <w:pPr>
        <w:pStyle w:val="Normal"/>
        <w:numPr>
          <w:ilvl w:val="0"/>
          <w:numId w:val="1"/>
        </w:numPr>
        <w:spacing w:before="0" w:after="0"/>
        <w:ind w:left="0" w:hanging="0"/>
        <w:contextualSpacing/>
        <w:rPr/>
      </w:pPr>
      <w:r>
        <w:rPr>
          <w:b/>
          <w:bCs/>
          <w:sz w:val="24"/>
          <w:szCs w:val="24"/>
        </w:rPr>
        <w:t>Updated proposed response to Ofcom's consultation on WRC-23</w:t>
        <w:br/>
        <w:br/>
      </w:r>
      <w:r>
        <w:rPr>
          <w:sz w:val="24"/>
          <w:szCs w:val="24"/>
        </w:rPr>
        <w:t>Discussion on revision 2 and 3 of draft response. Small editorials. R4 before motion.</w:t>
        <w:br/>
        <w:br/>
      </w:r>
      <w:r>
        <w:rPr>
          <w:b/>
          <w:bCs/>
          <w:sz w:val="24"/>
          <w:szCs w:val="24"/>
        </w:rPr>
        <w:t>C:</w:t>
      </w:r>
      <w:r>
        <w:rPr>
          <w:sz w:val="24"/>
          <w:szCs w:val="24"/>
        </w:rPr>
        <w:t xml:space="preserve"> We can refer to world-wide studies on using the entire 1.2 GHz range to mitigate interference, and to Europe for section 6.2.6 in ECC Report 302.</w:t>
        <w:br/>
      </w:r>
      <w:r>
        <w:rPr>
          <w:b/>
          <w:bCs/>
          <w:sz w:val="24"/>
          <w:szCs w:val="24"/>
        </w:rPr>
        <w:t>C:</w:t>
      </w:r>
      <w:r>
        <w:rPr>
          <w:sz w:val="24"/>
          <w:szCs w:val="24"/>
        </w:rPr>
        <w:t xml:space="preserve"> OK.</w:t>
        <w:br/>
      </w:r>
      <w:r>
        <w:rPr>
          <w:b/>
          <w:bCs/>
          <w:sz w:val="24"/>
          <w:szCs w:val="24"/>
        </w:rPr>
        <w:t>Chair:</w:t>
      </w:r>
      <w:r>
        <w:rPr>
          <w:sz w:val="24"/>
          <w:szCs w:val="24"/>
        </w:rPr>
        <w:t xml:space="preserve"> Please upload r4 with these changes.</w:t>
        <w:br/>
      </w:r>
    </w:p>
    <w:p>
      <w:pPr>
        <w:pStyle w:val="Normal"/>
        <w:numPr>
          <w:ilvl w:val="0"/>
          <w:numId w:val="1"/>
        </w:numPr>
        <w:spacing w:before="0" w:after="0"/>
        <w:ind w:left="0" w:hanging="0"/>
        <w:contextualSpacing/>
        <w:rPr/>
      </w:pPr>
      <w:r>
        <w:rPr>
          <w:b/>
          <w:bCs/>
          <w:sz w:val="24"/>
          <w:szCs w:val="24"/>
        </w:rPr>
        <w:t>Update on Spectrum Statement Update</w:t>
        <w:br/>
        <w:br/>
      </w:r>
      <w:r>
        <w:rPr>
          <w:sz w:val="24"/>
          <w:szCs w:val="24"/>
        </w:rPr>
        <w:t xml:space="preserve">Chair presents a re-cap of the work of ISUS Ad-hoc progress and recommendations. </w:t>
        <w:br/>
        <w:br/>
      </w:r>
      <w:r>
        <w:rPr>
          <w:b/>
          <w:bCs/>
          <w:sz w:val="24"/>
          <w:szCs w:val="24"/>
        </w:rPr>
        <w:t>C:</w:t>
      </w:r>
      <w:r>
        <w:rPr>
          <w:sz w:val="24"/>
          <w:szCs w:val="24"/>
        </w:rPr>
        <w:t xml:space="preserve"> Having a discussion with EC members might help better understand how we can shape these discussions in future, and whether we rather need an entirely new statement. </w:t>
        <w:br/>
      </w:r>
    </w:p>
    <w:p>
      <w:pPr>
        <w:pStyle w:val="Normal"/>
        <w:numPr>
          <w:ilvl w:val="0"/>
          <w:numId w:val="1"/>
        </w:numPr>
        <w:spacing w:before="0" w:after="0"/>
        <w:ind w:left="0" w:hanging="0"/>
        <w:contextualSpacing/>
        <w:rPr/>
      </w:pPr>
      <w:r>
        <w:rPr>
          <w:b/>
          <w:bCs/>
          <w:sz w:val="24"/>
          <w:szCs w:val="24"/>
        </w:rPr>
        <w:t>Ofcom WRC-23 consultation response</w:t>
        <w:br/>
        <w:br/>
      </w:r>
      <w:r>
        <w:rPr>
          <w:sz w:val="24"/>
          <w:szCs w:val="24"/>
        </w:rPr>
        <w:t xml:space="preserve">In </w:t>
      </w:r>
      <w:hyperlink r:id="rId17">
        <w:r>
          <w:rPr>
            <w:rStyle w:val="Internetlnk"/>
            <w:sz w:val="24"/>
            <w:szCs w:val="24"/>
          </w:rPr>
          <w:t>18-22-0114r4</w:t>
        </w:r>
      </w:hyperlink>
      <w:r>
        <w:rPr>
          <w:sz w:val="24"/>
          <w:szCs w:val="24"/>
        </w:rPr>
        <w:t xml:space="preserve"> the final draft (see above para. 13) is contained.</w:t>
        <w:br/>
        <w:br/>
      </w:r>
      <w:r>
        <w:rPr>
          <w:b/>
          <w:bCs/>
          <w:sz w:val="24"/>
          <w:szCs w:val="24"/>
        </w:rPr>
        <w:t>Motion #5 (External):</w:t>
      </w:r>
      <w:r>
        <w:rPr>
          <w:sz w:val="24"/>
          <w:szCs w:val="24"/>
        </w:rPr>
        <w:t xml:space="preserve">  Move to approve document </w:t>
      </w:r>
      <w:hyperlink r:id="rId18">
        <w:r>
          <w:rPr>
            <w:rStyle w:val="Internetlnk"/>
            <w:sz w:val="24"/>
            <w:szCs w:val="24"/>
          </w:rPr>
          <w:t>18-22/0114r</w:t>
        </w:r>
      </w:hyperlink>
      <w:hyperlink r:id="rId19">
        <w:r>
          <w:rPr>
            <w:rStyle w:val="Internetlnk"/>
            <w:sz w:val="24"/>
            <w:szCs w:val="24"/>
          </w:rPr>
          <w:t>4</w:t>
        </w:r>
      </w:hyperlink>
      <w:r>
        <w:rPr>
          <w:sz w:val="24"/>
          <w:szCs w:val="24"/>
        </w:rPr>
        <w:t xml:space="preserve"> in response to UK Ofcom’s consultation “Call for input: UK preparations for the World Radiocommunication Conference 2023 (WRC-23)” for review and approval by the IEEE LMSC (802 EC) for submission to UK Ofcom by the response deadline. The IEEE 802.18 Chair is authorized to make editorial changes as necessary.</w:t>
        <w:br/>
        <w:br/>
        <w:t>Moved: Amelia Andersdotter</w:t>
        <w:br/>
        <w:t>Seconded: Hassan Yaghoobi</w:t>
        <w:br/>
        <w:t>Discussion:</w:t>
        <w:br/>
        <w:t>Attendees: 17</w:t>
        <w:br/>
        <w:t>Voters (present): 14</w:t>
        <w:br/>
        <w:t>Result: 14 Y / 0 N / 1 A / 1 Did not vote (Chair did not vote)</w:t>
        <w:br/>
      </w:r>
    </w:p>
    <w:p>
      <w:pPr>
        <w:pStyle w:val="Normal"/>
        <w:numPr>
          <w:ilvl w:val="0"/>
          <w:numId w:val="1"/>
        </w:numPr>
        <w:spacing w:before="0" w:after="0"/>
        <w:ind w:left="0" w:hanging="0"/>
        <w:contextualSpacing/>
        <w:rPr>
          <w:b/>
          <w:b/>
          <w:bCs/>
          <w:sz w:val="24"/>
          <w:szCs w:val="24"/>
        </w:rPr>
      </w:pPr>
      <w:r>
        <w:rPr>
          <w:b/>
          <w:bCs/>
          <w:sz w:val="24"/>
          <w:szCs w:val="24"/>
        </w:rPr>
        <w:t>General discussion items</w:t>
      </w:r>
    </w:p>
    <w:p>
      <w:pPr>
        <w:pStyle w:val="Normal"/>
        <w:numPr>
          <w:ilvl w:val="1"/>
          <w:numId w:val="1"/>
        </w:numPr>
        <w:spacing w:before="0" w:after="0"/>
        <w:ind w:left="0" w:hanging="0"/>
        <w:contextualSpacing/>
        <w:rPr/>
      </w:pPr>
      <w:r>
        <w:rPr>
          <w:b/>
          <w:bCs/>
          <w:sz w:val="24"/>
          <w:szCs w:val="24"/>
        </w:rPr>
        <w:t>Europe</w:t>
        <w:br/>
        <w:tab/>
        <w:br/>
      </w:r>
      <w:r>
        <w:rPr>
          <w:sz w:val="24"/>
          <w:szCs w:val="24"/>
        </w:rPr>
        <w:t xml:space="preserve">ETSI BRAN had its plenary meeting between 5-9 September 2022. The goal of sending new standards to ENAP was not met. </w:t>
        <w:br/>
        <w:br/>
        <w:t>In two cases relating to 60 GHz and TVWS, the European Commission sent comments to ETSI TC BRAN. Until ETSI TC BRAN responds to these comments, the EC will not list these standards in the OJEU. Responding to the EC's comments, however, does not guarantee that the EC's will list the standards in the OJEU. This procedure has caused discussions on the EC assessment procedure involving ETSI, CEN-CENELEC and the EC.</w:t>
        <w:br/>
        <w:br/>
        <w:t>Ad-hoc meetings are scheduled for three hours on 7, 8 and 10 November 2022 respectively.</w:t>
        <w:br/>
        <w:br/>
        <w:t>This may enable the launch of new ENAP procedures by December 2022.</w:t>
        <w:br/>
        <w:br/>
      </w:r>
      <w:r>
        <w:rPr>
          <w:b/>
          <w:bCs/>
          <w:sz w:val="24"/>
          <w:szCs w:val="24"/>
        </w:rPr>
        <w:t>C:</w:t>
      </w:r>
      <w:r>
        <w:rPr>
          <w:sz w:val="24"/>
          <w:szCs w:val="24"/>
        </w:rPr>
        <w:t xml:space="preserve"> After the European Commission (EC) assessment, we want the 6 GHz submitted for ENAP. In the first ENAP we already had feedback, and we addressed those.</w:t>
        <w:br/>
      </w:r>
    </w:p>
    <w:p>
      <w:pPr>
        <w:pStyle w:val="Normal"/>
        <w:numPr>
          <w:ilvl w:val="1"/>
          <w:numId w:val="1"/>
        </w:numPr>
        <w:spacing w:before="0" w:after="0"/>
        <w:ind w:left="0" w:hanging="0"/>
        <w:contextualSpacing/>
        <w:rPr/>
      </w:pPr>
      <w:r>
        <w:rPr>
          <w:b/>
          <w:bCs/>
          <w:sz w:val="24"/>
          <w:szCs w:val="24"/>
        </w:rPr>
        <w:t>Americas</w:t>
        <w:br/>
        <w:br/>
      </w:r>
      <w:r>
        <w:rPr>
          <w:sz w:val="24"/>
          <w:szCs w:val="24"/>
        </w:rPr>
        <w:t>Information on the next open FCC meeting (29 September).</w:t>
        <w:br/>
        <w:br/>
        <w:t>The FCC has signed a Memorandum of Understanding with Body of European Regulators for Electronic Communications (BEREC) on future of communications and combatting unwanted robocalls.</w:t>
      </w:r>
      <w:r>
        <w:rPr>
          <w:b/>
          <w:bCs/>
          <w:sz w:val="24"/>
          <w:szCs w:val="24"/>
        </w:rPr>
        <w:br/>
        <w:br/>
      </w:r>
      <w:r>
        <w:rPr>
          <w:sz w:val="24"/>
          <w:szCs w:val="24"/>
        </w:rPr>
        <w:t>Chile Ministry of interior and public security has allowed unlicensed use in the entire 6 GHz band (up to 7125 MHz). This permission was withdrawn on 14 September 2022 and now only covers the lower half of the 6 GHz band.</w:t>
        <w:br/>
        <w:br/>
        <w:t xml:space="preserve">Dominican Republic announced earlier in the week 11-16 that they will adopt the entire 1.2 GHz in upper 6 GHz bands for RLAN communications. </w:t>
        <w:br/>
      </w:r>
    </w:p>
    <w:p>
      <w:pPr>
        <w:pStyle w:val="Normal"/>
        <w:numPr>
          <w:ilvl w:val="1"/>
          <w:numId w:val="1"/>
        </w:numPr>
        <w:spacing w:before="0" w:after="0"/>
        <w:ind w:left="0" w:hanging="0"/>
        <w:contextualSpacing/>
        <w:rPr/>
      </w:pPr>
      <w:r>
        <w:rPr>
          <w:b/>
          <w:bCs/>
          <w:sz w:val="24"/>
          <w:szCs w:val="24"/>
        </w:rPr>
        <w:t>Asia/Pacific</w:t>
        <w:br/>
        <w:br/>
      </w:r>
      <w:r>
        <w:rPr>
          <w:sz w:val="24"/>
          <w:szCs w:val="24"/>
        </w:rPr>
        <w:t>Australian government has published a 5-year outlook 2022-2027 for spectrum use. The conclusion is to continue to monitor the development on the upper 6 GHz. They also indicate willingness to explore the use of AFC.</w:t>
        <w:br/>
      </w:r>
    </w:p>
    <w:p>
      <w:pPr>
        <w:pStyle w:val="Normal"/>
        <w:numPr>
          <w:ilvl w:val="1"/>
          <w:numId w:val="1"/>
        </w:numPr>
        <w:spacing w:before="0" w:after="0"/>
        <w:ind w:left="0" w:hanging="0"/>
        <w:contextualSpacing/>
        <w:rPr>
          <w:b/>
          <w:b/>
          <w:bCs/>
          <w:sz w:val="24"/>
          <w:szCs w:val="24"/>
        </w:rPr>
      </w:pPr>
      <w:r>
        <w:rPr>
          <w:b/>
          <w:bCs/>
          <w:sz w:val="24"/>
          <w:szCs w:val="24"/>
        </w:rPr>
        <w:t>Other regions/ITU-R</w:t>
        <w:br/>
      </w:r>
    </w:p>
    <w:p>
      <w:pPr>
        <w:pStyle w:val="Normal"/>
        <w:numPr>
          <w:ilvl w:val="0"/>
          <w:numId w:val="1"/>
        </w:numPr>
        <w:spacing w:before="0" w:after="0"/>
        <w:ind w:left="0" w:hanging="0"/>
        <w:contextualSpacing/>
        <w:rPr/>
      </w:pPr>
      <w:r>
        <w:rPr>
          <w:b/>
          <w:bCs/>
          <w:sz w:val="24"/>
          <w:szCs w:val="24"/>
        </w:rPr>
        <w:t>Reminder about next meeting (Thailand November plenary)</w:t>
        <w:br/>
        <w:br/>
      </w:r>
      <w:r>
        <w:rPr>
          <w:sz w:val="24"/>
          <w:szCs w:val="24"/>
        </w:rPr>
        <w:t xml:space="preserve">Reminder of registration requirements, cancellation fees and hotel. </w:t>
        <w:br/>
      </w:r>
    </w:p>
    <w:p>
      <w:pPr>
        <w:pStyle w:val="Normal"/>
        <w:numPr>
          <w:ilvl w:val="0"/>
          <w:numId w:val="1"/>
        </w:numPr>
        <w:spacing w:before="0" w:after="0"/>
        <w:ind w:left="0" w:hanging="0"/>
        <w:contextualSpacing/>
        <w:rPr/>
      </w:pPr>
      <w:r>
        <w:rPr>
          <w:b/>
          <w:bCs/>
          <w:sz w:val="24"/>
          <w:szCs w:val="24"/>
        </w:rPr>
        <w:t>Reminder of future teleconferences</w:t>
      </w:r>
      <w:r>
        <w:rPr>
          <w:sz w:val="24"/>
          <w:szCs w:val="24"/>
        </w:rPr>
        <w:br/>
        <w:br/>
        <w:t xml:space="preserve">Reminder of future teleconferences. </w:t>
      </w:r>
      <w:r>
        <w:rPr>
          <w:b/>
          <w:sz w:val="24"/>
          <w:szCs w:val="24"/>
        </w:rPr>
        <w:br/>
      </w:r>
    </w:p>
    <w:p>
      <w:pPr>
        <w:pStyle w:val="Normal"/>
        <w:numPr>
          <w:ilvl w:val="0"/>
          <w:numId w:val="1"/>
        </w:numPr>
        <w:spacing w:before="0" w:after="0"/>
        <w:contextualSpacing/>
        <w:rPr>
          <w:b/>
          <w:b/>
          <w:sz w:val="24"/>
          <w:szCs w:val="24"/>
        </w:rPr>
      </w:pPr>
      <w:r>
        <w:rPr>
          <w:b/>
          <w:sz w:val="24"/>
          <w:szCs w:val="24"/>
        </w:rPr>
        <w:t>Any other business</w:t>
      </w:r>
    </w:p>
    <w:p>
      <w:pPr>
        <w:pStyle w:val="Normal"/>
        <w:spacing w:before="0" w:after="0"/>
        <w:ind w:left="720" w:hanging="0"/>
        <w:contextualSpacing/>
        <w:rPr/>
      </w:pPr>
      <w:r>
        <w:rPr>
          <w:sz w:val="24"/>
          <w:szCs w:val="24"/>
        </w:rPr>
        <w:br/>
        <w:t xml:space="preserve">Question on the rules of the membership for IEEE 802.18. With two sessions in one week, it is necessary to attend both the opening and closing plenary of the IEEE 802.18 during a meeting week. Otherwise the 75%+ attendance credit is not met. </w:t>
        <w:br/>
        <w:t>Chair responds that there is reciprocal credit granted between IEEE 802.11 and IEEE 802.18.</w:t>
        <w:br/>
      </w:r>
      <w:r>
        <w:rPr>
          <w:b/>
          <w:bCs/>
          <w:sz w:val="24"/>
          <w:szCs w:val="24"/>
          <w:shd w:fill="FFFF00" w:val="clear"/>
        </w:rPr>
        <w:t xml:space="preserve">Action item for Chair: </w:t>
      </w:r>
      <w:r>
        <w:rPr>
          <w:sz w:val="24"/>
          <w:szCs w:val="24"/>
          <w:shd w:fill="FFFF00" w:val="clear"/>
        </w:rPr>
        <w:t>follow up with the IEEE 802.11 and IEEE 802.15 Working Group Chairs to clarify the long-term situation on reciprocal credit for attendees that participate in both 802.11, 802.15 and 802.18.</w:t>
        <w:br/>
      </w:r>
      <w:r>
        <w:rPr>
          <w:b/>
          <w:bCs/>
          <w:sz w:val="24"/>
          <w:szCs w:val="24"/>
          <w:shd w:fill="FFFF00" w:val="clear"/>
        </w:rPr>
        <w:t>Note:</w:t>
      </w:r>
      <w:r>
        <w:rPr>
          <w:sz w:val="24"/>
          <w:szCs w:val="24"/>
          <w:shd w:fill="FFFF00" w:val="clear"/>
        </w:rPr>
        <w:t xml:space="preserve"> One week's notice for reciprocal credit is insufficient. </w:t>
      </w:r>
    </w:p>
    <w:p>
      <w:pPr>
        <w:pStyle w:val="Normal"/>
        <w:spacing w:before="0" w:after="0"/>
        <w:ind w:left="720" w:hanging="0"/>
        <w:contextualSpacing/>
        <w:rPr>
          <w:sz w:val="24"/>
          <w:szCs w:val="24"/>
        </w:rPr>
      </w:pPr>
      <w:r>
        <w:rPr>
          <w:sz w:val="24"/>
          <w:szCs w:val="24"/>
        </w:rPr>
        <w:t xml:space="preserve">Comment that selective reciprocal credit being possible (for instance selecting certain 802.11 sessions that give reciprocal credit, and other sessions which don't) is unacceptable. This would cause 802.18 Chair to be in the position of favourising certain participants over others, based on whether the Chair finds their 802.11 activities valuable or not. </w:t>
        <w:br/>
        <w:t>There are two sets of rules: the operations manual of 802, and the operations manuals of .11 and .15. Grants of reciprocal attendance needs to be clear.</w:t>
      </w:r>
    </w:p>
    <w:p>
      <w:pPr>
        <w:pStyle w:val="Normal"/>
        <w:spacing w:before="0" w:after="0"/>
        <w:ind w:left="720" w:hanging="0"/>
        <w:contextualSpacing/>
        <w:rPr>
          <w:sz w:val="24"/>
          <w:szCs w:val="24"/>
        </w:rPr>
      </w:pPr>
      <w:r>
        <w:rPr>
          <w:sz w:val="24"/>
          <w:szCs w:val="24"/>
        </w:rPr>
        <w:br/>
        <w:t>Reminder to sign into IMAT.</w:t>
      </w:r>
    </w:p>
    <w:p>
      <w:pPr>
        <w:pStyle w:val="Normal"/>
        <w:spacing w:before="0" w:after="0"/>
        <w:ind w:left="720" w:hanging="0"/>
        <w:contextualSpacing/>
        <w:rPr>
          <w:sz w:val="24"/>
          <w:szCs w:val="24"/>
        </w:rPr>
      </w:pPr>
      <w:r>
        <w:rPr>
          <w:sz w:val="24"/>
          <w:szCs w:val="24"/>
        </w:rPr>
      </w:r>
    </w:p>
    <w:p>
      <w:pPr>
        <w:pStyle w:val="Normal"/>
        <w:numPr>
          <w:ilvl w:val="0"/>
          <w:numId w:val="1"/>
        </w:numPr>
        <w:spacing w:before="0" w:after="0"/>
        <w:contextualSpacing/>
        <w:rPr>
          <w:sz w:val="24"/>
          <w:szCs w:val="24"/>
        </w:rPr>
      </w:pPr>
      <w:r>
        <w:rPr>
          <w:b/>
          <w:sz w:val="24"/>
          <w:szCs w:val="24"/>
        </w:rPr>
        <w:t>Final administrative items</w:t>
      </w:r>
    </w:p>
    <w:p>
      <w:pPr>
        <w:pStyle w:val="Normal"/>
        <w:numPr>
          <w:ilvl w:val="1"/>
          <w:numId w:val="1"/>
        </w:numPr>
        <w:spacing w:before="0" w:after="0"/>
        <w:contextualSpacing/>
        <w:rPr>
          <w:color w:val="000000"/>
          <w:sz w:val="24"/>
          <w:szCs w:val="24"/>
        </w:rPr>
      </w:pPr>
      <w:r>
        <w:rPr>
          <w:color w:val="000000"/>
          <w:sz w:val="24"/>
          <w:szCs w:val="24"/>
        </w:rPr>
        <w:t xml:space="preserve">Next weekly teleconference call scheduled for: 22 September 2022, 15h00 ET. </w:t>
      </w:r>
    </w:p>
    <w:p>
      <w:pPr>
        <w:pStyle w:val="Normal"/>
        <w:numPr>
          <w:ilvl w:val="3"/>
          <w:numId w:val="1"/>
        </w:numPr>
        <w:spacing w:before="0" w:after="0"/>
        <w:contextualSpacing/>
        <w:rPr/>
      </w:pPr>
      <w:r>
        <w:rPr>
          <w:color w:val="000000"/>
          <w:sz w:val="24"/>
          <w:szCs w:val="24"/>
        </w:rPr>
        <w:t xml:space="preserve">Call in info: </w:t>
      </w:r>
      <w:r>
        <w:rPr>
          <w:rStyle w:val="Internetlnk"/>
          <w:color w:val="000000"/>
          <w:sz w:val="24"/>
          <w:szCs w:val="24"/>
        </w:rPr>
        <w:t>https://mentor.ieee.org/802.18/dcn/16/18-16-0038-26-0000-teleconference-call-in-info.pptx</w:t>
      </w:r>
    </w:p>
    <w:p>
      <w:pPr>
        <w:pStyle w:val="Normal"/>
        <w:numPr>
          <w:ilvl w:val="3"/>
          <w:numId w:val="1"/>
        </w:numPr>
        <w:spacing w:before="0" w:after="0"/>
        <w:contextualSpacing/>
        <w:rPr>
          <w:color w:val="000000"/>
          <w:sz w:val="24"/>
          <w:szCs w:val="24"/>
        </w:rPr>
      </w:pPr>
      <w:r>
        <w:rPr>
          <w:color w:val="000000"/>
          <w:sz w:val="24"/>
          <w:szCs w:val="24"/>
        </w:rPr>
        <w:t>IEEE 802 plenary is 13-18 November 2022 in Bangkok, Thailand</w:t>
      </w:r>
      <w:bookmarkStart w:id="0" w:name="_GoBack"/>
      <w:bookmarkEnd w:id="0"/>
      <w:r>
        <w:rPr>
          <w:color w:val="000000"/>
          <w:sz w:val="24"/>
          <w:szCs w:val="24"/>
        </w:rPr>
        <w:t xml:space="preserve">.  </w:t>
      </w:r>
    </w:p>
    <w:p>
      <w:pPr>
        <w:pStyle w:val="Normal"/>
        <w:numPr>
          <w:ilvl w:val="3"/>
          <w:numId w:val="1"/>
        </w:numPr>
        <w:spacing w:before="0" w:after="0"/>
        <w:contextualSpacing/>
        <w:rPr>
          <w:color w:val="000000"/>
          <w:sz w:val="24"/>
          <w:szCs w:val="24"/>
        </w:rPr>
      </w:pPr>
      <w:r>
        <w:rPr>
          <w:color w:val="000000"/>
          <w:sz w:val="24"/>
          <w:szCs w:val="24"/>
        </w:rPr>
        <w:t xml:space="preserve">Currently, RR-TAG weekly teleconferences are scheduled until 26 January 2023. </w:t>
      </w:r>
    </w:p>
    <w:p>
      <w:pPr>
        <w:pStyle w:val="Normal"/>
        <w:numPr>
          <w:ilvl w:val="3"/>
          <w:numId w:val="1"/>
        </w:numPr>
        <w:spacing w:before="0" w:after="0"/>
        <w:contextualSpacing/>
        <w:rPr>
          <w:sz w:val="24"/>
          <w:szCs w:val="24"/>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20">
        <w:r>
          <w:rPr>
            <w:rStyle w:val="Internetlnk"/>
            <w:sz w:val="24"/>
            <w:szCs w:val="24"/>
          </w:rPr>
          <w:t>https://ieee802.org/16/cal-temp.html</w:t>
        </w:r>
      </w:hyperlink>
      <w:r>
        <w:rPr>
          <w:sz w:val="24"/>
          <w:szCs w:val="24"/>
        </w:rPr>
        <w:t xml:space="preserve"> or only 802.18:  </w:t>
      </w:r>
      <w:hyperlink r:id="rId21">
        <w:r>
          <w:rPr>
            <w:rStyle w:val="Internetlnk"/>
            <w:sz w:val="24"/>
            <w:szCs w:val="24"/>
          </w:rPr>
          <w:t>IEEE 802.18 TAG Calendar</w:t>
        </w:r>
      </w:hyperlink>
    </w:p>
    <w:p>
      <w:pPr>
        <w:pStyle w:val="Normal"/>
        <w:numPr>
          <w:ilvl w:val="1"/>
          <w:numId w:val="1"/>
        </w:numPr>
        <w:spacing w:before="0" w:after="0"/>
        <w:contextualSpacing/>
        <w:rPr>
          <w:bCs/>
          <w:sz w:val="24"/>
          <w:szCs w:val="24"/>
        </w:rPr>
      </w:pPr>
      <w:r>
        <w:rPr>
          <w:bCs/>
          <w:sz w:val="24"/>
          <w:szCs w:val="24"/>
        </w:rPr>
        <w:t xml:space="preserve">Adjourn: </w:t>
        <w:tab/>
        <w:t xml:space="preserve"> </w:t>
      </w:r>
    </w:p>
    <w:p>
      <w:pPr>
        <w:pStyle w:val="ListParagraph"/>
        <w:numPr>
          <w:ilvl w:val="0"/>
          <w:numId w:val="3"/>
        </w:numPr>
        <w:spacing w:before="0" w:after="0"/>
        <w:ind w:left="720" w:hanging="0"/>
        <w:contextualSpacing/>
        <w:rPr>
          <w:sz w:val="24"/>
          <w:szCs w:val="24"/>
        </w:rPr>
      </w:pPr>
      <w:r>
        <w:rPr>
          <w:sz w:val="24"/>
          <w:szCs w:val="24"/>
        </w:rPr>
        <w:t>Any objection to Adjourn?  None heard.</w:t>
      </w:r>
    </w:p>
    <w:p>
      <w:pPr>
        <w:pStyle w:val="ListParagraph"/>
        <w:numPr>
          <w:ilvl w:val="0"/>
          <w:numId w:val="3"/>
        </w:numPr>
        <w:spacing w:before="0" w:after="0"/>
        <w:ind w:left="720" w:hanging="0"/>
        <w:contextualSpacing/>
        <w:rPr/>
      </w:pPr>
      <w:r>
        <w:rPr>
          <w:sz w:val="24"/>
          <w:szCs w:val="24"/>
        </w:rPr>
        <w:t>Adjourn at 9:22 local time</w:t>
      </w:r>
    </w:p>
    <w:p>
      <w:pPr>
        <w:pStyle w:val="Normal"/>
        <w:rPr>
          <w:sz w:val="24"/>
          <w:szCs w:val="24"/>
        </w:rPr>
      </w:pPr>
      <w:r>
        <w:rPr>
          <w:sz w:val="24"/>
          <w:szCs w:val="24"/>
        </w:rPr>
      </w:r>
    </w:p>
    <w:p>
      <w:pPr>
        <w:pStyle w:val="Normal"/>
        <w:rPr>
          <w:sz w:val="24"/>
          <w:szCs w:val="24"/>
        </w:rPr>
      </w:pPr>
      <w:r>
        <w:rPr>
          <w:sz w:val="24"/>
          <w:szCs w:val="24"/>
        </w:rPr>
      </w:r>
    </w:p>
    <w:p>
      <w:pPr>
        <w:pStyle w:val="ListParagraph"/>
        <w:ind w:left="0" w:hanging="0"/>
        <w:rPr>
          <w:rFonts w:ascii="Arial" w:hAnsi="Arial" w:eastAsia="Times New Roman" w:cs="Arial"/>
          <w:b/>
          <w:b/>
          <w:bCs/>
          <w:sz w:val="20"/>
          <w:szCs w:val="24"/>
        </w:rPr>
      </w:pPr>
      <w:r>
        <w:rPr>
          <w:b/>
          <w:sz w:val="24"/>
          <w:szCs w:val="24"/>
        </w:rPr>
        <w:t>ATTENDANCE (Interim</w:t>
      </w:r>
      <w:r>
        <w:rPr>
          <w:rFonts w:eastAsia="Times New Roman"/>
          <w:b/>
          <w:bCs/>
          <w:sz w:val="24"/>
          <w:szCs w:val="24"/>
        </w:rPr>
        <w:t xml:space="preserve"> Attendance Names and Affiliations) [Report by Stuart Kerry]:</w:t>
      </w:r>
      <w:r>
        <w:rPr>
          <w:rFonts w:eastAsia="Times New Roman" w:cs="Arial" w:ascii="Arial" w:hAnsi="Arial"/>
          <w:b/>
          <w:bCs/>
          <w:sz w:val="20"/>
          <w:szCs w:val="24"/>
        </w:rPr>
        <w:br/>
      </w:r>
    </w:p>
    <w:tbl>
      <w:tblPr>
        <w:tblW w:w="1003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21"/>
        <w:gridCol w:w="1491"/>
        <w:gridCol w:w="2028"/>
        <w:gridCol w:w="3099"/>
        <w:gridCol w:w="811"/>
        <w:gridCol w:w="809"/>
        <w:gridCol w:w="1170"/>
      </w:tblGrid>
      <w:tr>
        <w:trPr>
          <w:trHeight w:val="263" w:hRule="atLeast"/>
        </w:trPr>
        <w:tc>
          <w:tcPr>
            <w:tcW w:w="621" w:type="dxa"/>
            <w:tcBorders/>
            <w:shd w:color="auto" w:fill="auto" w:val="clear"/>
            <w:vAlign w:val="bottom"/>
          </w:tcPr>
          <w:p>
            <w:pPr>
              <w:pStyle w:val="Normal"/>
              <w:widowControl w:val="false"/>
              <w:suppressAutoHyphens w:val="false"/>
              <w:jc w:val="right"/>
              <w:rPr>
                <w:rFonts w:eastAsia="Times New Roman"/>
                <w:sz w:val="20"/>
              </w:rPr>
            </w:pPr>
            <w:r>
              <w:rPr>
                <w:rFonts w:eastAsia="Times New Roman"/>
                <w:sz w:val="20"/>
              </w:rPr>
            </w:r>
          </w:p>
        </w:tc>
        <w:tc>
          <w:tcPr>
            <w:tcW w:w="1491" w:type="dxa"/>
            <w:tcBorders/>
            <w:shd w:color="auto" w:fill="auto" w:val="clear"/>
            <w:vAlign w:val="bottom"/>
          </w:tcPr>
          <w:p>
            <w:pPr>
              <w:pStyle w:val="Normal"/>
              <w:widowControl w:val="false"/>
              <w:suppressAutoHyphens w:val="false"/>
              <w:rPr>
                <w:rFonts w:eastAsia="Times New Roman"/>
                <w:sz w:val="20"/>
              </w:rPr>
            </w:pPr>
            <w:r>
              <w:rPr>
                <w:rFonts w:eastAsia="Times New Roman"/>
                <w:sz w:val="20"/>
              </w:rPr>
            </w:r>
          </w:p>
        </w:tc>
        <w:tc>
          <w:tcPr>
            <w:tcW w:w="2028" w:type="dxa"/>
            <w:tcBorders/>
            <w:shd w:color="auto" w:fill="auto" w:val="clear"/>
            <w:vAlign w:val="bottom"/>
          </w:tcPr>
          <w:p>
            <w:pPr>
              <w:pStyle w:val="Normal"/>
              <w:widowControl w:val="false"/>
              <w:suppressAutoHyphens w:val="false"/>
              <w:rPr>
                <w:rFonts w:eastAsia="Times New Roman"/>
                <w:sz w:val="20"/>
              </w:rPr>
            </w:pPr>
            <w:r>
              <w:rPr>
                <w:rFonts w:eastAsia="Times New Roman"/>
                <w:sz w:val="20"/>
              </w:rPr>
            </w:r>
          </w:p>
        </w:tc>
        <w:tc>
          <w:tcPr>
            <w:tcW w:w="3099" w:type="dxa"/>
            <w:tcBorders/>
            <w:shd w:color="auto" w:fill="auto" w:val="clear"/>
            <w:vAlign w:val="bottom"/>
          </w:tcPr>
          <w:p>
            <w:pPr>
              <w:pStyle w:val="Normal"/>
              <w:widowControl w:val="false"/>
              <w:suppressAutoHyphens w:val="false"/>
              <w:rPr>
                <w:rFonts w:eastAsia="Times New Roman"/>
                <w:sz w:val="20"/>
              </w:rPr>
            </w:pPr>
            <w:r>
              <w:rPr>
                <w:rFonts w:eastAsia="Times New Roman"/>
                <w:sz w:val="20"/>
              </w:rPr>
            </w:r>
          </w:p>
        </w:tc>
        <w:tc>
          <w:tcPr>
            <w:tcW w:w="811" w:type="dxa"/>
            <w:tcBorders/>
            <w:shd w:color="auto" w:fill="auto" w:val="clear"/>
            <w:vAlign w:val="bottom"/>
          </w:tcPr>
          <w:p>
            <w:pPr>
              <w:pStyle w:val="Normal"/>
              <w:widowControl w:val="false"/>
              <w:suppressAutoHyphens w:val="false"/>
              <w:rPr>
                <w:rFonts w:eastAsia="Times New Roman"/>
                <w:sz w:val="20"/>
              </w:rPr>
            </w:pPr>
            <w:r>
              <w:rPr>
                <w:rFonts w:eastAsia="Times New Roman"/>
                <w:sz w:val="20"/>
              </w:rPr>
            </w:r>
          </w:p>
        </w:tc>
        <w:tc>
          <w:tcPr>
            <w:tcW w:w="809" w:type="dxa"/>
            <w:tcBorders/>
            <w:shd w:color="auto" w:fill="auto" w:val="clear"/>
            <w:vAlign w:val="bottom"/>
          </w:tcPr>
          <w:p>
            <w:pPr>
              <w:pStyle w:val="Normal"/>
              <w:widowControl w:val="false"/>
              <w:suppressAutoHyphens w:val="false"/>
              <w:rPr>
                <w:rFonts w:eastAsia="Times New Roman"/>
                <w:sz w:val="20"/>
              </w:rPr>
            </w:pPr>
            <w:r>
              <w:rPr>
                <w:rFonts w:eastAsia="Times New Roman"/>
                <w:sz w:val="20"/>
              </w:rPr>
            </w:r>
          </w:p>
        </w:tc>
        <w:tc>
          <w:tcPr>
            <w:tcW w:w="1170" w:type="dxa"/>
            <w:tcBorders/>
            <w:shd w:color="auto" w:fill="auto" w:val="clear"/>
            <w:vAlign w:val="bottom"/>
          </w:tcPr>
          <w:p>
            <w:pPr>
              <w:pStyle w:val="Normal"/>
              <w:widowControl w:val="false"/>
              <w:suppressAutoHyphens w:val="false"/>
              <w:jc w:val="center"/>
              <w:rPr>
                <w:rFonts w:eastAsia="Times New Roman"/>
                <w:b/>
                <w:b/>
                <w:bCs/>
                <w:color w:val="000000"/>
                <w:sz w:val="20"/>
              </w:rPr>
            </w:pPr>
            <w:r>
              <w:rPr>
                <w:rFonts w:eastAsia="Times New Roman"/>
                <w:b/>
                <w:bCs/>
                <w:color w:val="000000"/>
                <w:sz w:val="20"/>
              </w:rPr>
              <w:t>Attend</w:t>
            </w:r>
          </w:p>
        </w:tc>
      </w:tr>
      <w:tr>
        <w:trPr>
          <w:trHeight w:val="263" w:hRule="atLeast"/>
        </w:trPr>
        <w:tc>
          <w:tcPr>
            <w:tcW w:w="2112" w:type="dxa"/>
            <w:gridSpan w:val="2"/>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Voting Attendees:</w:t>
            </w:r>
          </w:p>
        </w:tc>
        <w:tc>
          <w:tcPr>
            <w:tcW w:w="2028"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r>
          </w:p>
        </w:tc>
        <w:tc>
          <w:tcPr>
            <w:tcW w:w="3099" w:type="dxa"/>
            <w:tcBorders/>
            <w:shd w:color="auto" w:fill="auto" w:val="clear"/>
            <w:vAlign w:val="center"/>
          </w:tcPr>
          <w:p>
            <w:pPr>
              <w:pStyle w:val="Normal"/>
              <w:widowControl w:val="false"/>
              <w:suppressAutoHyphens w:val="false"/>
              <w:rPr>
                <w:rFonts w:eastAsia="Times New Roman"/>
                <w:sz w:val="20"/>
              </w:rPr>
            </w:pPr>
            <w:r>
              <w:rPr>
                <w:rFonts w:eastAsia="Times New Roman"/>
                <w:sz w:val="20"/>
              </w:rPr>
            </w:r>
          </w:p>
        </w:tc>
        <w:tc>
          <w:tcPr>
            <w:tcW w:w="811"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13-Sep</w:t>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15-Sep</w:t>
            </w:r>
          </w:p>
        </w:tc>
        <w:tc>
          <w:tcPr>
            <w:tcW w:w="1170" w:type="dxa"/>
            <w:tcBorders/>
            <w:shd w:color="auto" w:fill="auto" w:val="clear"/>
            <w:vAlign w:val="bottom"/>
          </w:tcPr>
          <w:p>
            <w:pPr>
              <w:pStyle w:val="Normal"/>
              <w:widowControl w:val="false"/>
              <w:suppressAutoHyphens w:val="false"/>
              <w:jc w:val="center"/>
              <w:rPr>
                <w:rFonts w:eastAsia="Times New Roman"/>
                <w:b/>
                <w:b/>
                <w:bCs/>
                <w:color w:val="000000"/>
                <w:sz w:val="20"/>
              </w:rPr>
            </w:pPr>
            <w:r>
              <w:rPr>
                <w:rFonts w:eastAsia="Times New Roman"/>
                <w:b/>
                <w:bCs/>
                <w:color w:val="000000"/>
                <w:sz w:val="20"/>
              </w:rPr>
              <w:t>&gt;75%</w:t>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color w:val="000000"/>
                <w:sz w:val="20"/>
              </w:rPr>
            </w:pPr>
            <w:r>
              <w:rPr>
                <w:rFonts w:eastAsia="Times New Roman"/>
                <w:color w:val="000000"/>
                <w:sz w:val="20"/>
              </w:rPr>
              <w:t>1</w:t>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Andersdotter</w:t>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Amelia</w:t>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Comcast</w:t>
            </w:r>
          </w:p>
        </w:tc>
        <w:tc>
          <w:tcPr>
            <w:tcW w:w="811"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t>True</w:t>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color w:val="000000"/>
                <w:sz w:val="20"/>
              </w:rPr>
            </w:pPr>
            <w:r>
              <w:rPr>
                <w:rFonts w:eastAsia="Times New Roman"/>
                <w:color w:val="000000"/>
                <w:sz w:val="20"/>
              </w:rPr>
              <w:t>2</w:t>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Au</w:t>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Edward (Kwok Shum)</w:t>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Huawei Technologies Co., Ltd</w:t>
            </w:r>
          </w:p>
        </w:tc>
        <w:tc>
          <w:tcPr>
            <w:tcW w:w="811"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t>True</w:t>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color w:val="000000"/>
                <w:sz w:val="20"/>
              </w:rPr>
            </w:pPr>
            <w:r>
              <w:rPr>
                <w:rFonts w:eastAsia="Times New Roman"/>
                <w:color w:val="000000"/>
                <w:sz w:val="20"/>
              </w:rPr>
              <w:t>3</w:t>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Boldy</w:t>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David</w:t>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Broadcom Corporation</w:t>
            </w:r>
          </w:p>
        </w:tc>
        <w:tc>
          <w:tcPr>
            <w:tcW w:w="811"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t>True</w:t>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color w:val="000000"/>
                <w:sz w:val="20"/>
              </w:rPr>
            </w:pPr>
            <w:r>
              <w:rPr>
                <w:rFonts w:eastAsia="Times New Roman"/>
                <w:color w:val="000000"/>
                <w:sz w:val="20"/>
              </w:rPr>
              <w:t>4</w:t>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da Silva</w:t>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Claudio</w:t>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Meta Platforms, Inc.</w:t>
            </w:r>
          </w:p>
        </w:tc>
        <w:tc>
          <w:tcPr>
            <w:tcW w:w="811"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t>False</w:t>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color w:val="000000"/>
                <w:sz w:val="20"/>
              </w:rPr>
            </w:pPr>
            <w:r>
              <w:rPr>
                <w:rFonts w:eastAsia="Times New Roman"/>
                <w:color w:val="000000"/>
                <w:sz w:val="20"/>
              </w:rPr>
              <w:t>5</w:t>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de Vegt</w:t>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Rolf</w:t>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Qualcomm Incorporated</w:t>
            </w:r>
          </w:p>
        </w:tc>
        <w:tc>
          <w:tcPr>
            <w:tcW w:w="811"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t>False</w:t>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color w:val="000000"/>
                <w:sz w:val="20"/>
              </w:rPr>
            </w:pPr>
            <w:r>
              <w:rPr>
                <w:rFonts w:eastAsia="Times New Roman"/>
                <w:color w:val="000000"/>
                <w:sz w:val="20"/>
              </w:rPr>
              <w:t>6</w:t>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Eitan</w:t>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Alecsander</w:t>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Qualcomm Incorporated</w:t>
            </w:r>
          </w:p>
        </w:tc>
        <w:tc>
          <w:tcPr>
            <w:tcW w:w="811"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t>True</w:t>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color w:val="000000"/>
                <w:sz w:val="20"/>
              </w:rPr>
            </w:pPr>
            <w:r>
              <w:rPr>
                <w:rFonts w:eastAsia="Times New Roman"/>
                <w:color w:val="000000"/>
                <w:sz w:val="20"/>
              </w:rPr>
              <w:t>7</w:t>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Fang</w:t>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Yonggang</w:t>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MediaTek</w:t>
            </w:r>
          </w:p>
        </w:tc>
        <w:tc>
          <w:tcPr>
            <w:tcW w:w="811"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t>True</w:t>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color w:val="000000"/>
                <w:sz w:val="20"/>
              </w:rPr>
            </w:pPr>
            <w:r>
              <w:rPr>
                <w:rFonts w:eastAsia="Times New Roman"/>
                <w:color w:val="000000"/>
                <w:sz w:val="20"/>
              </w:rPr>
              <w:t>8</w:t>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Godfrey</w:t>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Tim</w:t>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Electric Power Research Institute, Inc. (EPRI)</w:t>
            </w:r>
          </w:p>
        </w:tc>
        <w:tc>
          <w:tcPr>
            <w:tcW w:w="811"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t>True</w:t>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color w:val="000000"/>
                <w:sz w:val="20"/>
              </w:rPr>
            </w:pPr>
            <w:r>
              <w:rPr>
                <w:rFonts w:eastAsia="Times New Roman"/>
                <w:color w:val="000000"/>
                <w:sz w:val="20"/>
              </w:rPr>
              <w:t>9</w:t>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Hiertz</w:t>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Guido</w:t>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Ericsson GmbH</w:t>
            </w:r>
          </w:p>
        </w:tc>
        <w:tc>
          <w:tcPr>
            <w:tcW w:w="811"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t>False</w:t>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color w:val="000000"/>
                <w:sz w:val="20"/>
              </w:rPr>
            </w:pPr>
            <w:r>
              <w:rPr>
                <w:rFonts w:eastAsia="Times New Roman"/>
                <w:color w:val="000000"/>
                <w:sz w:val="20"/>
              </w:rPr>
              <w:t>10</w:t>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Jeffries</w:t>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Timothy</w:t>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FutureWei Technologies, Inc.</w:t>
            </w:r>
          </w:p>
        </w:tc>
        <w:tc>
          <w:tcPr>
            <w:tcW w:w="811"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t>True</w:t>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color w:val="000000"/>
                <w:sz w:val="20"/>
              </w:rPr>
            </w:pPr>
            <w:r>
              <w:rPr>
                <w:rFonts w:eastAsia="Times New Roman"/>
                <w:color w:val="000000"/>
                <w:sz w:val="20"/>
              </w:rPr>
              <w:t>11</w:t>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Kain</w:t>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Carl</w:t>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USDOT, Noblis, Inc.</w:t>
            </w:r>
          </w:p>
        </w:tc>
        <w:tc>
          <w:tcPr>
            <w:tcW w:w="811"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t>True</w:t>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color w:val="000000"/>
                <w:sz w:val="20"/>
              </w:rPr>
            </w:pPr>
            <w:r>
              <w:rPr>
                <w:rFonts w:eastAsia="Times New Roman"/>
                <w:color w:val="000000"/>
                <w:sz w:val="20"/>
              </w:rPr>
              <w:t>12</w:t>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Kasher</w:t>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Assaf</w:t>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Qualcomm Incorporated</w:t>
            </w:r>
          </w:p>
        </w:tc>
        <w:tc>
          <w:tcPr>
            <w:tcW w:w="811"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t>True</w:t>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color w:val="000000"/>
                <w:sz w:val="20"/>
              </w:rPr>
            </w:pPr>
            <w:r>
              <w:rPr>
                <w:rFonts w:eastAsia="Times New Roman"/>
                <w:color w:val="000000"/>
                <w:sz w:val="20"/>
              </w:rPr>
              <w:t>13</w:t>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Kennedy</w:t>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Richard</w:t>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Unlicensed Spectrum Advocates, LLC</w:t>
            </w:r>
          </w:p>
        </w:tc>
        <w:tc>
          <w:tcPr>
            <w:tcW w:w="811"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t>True</w:t>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color w:val="000000"/>
                <w:sz w:val="20"/>
              </w:rPr>
            </w:pPr>
            <w:r>
              <w:rPr>
                <w:rFonts w:eastAsia="Times New Roman"/>
                <w:color w:val="000000"/>
                <w:sz w:val="20"/>
              </w:rPr>
              <w:t>14</w:t>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Kenney</w:t>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John</w:t>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TOYOTA InfoTechnology Center U.S.A.</w:t>
            </w:r>
          </w:p>
        </w:tc>
        <w:tc>
          <w:tcPr>
            <w:tcW w:w="811"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t>True</w:t>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color w:val="000000"/>
                <w:sz w:val="20"/>
              </w:rPr>
            </w:pPr>
            <w:r>
              <w:rPr>
                <w:rFonts w:eastAsia="Times New Roman"/>
                <w:color w:val="000000"/>
                <w:sz w:val="20"/>
              </w:rPr>
              <w:t>15</w:t>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Kerry</w:t>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Stuart</w:t>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OK‐Brit, Self</w:t>
            </w:r>
          </w:p>
        </w:tc>
        <w:tc>
          <w:tcPr>
            <w:tcW w:w="811"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t>True</w:t>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color w:val="000000"/>
                <w:sz w:val="20"/>
              </w:rPr>
            </w:pPr>
            <w:r>
              <w:rPr>
                <w:rFonts w:eastAsia="Times New Roman"/>
                <w:color w:val="000000"/>
                <w:sz w:val="20"/>
              </w:rPr>
              <w:t>16</w:t>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Lansford</w:t>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James</w:t>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Qualcomm Incorporated</w:t>
            </w:r>
          </w:p>
        </w:tc>
        <w:tc>
          <w:tcPr>
            <w:tcW w:w="811"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t>False</w:t>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color w:val="000000"/>
                <w:sz w:val="20"/>
              </w:rPr>
            </w:pPr>
            <w:r>
              <w:rPr>
                <w:rFonts w:eastAsia="Times New Roman"/>
                <w:color w:val="000000"/>
                <w:sz w:val="20"/>
              </w:rPr>
              <w:t>17</w:t>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Palm</w:t>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kiwin (Stephen)</w:t>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Broadcom Corporation</w:t>
            </w:r>
          </w:p>
        </w:tc>
        <w:tc>
          <w:tcPr>
            <w:tcW w:w="811"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t>True</w:t>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color w:val="000000"/>
                <w:sz w:val="20"/>
              </w:rPr>
            </w:pPr>
            <w:r>
              <w:rPr>
                <w:rFonts w:eastAsia="Times New Roman"/>
                <w:color w:val="000000"/>
                <w:sz w:val="20"/>
              </w:rPr>
              <w:t>18</w:t>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Petrick</w:t>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Al</w:t>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Skyworks Solutions Inc.</w:t>
            </w:r>
          </w:p>
        </w:tc>
        <w:tc>
          <w:tcPr>
            <w:tcW w:w="811"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t>True</w:t>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color w:val="000000"/>
                <w:sz w:val="20"/>
              </w:rPr>
            </w:pPr>
            <w:r>
              <w:rPr>
                <w:rFonts w:eastAsia="Times New Roman"/>
                <w:color w:val="000000"/>
                <w:sz w:val="20"/>
              </w:rPr>
              <w:t>19</w:t>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Pirhonen</w:t>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Riku</w:t>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NXP Semiconductors</w:t>
            </w:r>
          </w:p>
        </w:tc>
        <w:tc>
          <w:tcPr>
            <w:tcW w:w="811"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t>False</w:t>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color w:val="000000"/>
                <w:sz w:val="20"/>
              </w:rPr>
            </w:pPr>
            <w:r>
              <w:rPr>
                <w:rFonts w:eastAsia="Times New Roman"/>
                <w:color w:val="000000"/>
                <w:sz w:val="20"/>
              </w:rPr>
              <w:t>20</w:t>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Sand</w:t>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Stephan</w:t>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German Aerospace Center (DLR)</w:t>
            </w:r>
          </w:p>
        </w:tc>
        <w:tc>
          <w:tcPr>
            <w:tcW w:w="811"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t>False</w:t>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color w:val="000000"/>
                <w:sz w:val="20"/>
              </w:rPr>
            </w:pPr>
            <w:r>
              <w:rPr>
                <w:rFonts w:eastAsia="Times New Roman"/>
                <w:color w:val="000000"/>
                <w:sz w:val="20"/>
              </w:rPr>
              <w:t>21</w:t>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Sherlock</w:t>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Ian</w:t>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Texas Instruments</w:t>
            </w:r>
          </w:p>
        </w:tc>
        <w:tc>
          <w:tcPr>
            <w:tcW w:w="811"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t>True</w:t>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color w:val="000000"/>
                <w:sz w:val="20"/>
              </w:rPr>
            </w:pPr>
            <w:r>
              <w:rPr>
                <w:rFonts w:eastAsia="Times New Roman"/>
                <w:color w:val="000000"/>
                <w:sz w:val="20"/>
              </w:rPr>
              <w:t>22</w:t>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Verso</w:t>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Billy</w:t>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Qorvo</w:t>
            </w:r>
          </w:p>
        </w:tc>
        <w:tc>
          <w:tcPr>
            <w:tcW w:w="811"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t>True</w:t>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color w:val="000000"/>
                <w:sz w:val="20"/>
              </w:rPr>
            </w:pPr>
            <w:r>
              <w:rPr>
                <w:rFonts w:eastAsia="Times New Roman"/>
                <w:color w:val="000000"/>
                <w:sz w:val="20"/>
              </w:rPr>
              <w:t>23</w:t>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Wang</w:t>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Lei</w:t>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FutureWei Technologies, Inc.</w:t>
            </w:r>
          </w:p>
        </w:tc>
        <w:tc>
          <w:tcPr>
            <w:tcW w:w="811"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t>False</w:t>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color w:val="000000"/>
                <w:sz w:val="20"/>
              </w:rPr>
            </w:pPr>
            <w:r>
              <w:rPr>
                <w:rFonts w:eastAsia="Times New Roman"/>
                <w:color w:val="000000"/>
                <w:sz w:val="20"/>
              </w:rPr>
              <w:t>24</w:t>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Yaghoobi</w:t>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Hassan</w:t>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Intel Corporation</w:t>
            </w:r>
          </w:p>
        </w:tc>
        <w:tc>
          <w:tcPr>
            <w:tcW w:w="811"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t>True</w:t>
            </w:r>
          </w:p>
        </w:tc>
      </w:tr>
      <w:tr>
        <w:trPr>
          <w:trHeight w:val="263" w:hRule="exact"/>
        </w:trPr>
        <w:tc>
          <w:tcPr>
            <w:tcW w:w="621" w:type="dxa"/>
            <w:tcBorders/>
            <w:shd w:color="auto" w:fill="auto" w:val="clear"/>
            <w:vAlign w:val="center"/>
          </w:tcPr>
          <w:p>
            <w:pPr>
              <w:pStyle w:val="Normal"/>
              <w:widowControl w:val="false"/>
              <w:suppressAutoHyphens w:val="false"/>
              <w:jc w:val="right"/>
              <w:rPr>
                <w:rFonts w:eastAsia="Times New Roman"/>
                <w:color w:val="000000"/>
                <w:sz w:val="20"/>
              </w:rPr>
            </w:pPr>
            <w:r>
              <w:rPr>
                <w:rFonts w:eastAsia="Times New Roman"/>
                <w:color w:val="000000"/>
                <w:sz w:val="20"/>
              </w:rPr>
            </w:r>
          </w:p>
        </w:tc>
        <w:tc>
          <w:tcPr>
            <w:tcW w:w="1491" w:type="dxa"/>
            <w:tcBorders/>
            <w:shd w:color="auto" w:fill="auto" w:val="clear"/>
            <w:vAlign w:val="center"/>
          </w:tcPr>
          <w:p>
            <w:pPr>
              <w:pStyle w:val="Normal"/>
              <w:widowControl w:val="false"/>
              <w:suppressAutoHyphens w:val="false"/>
              <w:rPr>
                <w:rFonts w:eastAsia="Times New Roman"/>
                <w:sz w:val="20"/>
              </w:rPr>
            </w:pPr>
            <w:r>
              <w:rPr>
                <w:rFonts w:eastAsia="Times New Roman"/>
                <w:sz w:val="20"/>
              </w:rPr>
            </w:r>
          </w:p>
        </w:tc>
        <w:tc>
          <w:tcPr>
            <w:tcW w:w="2028" w:type="dxa"/>
            <w:tcBorders/>
            <w:shd w:color="auto" w:fill="auto" w:val="clear"/>
            <w:vAlign w:val="center"/>
          </w:tcPr>
          <w:p>
            <w:pPr>
              <w:pStyle w:val="Normal"/>
              <w:widowControl w:val="false"/>
              <w:suppressAutoHyphens w:val="false"/>
              <w:rPr>
                <w:rFonts w:eastAsia="Times New Roman"/>
                <w:sz w:val="20"/>
              </w:rPr>
            </w:pPr>
            <w:r>
              <w:rPr>
                <w:rFonts w:eastAsia="Times New Roman"/>
                <w:sz w:val="20"/>
              </w:rPr>
            </w:r>
          </w:p>
        </w:tc>
        <w:tc>
          <w:tcPr>
            <w:tcW w:w="3099" w:type="dxa"/>
            <w:tcBorders/>
            <w:shd w:color="auto" w:fill="auto" w:val="clear"/>
            <w:vAlign w:val="center"/>
          </w:tcPr>
          <w:p>
            <w:pPr>
              <w:pStyle w:val="Normal"/>
              <w:widowControl w:val="false"/>
              <w:suppressAutoHyphens w:val="false"/>
              <w:rPr>
                <w:rFonts w:eastAsia="Times New Roman"/>
                <w:sz w:val="20"/>
              </w:rPr>
            </w:pPr>
            <w:r>
              <w:rPr>
                <w:rFonts w:eastAsia="Times New Roman"/>
                <w:sz w:val="20"/>
              </w:rPr>
            </w:r>
          </w:p>
        </w:tc>
        <w:tc>
          <w:tcPr>
            <w:tcW w:w="811" w:type="dxa"/>
            <w:tcBorders/>
            <w:shd w:color="auto" w:fill="auto" w:val="clear"/>
            <w:vAlign w:val="center"/>
          </w:tcPr>
          <w:p>
            <w:pPr>
              <w:pStyle w:val="Normal"/>
              <w:widowControl w:val="false"/>
              <w:suppressAutoHyphens w:val="false"/>
              <w:rPr>
                <w:rFonts w:eastAsia="Times New Roman"/>
                <w:sz w:val="20"/>
              </w:rPr>
            </w:pPr>
            <w:r>
              <w:rPr>
                <w:rFonts w:eastAsia="Times New Roman"/>
                <w:sz w:val="20"/>
              </w:rPr>
            </w:r>
          </w:p>
        </w:tc>
        <w:tc>
          <w:tcPr>
            <w:tcW w:w="809" w:type="dxa"/>
            <w:tcBorders/>
            <w:shd w:color="auto" w:fill="auto" w:val="clear"/>
            <w:vAlign w:val="center"/>
          </w:tcPr>
          <w:p>
            <w:pPr>
              <w:pStyle w:val="Normal"/>
              <w:widowControl w:val="false"/>
              <w:suppressAutoHyphens w:val="false"/>
              <w:rPr>
                <w:rFonts w:eastAsia="Times New Roman"/>
                <w:sz w:val="20"/>
              </w:rPr>
            </w:pPr>
            <w:r>
              <w:rPr>
                <w:rFonts w:eastAsia="Times New Roman"/>
                <w:sz w:val="20"/>
              </w:rPr>
            </w:r>
          </w:p>
        </w:tc>
        <w:tc>
          <w:tcPr>
            <w:tcW w:w="1170" w:type="dxa"/>
            <w:tcBorders/>
            <w:shd w:color="auto" w:fill="auto" w:val="clear"/>
            <w:vAlign w:val="bottom"/>
          </w:tcPr>
          <w:p>
            <w:pPr>
              <w:pStyle w:val="Normal"/>
              <w:widowControl w:val="false"/>
              <w:suppressAutoHyphens w:val="false"/>
              <w:rPr>
                <w:rFonts w:eastAsia="Times New Roman"/>
                <w:sz w:val="20"/>
              </w:rPr>
            </w:pPr>
            <w:r>
              <w:rPr>
                <w:rFonts w:eastAsia="Times New Roman"/>
                <w:sz w:val="20"/>
              </w:rPr>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sz w:val="20"/>
              </w:rPr>
            </w:pPr>
            <w:r>
              <w:rPr>
                <w:rFonts w:eastAsia="Times New Roman"/>
                <w:sz w:val="20"/>
              </w:rPr>
            </w:r>
          </w:p>
        </w:tc>
        <w:tc>
          <w:tcPr>
            <w:tcW w:w="1491" w:type="dxa"/>
            <w:tcBorders/>
            <w:shd w:color="auto" w:fill="auto" w:val="clear"/>
            <w:vAlign w:val="center"/>
          </w:tcPr>
          <w:p>
            <w:pPr>
              <w:pStyle w:val="Normal"/>
              <w:widowControl w:val="false"/>
              <w:suppressAutoHyphens w:val="false"/>
              <w:rPr>
                <w:rFonts w:eastAsia="Times New Roman"/>
                <w:sz w:val="20"/>
              </w:rPr>
            </w:pPr>
            <w:r>
              <w:rPr>
                <w:rFonts w:eastAsia="Times New Roman"/>
                <w:sz w:val="20"/>
              </w:rPr>
            </w:r>
          </w:p>
        </w:tc>
        <w:tc>
          <w:tcPr>
            <w:tcW w:w="2028" w:type="dxa"/>
            <w:tcBorders/>
            <w:shd w:color="auto" w:fill="auto" w:val="clear"/>
            <w:vAlign w:val="center"/>
          </w:tcPr>
          <w:p>
            <w:pPr>
              <w:pStyle w:val="Normal"/>
              <w:widowControl w:val="false"/>
              <w:suppressAutoHyphens w:val="false"/>
              <w:rPr>
                <w:rFonts w:eastAsia="Times New Roman"/>
                <w:sz w:val="20"/>
              </w:rPr>
            </w:pPr>
            <w:r>
              <w:rPr>
                <w:rFonts w:eastAsia="Times New Roman"/>
                <w:sz w:val="20"/>
              </w:rPr>
            </w:r>
          </w:p>
        </w:tc>
        <w:tc>
          <w:tcPr>
            <w:tcW w:w="3099" w:type="dxa"/>
            <w:tcBorders/>
            <w:shd w:color="auto" w:fill="auto" w:val="clear"/>
            <w:vAlign w:val="center"/>
          </w:tcPr>
          <w:p>
            <w:pPr>
              <w:pStyle w:val="Normal"/>
              <w:widowControl w:val="false"/>
              <w:suppressAutoHyphens w:val="false"/>
              <w:rPr>
                <w:rFonts w:eastAsia="Times New Roman"/>
                <w:sz w:val="20"/>
              </w:rPr>
            </w:pPr>
            <w:r>
              <w:rPr>
                <w:rFonts w:eastAsia="Times New Roman"/>
                <w:sz w:val="20"/>
              </w:rPr>
            </w:r>
          </w:p>
        </w:tc>
        <w:tc>
          <w:tcPr>
            <w:tcW w:w="811" w:type="dxa"/>
            <w:tcBorders/>
            <w:shd w:color="auto" w:fill="auto" w:val="clear"/>
            <w:vAlign w:val="center"/>
          </w:tcPr>
          <w:p>
            <w:pPr>
              <w:pStyle w:val="Normal"/>
              <w:widowControl w:val="false"/>
              <w:suppressAutoHyphens w:val="false"/>
              <w:rPr>
                <w:rFonts w:eastAsia="Times New Roman"/>
                <w:sz w:val="20"/>
              </w:rPr>
            </w:pPr>
            <w:r>
              <w:rPr>
                <w:rFonts w:eastAsia="Times New Roman"/>
                <w:sz w:val="20"/>
              </w:rPr>
            </w:r>
          </w:p>
        </w:tc>
        <w:tc>
          <w:tcPr>
            <w:tcW w:w="809" w:type="dxa"/>
            <w:tcBorders/>
            <w:shd w:color="auto" w:fill="auto" w:val="clear"/>
            <w:vAlign w:val="center"/>
          </w:tcPr>
          <w:p>
            <w:pPr>
              <w:pStyle w:val="Normal"/>
              <w:widowControl w:val="false"/>
              <w:suppressAutoHyphens w:val="false"/>
              <w:rPr>
                <w:rFonts w:eastAsia="Times New Roman"/>
                <w:sz w:val="20"/>
              </w:rPr>
            </w:pPr>
            <w:r>
              <w:rPr>
                <w:rFonts w:eastAsia="Times New Roman"/>
                <w:sz w:val="20"/>
              </w:rPr>
            </w:r>
          </w:p>
        </w:tc>
        <w:tc>
          <w:tcPr>
            <w:tcW w:w="1170" w:type="dxa"/>
            <w:tcBorders/>
            <w:shd w:color="auto" w:fill="auto" w:val="clear"/>
            <w:vAlign w:val="bottom"/>
          </w:tcPr>
          <w:p>
            <w:pPr>
              <w:pStyle w:val="Normal"/>
              <w:widowControl w:val="false"/>
              <w:suppressAutoHyphens w:val="false"/>
              <w:jc w:val="center"/>
              <w:rPr>
                <w:rFonts w:eastAsia="Times New Roman"/>
                <w:b/>
                <w:b/>
                <w:bCs/>
                <w:color w:val="000000"/>
                <w:sz w:val="20"/>
              </w:rPr>
            </w:pPr>
            <w:r>
              <w:rPr>
                <w:rFonts w:eastAsia="Times New Roman"/>
                <w:b/>
                <w:bCs/>
                <w:color w:val="000000"/>
                <w:sz w:val="20"/>
              </w:rPr>
              <w:t>Attend</w:t>
            </w:r>
          </w:p>
        </w:tc>
      </w:tr>
      <w:tr>
        <w:trPr>
          <w:trHeight w:val="263" w:hRule="atLeast"/>
        </w:trPr>
        <w:tc>
          <w:tcPr>
            <w:tcW w:w="4140" w:type="dxa"/>
            <w:gridSpan w:val="3"/>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Non-Voting Attendees:</w:t>
            </w:r>
          </w:p>
        </w:tc>
        <w:tc>
          <w:tcPr>
            <w:tcW w:w="3099"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r>
          </w:p>
        </w:tc>
        <w:tc>
          <w:tcPr>
            <w:tcW w:w="811"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13-Sep</w:t>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15-Sep</w:t>
            </w:r>
          </w:p>
        </w:tc>
        <w:tc>
          <w:tcPr>
            <w:tcW w:w="1170" w:type="dxa"/>
            <w:tcBorders/>
            <w:shd w:color="auto" w:fill="auto" w:val="clear"/>
            <w:vAlign w:val="bottom"/>
          </w:tcPr>
          <w:p>
            <w:pPr>
              <w:pStyle w:val="Normal"/>
              <w:widowControl w:val="false"/>
              <w:suppressAutoHyphens w:val="false"/>
              <w:jc w:val="center"/>
              <w:rPr>
                <w:rFonts w:eastAsia="Times New Roman"/>
                <w:b/>
                <w:b/>
                <w:bCs/>
                <w:color w:val="000000"/>
                <w:sz w:val="20"/>
              </w:rPr>
            </w:pPr>
            <w:r>
              <w:rPr>
                <w:rFonts w:eastAsia="Times New Roman"/>
                <w:b/>
                <w:bCs/>
                <w:color w:val="000000"/>
                <w:sz w:val="20"/>
              </w:rPr>
              <w:t>&gt;75%</w:t>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color w:val="000000"/>
                <w:sz w:val="20"/>
              </w:rPr>
            </w:pPr>
            <w:r>
              <w:rPr>
                <w:rFonts w:eastAsia="Times New Roman"/>
                <w:color w:val="000000"/>
                <w:sz w:val="20"/>
              </w:rPr>
              <w:t>1</w:t>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Haasz</w:t>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Jodi</w:t>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IEEE SA</w:t>
            </w:r>
          </w:p>
        </w:tc>
        <w:tc>
          <w:tcPr>
            <w:tcW w:w="811"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t>True</w:t>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color w:val="000000"/>
                <w:sz w:val="20"/>
              </w:rPr>
            </w:pPr>
            <w:r>
              <w:rPr>
                <w:rFonts w:eastAsia="Times New Roman"/>
                <w:color w:val="000000"/>
                <w:sz w:val="20"/>
              </w:rPr>
              <w:t>2</w:t>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Petranovich</w:t>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James</w:t>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ViaSat, Inc.</w:t>
            </w:r>
          </w:p>
        </w:tc>
        <w:tc>
          <w:tcPr>
            <w:tcW w:w="811"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t>True</w:t>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color w:val="000000"/>
                <w:sz w:val="20"/>
              </w:rPr>
            </w:pPr>
            <w:r>
              <w:rPr>
                <w:rFonts w:eastAsia="Times New Roman"/>
                <w:color w:val="000000"/>
                <w:sz w:val="20"/>
              </w:rPr>
              <w:t>3</w:t>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Pettersson</w:t>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Charlie</w:t>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Ericsson AB</w:t>
            </w:r>
          </w:p>
        </w:tc>
        <w:tc>
          <w:tcPr>
            <w:tcW w:w="811"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t>True</w:t>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color w:val="000000"/>
                <w:sz w:val="20"/>
              </w:rPr>
            </w:pPr>
            <w:r>
              <w:rPr>
                <w:rFonts w:eastAsia="Times New Roman"/>
                <w:color w:val="000000"/>
                <w:sz w:val="20"/>
              </w:rPr>
              <w:t>4</w:t>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Shen</w:t>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Andy</w:t>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Futurewei, U.S. Subsidiary of Huawei</w:t>
            </w:r>
          </w:p>
        </w:tc>
        <w:tc>
          <w:tcPr>
            <w:tcW w:w="811"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t>False</w:t>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color w:val="000000"/>
                <w:sz w:val="20"/>
              </w:rPr>
            </w:pPr>
            <w:r>
              <w:rPr>
                <w:rFonts w:eastAsia="Times New Roman"/>
                <w:color w:val="000000"/>
                <w:sz w:val="20"/>
              </w:rPr>
              <w:t>5</w:t>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t>Yang</w:t>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Steve TS</w:t>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t>MediaTek</w:t>
            </w:r>
          </w:p>
        </w:tc>
        <w:tc>
          <w:tcPr>
            <w:tcW w:w="811"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t>x</w:t>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t>False</w:t>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b/>
                <w:b/>
                <w:bCs/>
                <w:color w:val="000000"/>
                <w:sz w:val="20"/>
              </w:rPr>
            </w:pPr>
            <w:r>
              <w:rPr>
                <w:rFonts w:eastAsia="Times New Roman"/>
                <w:b/>
                <w:bCs/>
                <w:color w:val="000000"/>
                <w:sz w:val="20"/>
              </w:rPr>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r>
          </w:p>
        </w:tc>
        <w:tc>
          <w:tcPr>
            <w:tcW w:w="811"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r>
          </w:p>
        </w:tc>
      </w:tr>
      <w:tr>
        <w:trPr>
          <w:trHeight w:val="263" w:hRule="atLeast"/>
        </w:trPr>
        <w:tc>
          <w:tcPr>
            <w:tcW w:w="621" w:type="dxa"/>
            <w:tcBorders/>
            <w:shd w:color="auto" w:fill="auto" w:val="clear"/>
            <w:vAlign w:val="center"/>
          </w:tcPr>
          <w:p>
            <w:pPr>
              <w:pStyle w:val="Normal"/>
              <w:widowControl w:val="false"/>
              <w:suppressAutoHyphens w:val="false"/>
              <w:jc w:val="right"/>
              <w:rPr>
                <w:rFonts w:eastAsia="Times New Roman"/>
                <w:b/>
                <w:b/>
                <w:bCs/>
                <w:color w:val="000000"/>
                <w:sz w:val="20"/>
              </w:rPr>
            </w:pPr>
            <w:r>
              <w:rPr>
                <w:rFonts w:eastAsia="Times New Roman"/>
                <w:b/>
                <w:bCs/>
                <w:color w:val="000000"/>
                <w:sz w:val="20"/>
              </w:rPr>
              <w:t>End.</w:t>
            </w:r>
          </w:p>
        </w:tc>
        <w:tc>
          <w:tcPr>
            <w:tcW w:w="1491" w:type="dxa"/>
            <w:tcBorders/>
            <w:shd w:color="auto" w:fill="auto" w:val="clear"/>
            <w:vAlign w:val="center"/>
          </w:tcPr>
          <w:p>
            <w:pPr>
              <w:pStyle w:val="Normal"/>
              <w:widowControl w:val="false"/>
              <w:suppressAutoHyphens w:val="false"/>
              <w:rPr>
                <w:rFonts w:eastAsia="Times New Roman"/>
                <w:b/>
                <w:b/>
                <w:bCs/>
                <w:color w:val="000000"/>
                <w:sz w:val="20"/>
              </w:rPr>
            </w:pPr>
            <w:r>
              <w:rPr>
                <w:rFonts w:eastAsia="Times New Roman"/>
                <w:b/>
                <w:bCs/>
                <w:color w:val="000000"/>
                <w:sz w:val="20"/>
              </w:rPr>
            </w:r>
          </w:p>
        </w:tc>
        <w:tc>
          <w:tcPr>
            <w:tcW w:w="2028"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r>
          </w:p>
        </w:tc>
        <w:tc>
          <w:tcPr>
            <w:tcW w:w="3099"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r>
          </w:p>
        </w:tc>
        <w:tc>
          <w:tcPr>
            <w:tcW w:w="811" w:type="dxa"/>
            <w:tcBorders/>
            <w:shd w:color="auto" w:fill="auto" w:val="clear"/>
            <w:vAlign w:val="center"/>
          </w:tcPr>
          <w:p>
            <w:pPr>
              <w:pStyle w:val="Normal"/>
              <w:widowControl w:val="false"/>
              <w:suppressAutoHyphens w:val="false"/>
              <w:rPr>
                <w:rFonts w:eastAsia="Times New Roman"/>
                <w:color w:val="000000"/>
                <w:sz w:val="20"/>
              </w:rPr>
            </w:pPr>
            <w:r>
              <w:rPr>
                <w:rFonts w:eastAsia="Times New Roman"/>
                <w:color w:val="000000"/>
                <w:sz w:val="20"/>
              </w:rPr>
            </w:r>
          </w:p>
        </w:tc>
        <w:tc>
          <w:tcPr>
            <w:tcW w:w="809" w:type="dxa"/>
            <w:tcBorders/>
            <w:shd w:color="auto" w:fill="auto" w:val="clear"/>
            <w:vAlign w:val="center"/>
          </w:tcPr>
          <w:p>
            <w:pPr>
              <w:pStyle w:val="Normal"/>
              <w:widowControl w:val="false"/>
              <w:suppressAutoHyphens w:val="false"/>
              <w:jc w:val="center"/>
              <w:rPr>
                <w:rFonts w:eastAsia="Times New Roman"/>
                <w:b/>
                <w:b/>
                <w:bCs/>
                <w:color w:val="000000"/>
                <w:sz w:val="20"/>
              </w:rPr>
            </w:pPr>
            <w:r>
              <w:rPr>
                <w:rFonts w:eastAsia="Times New Roman"/>
                <w:b/>
                <w:bCs/>
                <w:color w:val="000000"/>
                <w:sz w:val="20"/>
              </w:rPr>
            </w:r>
          </w:p>
        </w:tc>
        <w:tc>
          <w:tcPr>
            <w:tcW w:w="1170" w:type="dxa"/>
            <w:tcBorders/>
            <w:shd w:color="auto" w:fill="auto" w:val="clear"/>
            <w:vAlign w:val="bottom"/>
          </w:tcPr>
          <w:p>
            <w:pPr>
              <w:pStyle w:val="Normal"/>
              <w:widowControl w:val="false"/>
              <w:suppressAutoHyphens w:val="false"/>
              <w:jc w:val="center"/>
              <w:rPr>
                <w:rFonts w:eastAsia="Times New Roman"/>
                <w:color w:val="000000"/>
                <w:sz w:val="20"/>
              </w:rPr>
            </w:pPr>
            <w:r>
              <w:rPr>
                <w:rFonts w:eastAsia="Times New Roman"/>
                <w:color w:val="000000"/>
                <w:sz w:val="20"/>
              </w:rPr>
            </w:r>
          </w:p>
        </w:tc>
      </w:tr>
    </w:tbl>
    <w:p>
      <w:pPr>
        <w:pStyle w:val="ListParagraph"/>
        <w:ind w:left="0" w:hanging="0"/>
        <w:rPr>
          <w:b/>
          <w:b/>
          <w:bCs/>
          <w:sz w:val="18"/>
          <w:szCs w:val="16"/>
        </w:rPr>
      </w:pPr>
      <w:r>
        <w:rPr/>
      </w:r>
    </w:p>
    <w:sectPr>
      <w:headerReference w:type="default" r:id="rId22"/>
      <w:footerReference w:type="default" r:id="rId23"/>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OpenSymbol">
    <w:altName w:val="Arial Unicode MS"/>
    <w:charset w:val="01"/>
    <w:family w:val="auto"/>
    <w:pitch w:val="variable"/>
  </w:font>
  <w:font w:name="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tabs>
        <w:tab w:val="clear" w:pos="6480"/>
        <w:tab w:val="center" w:pos="5040" w:leader="none"/>
        <w:tab w:val="right" w:pos="9990" w:leader="none"/>
        <w:tab w:val="right" w:pos="12960" w:leader="none"/>
      </w:tabs>
      <w:rPr/>
    </w:pPr>
    <w:r>
      <w:rPr/>
      <w:fldChar w:fldCharType="begin"/>
    </w:r>
    <w:r>
      <w:rPr/>
      <w:instrText xml:space="preserve"> SUBJECT </w:instrText>
    </w:r>
    <w:r>
      <w:rPr/>
      <w:fldChar w:fldCharType="separate"/>
    </w:r>
    <w:r>
      <w:rPr/>
      <w:t>RR-TAG Minutes</w:t>
    </w:r>
    <w:r>
      <w:rPr/>
      <w:fldChar w:fldCharType="end"/>
    </w:r>
    <w:r>
      <w:rPr/>
      <w:tab/>
      <w:t xml:space="preserve">page </w:t>
    </w:r>
    <w:r>
      <w:rPr/>
      <w:fldChar w:fldCharType="begin"/>
    </w:r>
    <w:r>
      <w:rPr/>
      <w:instrText xml:space="preserve"> PAGE </w:instrText>
    </w:r>
    <w:r>
      <w:rPr/>
      <w:fldChar w:fldCharType="separate"/>
    </w:r>
    <w:r>
      <w:rPr/>
      <w:t>7</w:t>
    </w:r>
    <w:r>
      <w:rPr/>
      <w:fldChar w:fldCharType="end"/>
    </w:r>
    <w:r>
      <w:rPr/>
      <w:t xml:space="preserve"> of </w:t>
    </w:r>
    <w:r>
      <w:rPr/>
      <w:fldChar w:fldCharType="begin"/>
    </w:r>
    <w:r>
      <w:rPr/>
      <w:instrText xml:space="preserve"> NUMPAGES </w:instrText>
    </w:r>
    <w:r>
      <w:rPr/>
      <w:fldChar w:fldCharType="separate"/>
    </w:r>
    <w:r>
      <w:rPr/>
      <w:t>7</w:t>
    </w:r>
    <w:r>
      <w:rPr/>
      <w:fldChar w:fldCharType="end"/>
    </w:r>
    <w:r>
      <w:rPr/>
      <w:tab/>
      <w:t>Amelia Andersdotter (</w:t>
    </w:r>
    <w:r>
      <w:rPr/>
      <w:t>Sky Group/</w:t>
    </w:r>
    <w:r>
      <w:rPr/>
      <w:t>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tabs>
        <w:tab w:val="clear" w:pos="6480"/>
        <w:tab w:val="center" w:pos="4680" w:leader="none"/>
        <w:tab w:val="right" w:pos="9990" w:leader="none"/>
        <w:tab w:val="right" w:pos="12960" w:leader="none"/>
      </w:tabs>
      <w:rPr/>
    </w:pPr>
    <w:r>
      <w:rPr/>
      <w:t>September 2022</w:t>
      <w:tab/>
      <w:tab/>
      <w:t>doc.: IEEE 802.18-22-011</w:t>
    </w:r>
    <w:r>
      <w:rPr/>
      <w:t>7</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trackRevisions/>
  <w:mirrorMargin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Rubrik1">
    <w:name w:val="Heading 1"/>
    <w:basedOn w:val="Normal"/>
    <w:next w:val="Normal"/>
    <w:uiPriority w:val="9"/>
    <w:qFormat/>
    <w:pPr>
      <w:keepNext w:val="true"/>
      <w:keepLines/>
      <w:spacing w:before="320" w:after="0"/>
      <w:outlineLvl w:val="0"/>
    </w:pPr>
    <w:rPr>
      <w:rFonts w:ascii="Arial" w:hAnsi="Arial"/>
      <w:b/>
      <w:sz w:val="32"/>
      <w:u w:val="single"/>
    </w:rPr>
  </w:style>
  <w:style w:type="paragraph" w:styleId="Rubrik2">
    <w:name w:val="Heading 2"/>
    <w:basedOn w:val="Normal"/>
    <w:next w:val="Normal"/>
    <w:uiPriority w:val="9"/>
    <w:semiHidden/>
    <w:unhideWhenUsed/>
    <w:qFormat/>
    <w:pPr>
      <w:keepNext w:val="true"/>
      <w:keepLines/>
      <w:spacing w:before="280" w:after="0"/>
      <w:outlineLvl w:val="1"/>
    </w:pPr>
    <w:rPr>
      <w:rFonts w:ascii="Arial" w:hAnsi="Arial"/>
      <w:b/>
      <w:sz w:val="28"/>
      <w:u w:val="single"/>
    </w:rPr>
  </w:style>
  <w:style w:type="paragraph" w:styleId="Rubrik3">
    <w:name w:val="Heading 3"/>
    <w:basedOn w:val="Normal"/>
    <w:next w:val="Normal"/>
    <w:uiPriority w:val="9"/>
    <w:semiHidden/>
    <w:unhideWhenUsed/>
    <w:qFormat/>
    <w:pPr>
      <w:keepNext w:val="true"/>
      <w:keepLines/>
      <w:spacing w:before="240" w:after="60"/>
      <w:outlineLvl w:val="2"/>
    </w:pPr>
    <w:rPr>
      <w:rFonts w:ascii="Arial" w:hAnsi="Arial"/>
      <w:b/>
      <w:sz w:val="24"/>
    </w:rPr>
  </w:style>
  <w:style w:type="character" w:styleId="DefaultParagraphFont" w:default="1">
    <w:name w:val="Default Paragraph Font"/>
    <w:uiPriority w:val="1"/>
    <w:unhideWhenUsed/>
    <w:qFormat/>
    <w:rPr/>
  </w:style>
  <w:style w:type="character" w:styleId="Internetlnk" w:customStyle="1">
    <w:name w:val="Internetlänk"/>
    <w:basedOn w:val="DefaultParagraphFont"/>
    <w:rPr>
      <w:color w:val="0563C1"/>
      <w:u w:val="single"/>
    </w:rPr>
  </w:style>
  <w:style w:type="character" w:styleId="AnvndInternetlnk" w:customStyle="1">
    <w:name w:val="Använd Internetlänk"/>
    <w:rPr>
      <w:color w:val="800080"/>
      <w:u w:val="single"/>
    </w:rPr>
  </w:style>
  <w:style w:type="character" w:styleId="Highlight1" w:customStyle="1">
    <w:name w:val="highlight1"/>
    <w:qFormat/>
    <w:rPr>
      <w:b/>
      <w:bCs/>
    </w:rPr>
  </w:style>
  <w:style w:type="character" w:styleId="Applestylespan" w:customStyle="1">
    <w:name w:val="apple-style-span"/>
    <w:basedOn w:val="DefaultParagraphFont"/>
    <w:qFormat/>
    <w:rPr/>
  </w:style>
  <w:style w:type="character" w:styleId="Style11" w:customStyle="1">
    <w:name w:val="style1"/>
    <w:basedOn w:val="DefaultParagraphFont"/>
    <w:qFormat/>
    <w:rPr/>
  </w:style>
  <w:style w:type="character" w:styleId="BalloonTextChar" w:customStyle="1">
    <w:name w:val="Balloon Text Char"/>
    <w:link w:val="BalloonText"/>
    <w:qFormat/>
    <w:rPr>
      <w:rFonts w:ascii="Segoe UI" w:hAnsi="Segoe UI" w:cs="Segoe UI"/>
      <w:sz w:val="18"/>
      <w:szCs w:val="18"/>
    </w:rPr>
  </w:style>
  <w:style w:type="character" w:styleId="Strong">
    <w:name w:val="Strong"/>
    <w:qFormat/>
    <w:rPr>
      <w:b/>
      <w:bCs/>
    </w:rPr>
  </w:style>
  <w:style w:type="character" w:styleId="Rsgtitle1" w:customStyle="1">
    <w:name w:val="rsg-title1"/>
    <w:qFormat/>
    <w:rPr>
      <w:b/>
      <w:bCs/>
      <w:color w:val="37ACAB"/>
      <w:sz w:val="26"/>
      <w:szCs w:val="26"/>
    </w:rPr>
  </w:style>
  <w:style w:type="character" w:styleId="PlainTextChar" w:customStyle="1">
    <w:name w:val="Plain Text Char"/>
    <w:link w:val="PlainText"/>
    <w:qFormat/>
    <w:rPr>
      <w:rFonts w:ascii="Consolas" w:hAnsi="Consolas" w:eastAsia="Calibri" w:cs="Consolas"/>
      <w:sz w:val="22"/>
      <w:szCs w:val="22"/>
    </w:rPr>
  </w:style>
  <w:style w:type="character" w:styleId="Appleconvertedspace" w:customStyle="1">
    <w:name w:val="apple-converted-space"/>
    <w:qFormat/>
    <w:rPr/>
  </w:style>
  <w:style w:type="character" w:styleId="BodyTextChar" w:customStyle="1">
    <w:name w:val="Body Text Char"/>
    <w:qFormat/>
    <w:rPr>
      <w:sz w:val="22"/>
    </w:rPr>
  </w:style>
  <w:style w:type="character" w:styleId="Betonad" w:customStyle="1">
    <w:name w:val="Betonad"/>
    <w:qFormat/>
    <w:rPr>
      <w:i/>
      <w:iCs/>
    </w:rPr>
  </w:style>
  <w:style w:type="character" w:styleId="Fotnotsankare" w:customStyle="1">
    <w:name w:val="Fotnotsankare"/>
    <w:rPr>
      <w:sz w:val="18"/>
      <w:vertAlign w:val="superscript"/>
    </w:rPr>
  </w:style>
  <w:style w:type="character" w:styleId="FootnoteCharacters" w:customStyle="1">
    <w:name w:val="Footnote Characters"/>
    <w:qFormat/>
    <w:rPr>
      <w:sz w:val="18"/>
      <w:vertAlign w:val="superscript"/>
    </w:rPr>
  </w:style>
  <w:style w:type="character" w:styleId="FootnoteTextChar" w:customStyle="1">
    <w:name w:val="Footnote Text Char"/>
    <w:qFormat/>
    <w:rPr>
      <w:sz w:val="24"/>
    </w:rPr>
  </w:style>
  <w:style w:type="character" w:styleId="Mention1" w:customStyle="1">
    <w:name w:val="Mention1"/>
    <w:qFormat/>
    <w:rPr>
      <w:color w:val="2B579A"/>
      <w:shd w:fill="E6E6E6" w:val="clear"/>
    </w:rPr>
  </w:style>
  <w:style w:type="character" w:styleId="UnresolvedMention1" w:customStyle="1">
    <w:name w:val="Unresolved Mention1"/>
    <w:qFormat/>
    <w:rPr>
      <w:color w:val="808080"/>
      <w:shd w:fill="E6E6E6" w:val="clear"/>
    </w:rPr>
  </w:style>
  <w:style w:type="character" w:styleId="NichtaufgelsteErwhnung1" w:customStyle="1">
    <w:name w:val="Nicht aufgelöste Erwähnung1"/>
    <w:qFormat/>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link w:val="Annotationtext"/>
    <w:qFormat/>
    <w:rPr/>
  </w:style>
  <w:style w:type="character" w:styleId="CommentSubjectChar" w:customStyle="1">
    <w:name w:val="Comment Subject Char"/>
    <w:basedOn w:val="CommentTextChar"/>
    <w:link w:val="Annotationsubject"/>
    <w:qFormat/>
    <w:rPr>
      <w:b/>
      <w:bCs/>
    </w:rPr>
  </w:style>
  <w:style w:type="paragraph" w:styleId="Rubrik" w:customStyle="1">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link w:val="BodyTextChar"/>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ListParagraph">
    <w:name w:val="List Paragraph"/>
    <w:basedOn w:val="Normal"/>
    <w:qFormat/>
    <w:pPr>
      <w:ind w:left="720" w:hanging="0"/>
    </w:pPr>
    <w:rPr/>
  </w:style>
  <w:style w:type="paragraph" w:styleId="Default" w:customStyle="1">
    <w:name w:val="Default"/>
    <w:qFormat/>
    <w:pPr>
      <w:widowControl/>
      <w:suppressAutoHyphens w:val="true"/>
      <w:bidi w:val="0"/>
      <w:spacing w:before="0" w:after="0"/>
      <w:jc w:val="left"/>
    </w:pPr>
    <w:rPr>
      <w:rFonts w:ascii="Arial" w:hAnsi="Arial" w:cs="Arial" w:eastAsia="SimSun"/>
      <w:color w:val="000000"/>
      <w:kern w:val="0"/>
      <w:sz w:val="24"/>
      <w:szCs w:val="24"/>
      <w:lang w:val="en-US" w:eastAsia="en-US" w:bidi="ar-SA"/>
    </w:rPr>
  </w:style>
  <w:style w:type="paragraph" w:styleId="BalloonText">
    <w:name w:val="Balloon Text"/>
    <w:basedOn w:val="Normal"/>
    <w:link w:val="BalloonTextChar"/>
    <w:qFormat/>
    <w:pPr/>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false"/>
      <w:tabs>
        <w:tab w:val="clear" w:pos="720"/>
        <w:tab w:val="right" w:pos="9360" w:leader="none"/>
      </w:tabs>
    </w:pPr>
    <w:rPr>
      <w:kern w:val="2"/>
    </w:rPr>
  </w:style>
  <w:style w:type="paragraph" w:styleId="PlainText">
    <w:name w:val="Plain Text"/>
    <w:basedOn w:val="Normal"/>
    <w:link w:val="PlainTextChar"/>
    <w:qFormat/>
    <w:pPr/>
    <w:rPr>
      <w:rFonts w:ascii="Consolas" w:hAnsi="Consolas" w:eastAsia="Calibri" w:cs="Consolas"/>
      <w:szCs w:val="22"/>
    </w:rPr>
  </w:style>
  <w:style w:type="paragraph" w:styleId="Style51" w:customStyle="1">
    <w:name w:val="style5"/>
    <w:basedOn w:val="Normal"/>
    <w:qFormat/>
    <w:pPr/>
    <w:rPr>
      <w:sz w:val="24"/>
      <w:szCs w:val="24"/>
    </w:rPr>
  </w:style>
  <w:style w:type="paragraph" w:styleId="Style12" w:customStyle="1">
    <w:name w:val="Style1"/>
    <w:basedOn w:val="Brdtext"/>
    <w:qFormat/>
    <w:pPr>
      <w:widowControl w:val="false"/>
      <w:spacing w:before="0" w:after="0"/>
      <w:jc w:val="center"/>
    </w:pPr>
    <w:rPr>
      <w:b/>
      <w:sz w:val="20"/>
    </w:rPr>
  </w:style>
  <w:style w:type="paragraph" w:styleId="Fotnot">
    <w:name w:val="Footnote Text"/>
    <w:basedOn w:val="Normal"/>
    <w:link w:val="FootnoteTextChar"/>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pPr>
      <w:spacing w:before="280"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qFormat/>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pPr/>
    <w:rPr>
      <w:sz w:val="20"/>
    </w:rPr>
  </w:style>
  <w:style w:type="paragraph" w:styleId="Annotationsubject">
    <w:name w:val="annotation subject"/>
    <w:basedOn w:val="Annotationtext"/>
    <w:next w:val="Annotationtext"/>
    <w:link w:val="CommentSubjectChar"/>
    <w:qFormat/>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www.ieee802.org/18/" TargetMode="External"/><Relationship Id="rId4" Type="http://schemas.openxmlformats.org/officeDocument/2006/relationships/hyperlink" Target="https://mentor.ieee.org/802.18/dcn/22/18-22-0090-02-0000-rr-tag-2022-september-wireless-interim-agenda.pptx" TargetMode="External"/><Relationship Id="rId5" Type="http://schemas.openxmlformats.org/officeDocument/2006/relationships/hyperlink" Target="https://touchpoint.eventsair.com/ieee-802-wireless-interim-session-jan-2022" TargetMode="External"/><Relationship Id="rId6" Type="http://schemas.openxmlformats.org/officeDocument/2006/relationships/hyperlink" Target="https://www.ieee802.org/18/RRTAG_Voters.pdf" TargetMode="External"/><Relationship Id="rId7" Type="http://schemas.openxmlformats.org/officeDocument/2006/relationships/hyperlink" Target="https://mentor.ieee.org/802-ec/dcn/21/ec-21-0207-23-0PNP-ieee-802-lmsc-working-group-policies-and-procedures.pdf" TargetMode="External"/><Relationship Id="rId8" Type="http://schemas.openxmlformats.org/officeDocument/2006/relationships/hyperlink" Target="https://mentor.ieee.org/802-ec/dcn/21/ec-21-0207-23-0PNP-ieee-802-lmsc-working-group-policies-and-procedures.pdf" TargetMode="External"/><Relationship Id="rId9" Type="http://schemas.openxmlformats.org/officeDocument/2006/relationships/hyperlink" Target="http://www.ieee802.org/devdocs.shtml" TargetMode="External"/><Relationship Id="rId10" Type="http://schemas.openxmlformats.org/officeDocument/2006/relationships/hyperlink" Target="https://standards.ieee.org/about/policies/opman/" TargetMode="External"/><Relationship Id="rId11" Type="http://schemas.openxmlformats.org/officeDocument/2006/relationships/hyperlink" Target="https://mentor.ieee.org/802.18/dcn/22/18-22-0076-01-0000-july-2022-plenary-minutes.docx" TargetMode="External"/><Relationship Id="rId12" Type="http://schemas.openxmlformats.org/officeDocument/2006/relationships/hyperlink" Target="https://mentor.ieee.org/802.18/dcn/22/18-22-0091-00-0000-ieee-802-18-rr-tag-2022-september-wireless-interim-chair-opening-report.ppt" TargetMode="External"/><Relationship Id="rId13" Type="http://schemas.openxmlformats.org/officeDocument/2006/relationships/hyperlink" Target="https://mentor.ieee.org/802.11/dcn/22/11-22-1398-04-0uhr-rr-tag-mmwave-spectrum-survey.pptx" TargetMode="External"/><Relationship Id="rId14" Type="http://schemas.openxmlformats.org/officeDocument/2006/relationships/hyperlink" Target="https://mentor.ieee.org/802.18/dcn/22/18-22-0035-33-0000-status-of-ongoing-consultations-and-tag-documents-for-approval.docx" TargetMode="External"/><Relationship Id="rId15" Type="http://schemas.openxmlformats.org/officeDocument/2006/relationships/hyperlink" Target="https://mentor.ieee.org/802.18/dcn/22/18-22-0111-00-0000-proposed-response-to-france-arcep-on-preparing-for-the-future-of-mobile-networks.docx" TargetMode="External"/><Relationship Id="rId16" Type="http://schemas.openxmlformats.org/officeDocument/2006/relationships/hyperlink" Target="https://mentor.ieee.org/802.18/dcn/22/18-22-0090-04-0000-rr-tag-2022-september-wireless-interim-agenda.pptx" TargetMode="External"/><Relationship Id="rId17" Type="http://schemas.openxmlformats.org/officeDocument/2006/relationships/hyperlink" Target="https://mentor.ieee.org/802.18/dcn/22/18-22-0114-04-0000-proposed-response-to-ofcom.odt" TargetMode="External"/><Relationship Id="rId18" Type="http://schemas.openxmlformats.org/officeDocument/2006/relationships/hyperlink" Target="https://mentor.ieee.org/802.18/dcn/22/18-22-0114-04-0000-proposed-response-to-ofcom.odt" TargetMode="External"/><Relationship Id="rId19" Type="http://schemas.openxmlformats.org/officeDocument/2006/relationships/hyperlink" Target="https://mentor.ieee.org/802.18/dcn/22/18-22-0114-04-0000-proposed-response-to-ofcom.odt" TargetMode="External"/><Relationship Id="rId20" Type="http://schemas.openxmlformats.org/officeDocument/2006/relationships/hyperlink" Target="https://ieee802.org/16/cal-temp.html" TargetMode="External"/><Relationship Id="rId21" Type="http://schemas.openxmlformats.org/officeDocument/2006/relationships/hyperlink" Target="https://calendar.google.com/calendar/embed?src=c2gedttabtbj4bps23j4847004@group.calendar.google.com&amp;ctz=America%2FNew_York"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Application>LibreOffice/7.3.5.2$Linux_X86_64 LibreOffice_project/30$Build-2</Application>
  <AppVersion>15.0000</AppVersion>
  <Pages>7</Pages>
  <Words>1900</Words>
  <Characters>10141</Characters>
  <CharactersWithSpaces>11811</CharactersWithSpaces>
  <Paragraphs>309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2022-09-19T06:55:00Z</dcterms:created>
  <dc:creator>author</dc:creator>
  <dc:description/>
  <cp:keywords>28 28 28 28 28 28 28 28 28 28 28 28 28 28 28 28 28 April 2022</cp:keywords>
  <dc:language>sv-SE</dc:language>
  <cp:lastModifiedBy>Amelia Andersdotter</cp:lastModifiedBy>
  <cp:lastPrinted>2012-05-15T22:13:00Z</cp:lastPrinted>
  <dcterms:modified xsi:type="dcterms:W3CDTF">2022-09-25T15:02:29Z</dcterms:modified>
  <cp:revision>8</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