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tabs>
          <w:tab w:val="clear" w:pos="720"/>
          <w:tab w:val="left" w:pos="3520" w:leader="none"/>
          <w:tab w:val="center" w:pos="5040" w:leader="none"/>
        </w:tabs>
        <w:jc w:val="left"/>
        <w:rPr>
          <w:b w:val="false"/>
          <w:b w:val="false"/>
          <w:sz w:val="24"/>
          <w:szCs w:val="24"/>
        </w:rPr>
      </w:pPr>
      <w:r>
        <w:rPr>
          <w:b w:val="false"/>
          <w:sz w:val="24"/>
          <w:szCs w:val="24"/>
        </w:rPr>
      </w:r>
    </w:p>
    <w:p>
      <w:pPr>
        <w:pStyle w:val="T1"/>
        <w:pBdr>
          <w:bottom w:val="single" w:sz="6" w:space="0" w:color="000000"/>
        </w:pBdr>
        <w:tabs>
          <w:tab w:val="clear" w:pos="720"/>
          <w:tab w:val="left" w:pos="3520" w:leader="none"/>
          <w:tab w:val="center" w:pos="5040" w:leader="none"/>
        </w:tabs>
        <w:rPr/>
      </w:pPr>
      <w:r>
        <w:rPr>
          <w:b w:val="false"/>
          <w:sz w:val="24"/>
          <w:szCs w:val="24"/>
        </w:rPr>
        <w:t>IEEE 802 Wireless Stds Frequency Table Ad-Hoc</w:t>
      </w:r>
    </w:p>
    <w:p>
      <w:pPr>
        <w:pStyle w:val="T1"/>
        <w:pBdr>
          <w:bottom w:val="single" w:sz="6" w:space="0" w:color="000000"/>
        </w:pBdr>
        <w:rPr>
          <w:b w:val="false"/>
          <w:b w:val="false"/>
          <w:sz w:val="24"/>
          <w:szCs w:val="24"/>
        </w:rPr>
      </w:pPr>
      <w:r>
        <w:rPr>
          <w:b w:val="false"/>
          <w:sz w:val="24"/>
          <w:szCs w:val="24"/>
        </w:rPr>
      </w:r>
    </w:p>
    <w:tbl>
      <w:tblPr>
        <w:tblW w:w="9915"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435"/>
        <w:gridCol w:w="1620"/>
        <w:gridCol w:w="2697"/>
        <w:gridCol w:w="3162"/>
      </w:tblGrid>
      <w:tr>
        <w:trPr>
          <w:trHeight w:val="485" w:hRule="atLeast"/>
        </w:trPr>
        <w:tc>
          <w:tcPr>
            <w:tcW w:w="9914"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b w:val="false"/>
                <w:b w:val="false"/>
                <w:sz w:val="24"/>
                <w:szCs w:val="24"/>
              </w:rPr>
            </w:pPr>
            <w:r>
              <w:rPr>
                <w:b w:val="false"/>
                <w:sz w:val="24"/>
                <w:szCs w:val="24"/>
              </w:rPr>
              <w:t>Wireless Stds Frequency Table Ad-Hoc Minutes</w:t>
            </w:r>
          </w:p>
        </w:tc>
      </w:tr>
      <w:tr>
        <w:trPr>
          <w:trHeight w:val="359" w:hRule="atLeast"/>
        </w:trPr>
        <w:tc>
          <w:tcPr>
            <w:tcW w:w="9914"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720" w:hanging="0"/>
              <w:rPr>
                <w:b w:val="false"/>
                <w:b w:val="false"/>
                <w:sz w:val="24"/>
                <w:szCs w:val="24"/>
              </w:rPr>
            </w:pPr>
            <w:r>
              <w:rPr>
                <w:b w:val="false"/>
                <w:sz w:val="24"/>
                <w:szCs w:val="24"/>
              </w:rPr>
              <w:t>Date: 2</w:t>
            </w:r>
            <w:r>
              <w:rPr>
                <w:b w:val="false"/>
                <w:sz w:val="24"/>
                <w:szCs w:val="24"/>
              </w:rPr>
              <w:t>5</w:t>
            </w:r>
            <w:r>
              <w:rPr>
                <w:b w:val="false"/>
                <w:sz w:val="24"/>
                <w:szCs w:val="24"/>
              </w:rPr>
              <w:t xml:space="preserve"> August 2022</w:t>
            </w:r>
          </w:p>
        </w:tc>
      </w:tr>
      <w:tr>
        <w:trPr/>
        <w:tc>
          <w:tcPr>
            <w:tcW w:w="243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Name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Affiliation</w:t>
            </w:r>
          </w:p>
        </w:tc>
        <w:tc>
          <w:tcPr>
            <w:tcW w:w="269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Address</w:t>
            </w:r>
          </w:p>
        </w:tc>
        <w:tc>
          <w:tcPr>
            <w:tcW w:w="31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Email</w:t>
            </w:r>
          </w:p>
        </w:tc>
      </w:tr>
      <w:tr>
        <w:trPr>
          <w:trHeight w:val="368" w:hRule="atLeast"/>
        </w:trPr>
        <w:tc>
          <w:tcPr>
            <w:tcW w:w="9914"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4"/>
                <w:szCs w:val="24"/>
              </w:rPr>
            </w:pPr>
            <w:r>
              <w:rPr>
                <w:b w:val="false"/>
                <w:sz w:val="24"/>
                <w:szCs w:val="24"/>
              </w:rPr>
              <w:t>Author</w:t>
            </w:r>
          </w:p>
        </w:tc>
      </w:tr>
      <w:tr>
        <w:trPr/>
        <w:tc>
          <w:tcPr>
            <w:tcW w:w="243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Amelia Andersdotter</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Comcast</w:t>
            </w:r>
          </w:p>
        </w:tc>
        <w:tc>
          <w:tcPr>
            <w:tcW w:w="26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Brussels, Belgium</w:t>
            </w:r>
          </w:p>
        </w:tc>
        <w:tc>
          <w:tcPr>
            <w:tcW w:w="31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amelia.ieee@andersdotter.cc</w:t>
            </w:r>
          </w:p>
        </w:tc>
      </w:tr>
    </w:tbl>
    <w:p>
      <w:pPr>
        <w:pStyle w:val="T1"/>
        <w:rPr>
          <w:b w:val="false"/>
          <w:b w:val="false"/>
          <w:bCs/>
          <w:sz w:val="24"/>
          <w:szCs w:val="24"/>
        </w:rPr>
      </w:pPr>
      <w:r>
        <w:rPr>
          <w:b w:val="false"/>
          <w:bCs/>
          <w:sz w:val="24"/>
          <w:szCs w:val="24"/>
        </w:rPr>
      </w:r>
    </w:p>
    <w:p>
      <w:pPr>
        <w:pStyle w:val="Normal"/>
        <w:numPr>
          <w:ilvl w:val="2"/>
          <w:numId w:val="1"/>
        </w:numPr>
        <w:spacing w:before="0" w:after="0"/>
        <w:contextualSpacing/>
        <w:rPr/>
      </w:pPr>
      <w:r>
        <w:rPr>
          <w:bCs/>
          <w:sz w:val="24"/>
          <w:szCs w:val="24"/>
        </w:rPr>
        <w:t>Ad-hoc co-leader: Edward Au (.18 Chair, Huawei)</w:t>
      </w:r>
      <w:bookmarkStart w:id="0" w:name="_GoBack"/>
      <w:bookmarkEnd w:id="0"/>
    </w:p>
    <w:p>
      <w:pPr>
        <w:pStyle w:val="Normal"/>
        <w:numPr>
          <w:ilvl w:val="2"/>
          <w:numId w:val="1"/>
        </w:numPr>
        <w:spacing w:before="0" w:after="0"/>
        <w:contextualSpacing/>
        <w:rPr>
          <w:sz w:val="24"/>
          <w:szCs w:val="24"/>
        </w:rPr>
      </w:pPr>
      <w:r>
        <w:rPr>
          <w:bCs/>
          <w:sz w:val="24"/>
          <w:szCs w:val="24"/>
        </w:rPr>
        <w:t>Ad-hoc co-leader: Steve Shellhammer (.19 Chair, Qualcomm)</w:t>
      </w:r>
    </w:p>
    <w:p>
      <w:pPr>
        <w:pStyle w:val="Normal"/>
        <w:numPr>
          <w:ilvl w:val="2"/>
          <w:numId w:val="1"/>
        </w:numPr>
        <w:spacing w:before="0" w:after="0"/>
        <w:contextualSpacing/>
        <w:rPr/>
      </w:pPr>
      <w:r>
        <w:rPr>
          <w:bCs/>
          <w:sz w:val="24"/>
          <w:szCs w:val="24"/>
        </w:rPr>
        <w:t xml:space="preserve">Ad-hoc secretary:  Amelia Andersdotter (.18 Secretary, </w:t>
      </w:r>
      <w:r>
        <w:rPr>
          <w:bCs/>
          <w:sz w:val="24"/>
          <w:szCs w:val="24"/>
        </w:rPr>
        <w:t>Comcast</w:t>
      </w:r>
      <w:r>
        <w:rPr>
          <w:bCs/>
          <w:sz w:val="24"/>
          <w:szCs w:val="24"/>
        </w:rPr>
        <w:t xml:space="preserve">) </w:t>
      </w:r>
    </w:p>
    <w:p>
      <w:pPr>
        <w:pStyle w:val="Normal"/>
        <w:numPr>
          <w:ilvl w:val="2"/>
          <w:numId w:val="1"/>
        </w:numPr>
        <w:spacing w:before="0" w:after="0"/>
        <w:contextualSpacing/>
        <w:rPr>
          <w:sz w:val="24"/>
          <w:szCs w:val="24"/>
        </w:rPr>
      </w:pPr>
      <w:r>
        <w:rPr>
          <w:bCs/>
          <w:sz w:val="24"/>
          <w:szCs w:val="24"/>
        </w:rPr>
        <w:t>Attendance tracking: Stuart Kerry (OK-Brit, self)</w:t>
      </w:r>
    </w:p>
    <w:p>
      <w:pPr>
        <w:pStyle w:val="T1"/>
        <w:rPr>
          <w:b w:val="false"/>
          <w:b w:val="false"/>
          <w:bCs/>
          <w:sz w:val="24"/>
          <w:szCs w:val="24"/>
        </w:rPr>
      </w:pPr>
      <w:r>
        <w:rPr>
          <w:b w:val="false"/>
          <w:bCs/>
          <w:sz w:val="24"/>
          <w:szCs w:val="24"/>
        </w:rPr>
      </w:r>
    </w:p>
    <w:p>
      <w:pPr>
        <w:pStyle w:val="Normal"/>
        <w:rPr/>
      </w:pPr>
      <w:r>
        <w:rPr>
          <w:sz w:val="24"/>
          <w:szCs w:val="24"/>
        </w:rPr>
        <w:t>These are the Minutes of the IEEE 802.18/19 Wireless Stds Frequency Table Ad-Hoc monthly teleconference Tuesday, 23 August 2022. Al Petrick (Skyworks Solutions) co-chaired the meeting as Edward Au was not available.</w:t>
        <w:br/>
      </w:r>
    </w:p>
    <w:p>
      <w:pPr>
        <w:pStyle w:val="Normal"/>
        <w:numPr>
          <w:ilvl w:val="0"/>
          <w:numId w:val="1"/>
        </w:numPr>
        <w:spacing w:before="0" w:after="0"/>
        <w:contextualSpacing/>
        <w:rPr/>
      </w:pPr>
      <w:r>
        <w:rPr>
          <w:sz w:val="24"/>
          <w:szCs w:val="24"/>
        </w:rPr>
        <w:t xml:space="preserve">Chair calls the meeting to order at 15:03 ET </w:t>
      </w:r>
    </w:p>
    <w:p>
      <w:pPr>
        <w:pStyle w:val="Normal"/>
        <w:spacing w:before="0" w:after="0"/>
        <w:contextualSpacing/>
        <w:rPr/>
      </w:pPr>
      <w:r>
        <w:rPr>
          <w:sz w:val="24"/>
          <w:szCs w:val="24"/>
        </w:rPr>
        <w:br/>
        <w:t xml:space="preserve">Agenda slide deck </w:t>
      </w:r>
      <w:hyperlink r:id="rId2">
        <w:r>
          <w:rPr>
            <w:rStyle w:val="Internetlnk"/>
            <w:sz w:val="24"/>
            <w:szCs w:val="24"/>
          </w:rPr>
          <w:t>802.18-22-0100r0</w:t>
        </w:r>
      </w:hyperlink>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pPr>
      <w:r>
        <w:rPr>
          <w:bCs/>
          <w:sz w:val="24"/>
          <w:szCs w:val="24"/>
        </w:rPr>
        <w:t>IEEE 802 meeting and participant’s guidelines and requirements</w:t>
      </w:r>
    </w:p>
    <w:p>
      <w:pPr>
        <w:pStyle w:val="Normal"/>
        <w:numPr>
          <w:ilvl w:val="2"/>
          <w:numId w:val="1"/>
        </w:numPr>
        <w:spacing w:before="0" w:after="0"/>
        <w:contextualSpacing/>
        <w:rPr/>
      </w:pPr>
      <w:r>
        <w:rPr>
          <w:bCs/>
          <w:sz w:val="24"/>
          <w:szCs w:val="24"/>
        </w:rPr>
        <w:t>Call for essential patents: no one notified any essential patents.</w:t>
      </w:r>
    </w:p>
    <w:p>
      <w:pPr>
        <w:pStyle w:val="Normal"/>
        <w:numPr>
          <w:ilvl w:val="2"/>
          <w:numId w:val="1"/>
        </w:numPr>
        <w:spacing w:before="0" w:after="0"/>
        <w:contextualSpacing/>
        <w:rPr/>
      </w:pPr>
      <w:r>
        <w:rPr>
          <w:bCs/>
          <w:sz w:val="24"/>
          <w:szCs w:val="24"/>
        </w:rPr>
        <w:t>Copyright notice was presented.</w:t>
      </w:r>
    </w:p>
    <w:p>
      <w:pPr>
        <w:pStyle w:val="Normal"/>
        <w:numPr>
          <w:ilvl w:val="1"/>
          <w:numId w:val="1"/>
        </w:numPr>
        <w:spacing w:before="0" w:after="0"/>
        <w:contextualSpacing/>
        <w:rPr/>
      </w:pPr>
      <w:r>
        <w:rPr>
          <w:bCs/>
          <w:sz w:val="24"/>
          <w:szCs w:val="24"/>
        </w:rPr>
        <w:t>IEEE policies and procedures</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0" w:after="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numPr>
          <w:ilvl w:val="0"/>
          <w:numId w:val="1"/>
        </w:numPr>
        <w:spacing w:before="0" w:after="0"/>
        <w:contextualSpacing/>
        <w:rPr/>
      </w:pPr>
      <w:r>
        <w:rPr>
          <w:sz w:val="24"/>
          <w:szCs w:val="24"/>
        </w:rPr>
        <w:t xml:space="preserve">Chair presents the agenda (slide #9). </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sz w:val="24"/>
          <w:szCs w:val="24"/>
        </w:rPr>
        <w:t>Administrative:</w:t>
        <w:br/>
      </w:r>
    </w:p>
    <w:p>
      <w:pPr>
        <w:pStyle w:val="Normal"/>
        <w:numPr>
          <w:ilvl w:val="1"/>
          <w:numId w:val="1"/>
        </w:numPr>
        <w:tabs>
          <w:tab w:val="left" w:pos="720" w:leader="none"/>
        </w:tabs>
        <w:spacing w:before="0" w:after="0"/>
        <w:contextualSpacing/>
        <w:rPr/>
      </w:pPr>
      <w:r>
        <w:rPr>
          <w:b/>
          <w:bCs/>
          <w:sz w:val="24"/>
          <w:szCs w:val="24"/>
        </w:rPr>
        <w:t xml:space="preserve">Motion #1: </w:t>
      </w:r>
      <w:r>
        <w:rPr>
          <w:sz w:val="24"/>
          <w:szCs w:val="24"/>
        </w:rPr>
        <w:t>To approve the agenda as presented on previous slide</w:t>
      </w:r>
    </w:p>
    <w:p>
      <w:pPr>
        <w:pStyle w:val="Normal"/>
        <w:spacing w:before="0" w:after="0"/>
        <w:ind w:left="1440" w:hanging="0"/>
        <w:contextualSpacing/>
        <w:rPr/>
      </w:pPr>
      <w:r>
        <w:rPr>
          <w:sz w:val="24"/>
          <w:szCs w:val="24"/>
        </w:rPr>
        <w:t xml:space="preserve">Moved by: </w:t>
        <w:tab/>
        <w:t>Stuart Kerry</w:t>
      </w:r>
    </w:p>
    <w:p>
      <w:pPr>
        <w:pStyle w:val="Normal"/>
        <w:spacing w:before="0" w:after="0"/>
        <w:ind w:left="1440" w:hanging="0"/>
        <w:contextualSpacing/>
        <w:rPr/>
      </w:pPr>
      <w:r>
        <w:rPr>
          <w:sz w:val="24"/>
          <w:szCs w:val="24"/>
        </w:rPr>
        <w:t xml:space="preserve">Seconded by: </w:t>
        <w:tab/>
        <w:t xml:space="preserve">Amelia Andersdotter  </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pPr>
      <w:r>
        <w:rPr>
          <w:sz w:val="24"/>
          <w:szCs w:val="24"/>
        </w:rPr>
        <w:t>Vote:  Passed with unanimous consent</w:t>
      </w:r>
    </w:p>
    <w:p>
      <w:pPr>
        <w:pStyle w:val="Normal"/>
        <w:spacing w:before="0" w:after="0"/>
        <w:contextualSpacing/>
        <w:rPr>
          <w:b/>
          <w:b/>
          <w:bCs/>
          <w:sz w:val="24"/>
          <w:szCs w:val="24"/>
        </w:rPr>
      </w:pPr>
      <w:r>
        <w:rPr>
          <w:b/>
          <w:bCs/>
          <w:sz w:val="24"/>
          <w:szCs w:val="24"/>
        </w:rPr>
      </w:r>
    </w:p>
    <w:p>
      <w:pPr>
        <w:pStyle w:val="Normal"/>
        <w:numPr>
          <w:ilvl w:val="1"/>
          <w:numId w:val="1"/>
        </w:numPr>
        <w:rPr/>
      </w:pPr>
      <w:r>
        <w:rPr>
          <w:sz w:val="24"/>
          <w:szCs w:val="24"/>
        </w:rPr>
        <w:t>Minutes were presented by the Chair. No questions or comments. Chair clarifies that yellow highlights will be used as a basis for the continued comment resolution process.</w:t>
      </w:r>
      <w:r>
        <w:rPr>
          <w:b/>
          <w:bCs/>
          <w:sz w:val="24"/>
          <w:szCs w:val="24"/>
        </w:rPr>
        <w:br/>
        <w:br/>
        <w:t>Motion #2:</w:t>
      </w:r>
      <w:r>
        <w:rPr>
          <w:sz w:val="24"/>
          <w:szCs w:val="24"/>
        </w:rPr>
        <w:t xml:space="preserve"> To approve the meeting minutes of the 24 May 2022 IEEE Wireless Stds Frequency Table ad-hoc teleconference call as shown in the document </w:t>
      </w:r>
      <w:hyperlink r:id="rId3">
        <w:r>
          <w:rPr>
            <w:rStyle w:val="Internetlnk"/>
            <w:sz w:val="24"/>
            <w:szCs w:val="24"/>
            <w:u w:val="none"/>
          </w:rPr>
          <w:t>18-22-0057r0</w:t>
        </w:r>
      </w:hyperlink>
      <w:r>
        <w:rPr>
          <w:sz w:val="24"/>
          <w:szCs w:val="24"/>
        </w:rPr>
        <w:t>, with editorial privilege for the 802.18 and 802.19 Chairs.</w:t>
      </w:r>
    </w:p>
    <w:p>
      <w:pPr>
        <w:pStyle w:val="Normal"/>
        <w:spacing w:before="0" w:after="0"/>
        <w:ind w:left="1440" w:hanging="0"/>
        <w:contextualSpacing/>
        <w:rPr/>
      </w:pPr>
      <w:r>
        <w:rPr>
          <w:sz w:val="24"/>
          <w:szCs w:val="24"/>
        </w:rPr>
        <w:t xml:space="preserve">Moved by: </w:t>
        <w:tab/>
        <w:t>Tuncer Baykas</w:t>
      </w:r>
    </w:p>
    <w:p>
      <w:pPr>
        <w:pStyle w:val="Normal"/>
        <w:spacing w:before="0" w:after="0"/>
        <w:ind w:left="1440" w:hanging="0"/>
        <w:contextualSpacing/>
        <w:rPr/>
      </w:pPr>
      <w:r>
        <w:rPr>
          <w:sz w:val="24"/>
          <w:szCs w:val="24"/>
        </w:rPr>
        <w:t xml:space="preserve">Seconded by: </w:t>
        <w:tab/>
        <w:t>Ben Rolfe</w:t>
      </w:r>
    </w:p>
    <w:p>
      <w:pPr>
        <w:pStyle w:val="Normal"/>
        <w:spacing w:before="0" w:after="0"/>
        <w:ind w:left="1440" w:hanging="0"/>
        <w:contextualSpacing/>
        <w:rPr/>
      </w:pPr>
      <w:r>
        <w:rPr>
          <w:sz w:val="24"/>
          <w:szCs w:val="24"/>
        </w:rPr>
        <w:t>Discussion?  None</w:t>
      </w:r>
    </w:p>
    <w:p>
      <w:pPr>
        <w:pStyle w:val="Normal"/>
        <w:spacing w:before="0" w:after="0"/>
        <w:ind w:left="1440" w:hanging="0"/>
        <w:contextualSpacing/>
        <w:rPr/>
      </w:pPr>
      <w:r>
        <w:rPr>
          <w:sz w:val="24"/>
          <w:szCs w:val="24"/>
        </w:rPr>
        <w:t>Vote:  Passed with unanimous consent</w:t>
        <w:br/>
      </w:r>
    </w:p>
    <w:p>
      <w:pPr>
        <w:pStyle w:val="Normal"/>
        <w:numPr>
          <w:ilvl w:val="0"/>
          <w:numId w:val="1"/>
        </w:numPr>
        <w:spacing w:before="0" w:after="0"/>
        <w:contextualSpacing/>
        <w:rPr/>
      </w:pPr>
      <w:r>
        <w:rPr>
          <w:b/>
          <w:bCs/>
          <w:sz w:val="24"/>
          <w:szCs w:val="24"/>
        </w:rPr>
        <w:t>Comment resolution</w:t>
        <w:br/>
        <w:br/>
      </w:r>
      <w:r>
        <w:rPr>
          <w:sz w:val="24"/>
          <w:szCs w:val="24"/>
        </w:rPr>
        <w:t>There were 12 comments. 8 have already been addressed.</w:t>
      </w:r>
      <w:r>
        <w:rPr>
          <w:sz w:val="24"/>
          <w:szCs w:val="24"/>
        </w:rPr>
        <w:t xml:space="preserve"> Reference documents for discussion are </w:t>
      </w:r>
      <w:hyperlink r:id="rId4">
        <w:r>
          <w:rPr>
            <w:rStyle w:val="Internetlnk"/>
            <w:sz w:val="24"/>
            <w:szCs w:val="24"/>
          </w:rPr>
          <w:t>18-22-0009r0</w:t>
        </w:r>
      </w:hyperlink>
      <w:r>
        <w:rPr>
          <w:sz w:val="24"/>
          <w:szCs w:val="24"/>
        </w:rPr>
        <w:t xml:space="preserve">, </w:t>
      </w:r>
      <w:hyperlink r:id="rId5">
        <w:r>
          <w:rPr>
            <w:rStyle w:val="Internetlnk"/>
            <w:sz w:val="24"/>
            <w:szCs w:val="24"/>
          </w:rPr>
          <w:t>18-22-0051r0</w:t>
        </w:r>
      </w:hyperlink>
      <w:r>
        <w:rPr>
          <w:sz w:val="24"/>
          <w:szCs w:val="24"/>
        </w:rPr>
        <w:t xml:space="preserve">, </w:t>
      </w:r>
      <w:hyperlink r:id="rId6">
        <w:r>
          <w:rPr>
            <w:rStyle w:val="Internetlnk"/>
            <w:sz w:val="24"/>
            <w:szCs w:val="24"/>
          </w:rPr>
          <w:t>18-22-0053r0</w:t>
        </w:r>
      </w:hyperlink>
      <w:r>
        <w:rPr>
          <w:sz w:val="24"/>
          <w:szCs w:val="24"/>
        </w:rPr>
        <w:t xml:space="preserve"> and </w:t>
      </w:r>
      <w:hyperlink r:id="rId7">
        <w:r>
          <w:rPr>
            <w:rStyle w:val="Internetlnk"/>
            <w:sz w:val="24"/>
            <w:szCs w:val="24"/>
          </w:rPr>
          <w:t>18-22-0057r0</w:t>
        </w:r>
      </w:hyperlink>
      <w:r>
        <w:rPr>
          <w:sz w:val="24"/>
          <w:szCs w:val="24"/>
        </w:rPr>
        <w:t>.</w:t>
      </w:r>
      <w:r>
        <w:rPr>
          <w:b/>
          <w:bCs/>
          <w:sz w:val="24"/>
          <w:szCs w:val="24"/>
        </w:rPr>
        <w:br/>
        <w:br/>
        <w:t xml:space="preserve">Comment #5: </w:t>
      </w:r>
      <w:r>
        <w:rPr>
          <w:sz w:val="24"/>
          <w:szCs w:val="24"/>
        </w:rPr>
        <w:t>We have previous discussion on this in 18-22-0053r0 and 18-22-0057r0. Consistency with how we've mapped other channel mappings is important. We should do for lower bands the way we've already done it for the higher bands, and in our current entries for higher bands we have two rows: one for 4a and for 4z. Resolution: We can insert this as an index 615 between 600 and 610. In the bands 250-750 on row index 110, we should also insert an index 115 to reflect current technologies capabilities in our specifications. Resolution finalized: Revised.</w:t>
        <w:br/>
        <w:br/>
      </w:r>
      <w:r>
        <w:rPr>
          <w:b/>
          <w:bCs/>
          <w:sz w:val="24"/>
          <w:szCs w:val="24"/>
        </w:rPr>
        <w:t>Comment #9:</w:t>
      </w:r>
      <w:r>
        <w:rPr>
          <w:sz w:val="24"/>
          <w:szCs w:val="24"/>
        </w:rPr>
        <w:t xml:space="preserve"> We need to postpone this for later. It's clear that this information would be very useful but it's a big undertaking. In a non-formal comment resolution exercise like this we can put this as Accept in principle and say that this is desirable for a future revision. Resolution: Accept in principle, to be considered for future revision</w:t>
      </w:r>
      <w:r>
        <w:rPr>
          <w:sz w:val="24"/>
          <w:szCs w:val="24"/>
        </w:rPr>
        <w:t xml:space="preserve"> with a technical contribution</w:t>
      </w:r>
      <w:r>
        <w:rPr>
          <w:sz w:val="24"/>
          <w:szCs w:val="24"/>
        </w:rPr>
        <w:t>.</w:t>
        <w:br/>
        <w:br/>
      </w:r>
      <w:r>
        <w:rPr>
          <w:b/>
          <w:bCs/>
          <w:sz w:val="24"/>
          <w:szCs w:val="24"/>
        </w:rPr>
        <w:t xml:space="preserve">Comment #10: </w:t>
      </w:r>
      <w:r>
        <w:rPr>
          <w:sz w:val="24"/>
          <w:szCs w:val="24"/>
        </w:rPr>
        <w:t>Accepting this comment, even in principle, would make a different document for a different purpose. Rather than expanding on applications we should try to get rid of mentions of applications. We were trying to map overlap in channel use between different 802 technologies, and using applications as the reference point would make it very regulatory. Resolution: Revised with a clarification to remove application-oriented notes not intended for the final document.</w:t>
        <w:br/>
        <w:br/>
      </w:r>
      <w:r>
        <w:rPr>
          <w:b/>
          <w:bCs/>
          <w:sz w:val="24"/>
          <w:szCs w:val="24"/>
        </w:rPr>
        <w:t>Comment #2:</w:t>
      </w:r>
      <w:r>
        <w:rPr>
          <w:sz w:val="24"/>
          <w:szCs w:val="24"/>
        </w:rPr>
        <w:t xml:space="preserve"> Revised. A resolution has been crafted to this.</w:t>
        <w:br/>
        <w:br/>
      </w:r>
      <w:r>
        <w:rPr>
          <w:b/>
          <w:bCs/>
          <w:sz w:val="24"/>
          <w:szCs w:val="24"/>
        </w:rPr>
        <w:t>Chair:</w:t>
      </w:r>
      <w:r>
        <w:rPr>
          <w:sz w:val="24"/>
          <w:szCs w:val="24"/>
        </w:rPr>
        <w:t xml:space="preserve"> </w:t>
      </w:r>
      <w:r>
        <w:rPr>
          <w:sz w:val="24"/>
          <w:szCs w:val="24"/>
          <w:shd w:fill="FFFF00" w:val="clear"/>
        </w:rPr>
        <w:t>I will make a comment resolution document revision 2 and upload on mentor.</w:t>
      </w:r>
      <w:r>
        <w:rPr>
          <w:sz w:val="24"/>
          <w:szCs w:val="24"/>
        </w:rPr>
        <w:br/>
      </w:r>
    </w:p>
    <w:p>
      <w:pPr>
        <w:pStyle w:val="Normal"/>
        <w:numPr>
          <w:ilvl w:val="0"/>
          <w:numId w:val="1"/>
        </w:numPr>
        <w:spacing w:before="0" w:after="0"/>
        <w:contextualSpacing/>
        <w:rPr/>
      </w:pPr>
      <w:r>
        <w:rPr>
          <w:b/>
          <w:bCs/>
          <w:sz w:val="24"/>
          <w:szCs w:val="24"/>
        </w:rPr>
        <w:t>AOB?</w:t>
      </w:r>
    </w:p>
    <w:p>
      <w:pPr>
        <w:pStyle w:val="Normal"/>
        <w:spacing w:before="0" w:after="0"/>
        <w:contextualSpacing/>
        <w:rPr>
          <w:sz w:val="24"/>
          <w:szCs w:val="24"/>
        </w:rPr>
      </w:pPr>
      <w:r>
        <w:rPr>
          <w:sz w:val="24"/>
          <w:szCs w:val="24"/>
        </w:rPr>
      </w:r>
    </w:p>
    <w:p>
      <w:pPr>
        <w:pStyle w:val="Normal"/>
        <w:numPr>
          <w:ilvl w:val="0"/>
          <w:numId w:val="2"/>
        </w:numPr>
        <w:spacing w:before="0" w:after="0"/>
        <w:contextualSpacing/>
        <w:rPr/>
      </w:pPr>
      <w:r>
        <w:rPr>
          <w:sz w:val="24"/>
          <w:szCs w:val="24"/>
        </w:rPr>
        <w:t>No one raises other issues.</w:t>
      </w:r>
    </w:p>
    <w:p>
      <w:pPr>
        <w:pStyle w:val="Normal"/>
        <w:numPr>
          <w:ilvl w:val="0"/>
          <w:numId w:val="2"/>
        </w:numPr>
        <w:spacing w:before="0" w:after="0"/>
        <w:contextualSpacing/>
        <w:rPr/>
      </w:pPr>
      <w:r>
        <w:rPr>
          <w:sz w:val="24"/>
          <w:szCs w:val="24"/>
        </w:rPr>
        <w:t xml:space="preserve">9 participants, 7 voters [Report by Stuart Kerry]. </w:t>
      </w:r>
    </w:p>
    <w:p>
      <w:pPr>
        <w:pStyle w:val="Normal"/>
        <w:numPr>
          <w:ilvl w:val="1"/>
          <w:numId w:val="3"/>
        </w:numPr>
        <w:spacing w:before="0" w:after="0"/>
        <w:contextualSpacing/>
        <w:rPr/>
      </w:pPr>
      <w:r>
        <w:rPr>
          <w:b/>
          <w:bCs/>
          <w:sz w:val="24"/>
          <w:szCs w:val="24"/>
        </w:rPr>
        <w:t>Next monthly ad-hoc: 27 September 2022</w:t>
      </w:r>
      <w:r>
        <w:rPr>
          <w:b/>
          <w:bCs/>
          <w:sz w:val="24"/>
          <w:szCs w:val="24"/>
          <w:highlight w:val="cyan"/>
        </w:rPr>
        <w:t xml:space="preserve"> </w:t>
      </w:r>
    </w:p>
    <w:p>
      <w:pPr>
        <w:pStyle w:val="Normal"/>
        <w:numPr>
          <w:ilvl w:val="2"/>
          <w:numId w:val="3"/>
        </w:numPr>
        <w:spacing w:before="0" w:after="0"/>
        <w:contextualSpacing/>
        <w:rPr/>
      </w:pPr>
      <w:r>
        <w:rPr>
          <w:sz w:val="24"/>
          <w:szCs w:val="24"/>
        </w:rPr>
        <w:t xml:space="preserve">Call in info: </w:t>
      </w:r>
      <w:r>
        <w:rPr>
          <w:rStyle w:val="Internetlnk"/>
          <w:sz w:val="24"/>
          <w:szCs w:val="24"/>
        </w:rPr>
        <w:t>https://mentor.ieee.org/802.18/dcn/16/18-16-0038-26-0000-teleconference-call-in-info.pptx</w:t>
      </w:r>
    </w:p>
    <w:p>
      <w:pPr>
        <w:pStyle w:val="Normal"/>
        <w:numPr>
          <w:ilvl w:val="2"/>
          <w:numId w:val="3"/>
        </w:numPr>
        <w:spacing w:before="0" w:after="0"/>
        <w:contextualSpacing/>
        <w:rPr/>
      </w:pPr>
      <w:r>
        <w:rPr>
          <w:sz w:val="24"/>
          <w:szCs w:val="24"/>
        </w:rPr>
        <w:t xml:space="preserve">All late changes/cancellations will be sent out to the 802.18 and 802.19 list servers. </w:t>
      </w:r>
    </w:p>
    <w:p>
      <w:pPr>
        <w:pStyle w:val="Normal"/>
        <w:numPr>
          <w:ilvl w:val="1"/>
          <w:numId w:val="3"/>
        </w:numPr>
        <w:spacing w:before="0" w:after="0"/>
        <w:contextualSpacing/>
        <w:rPr/>
      </w:pPr>
      <w:r>
        <w:rPr>
          <w:sz w:val="24"/>
          <w:szCs w:val="24"/>
        </w:rPr>
        <w:t xml:space="preserve">Overall IEEE 802 schedule: </w:t>
      </w:r>
      <w:hyperlink r:id="rId8">
        <w:r>
          <w:rPr>
            <w:rStyle w:val="Internetlnk"/>
            <w:sz w:val="24"/>
            <w:szCs w:val="24"/>
          </w:rPr>
          <w:t>http://ieee802.org/802tele_calendar.html</w:t>
        </w:r>
      </w:hyperlink>
    </w:p>
    <w:p>
      <w:pPr>
        <w:pStyle w:val="Normal"/>
        <w:numPr>
          <w:ilvl w:val="1"/>
          <w:numId w:val="3"/>
        </w:numPr>
        <w:spacing w:before="0" w:after="0"/>
        <w:contextualSpacing/>
        <w:rPr/>
      </w:pPr>
      <w:r>
        <w:rPr>
          <w:bCs/>
          <w:sz w:val="24"/>
          <w:szCs w:val="24"/>
        </w:rPr>
        <w:t xml:space="preserve">Adjourn: </w:t>
        <w:tab/>
        <w:t xml:space="preserve"> </w:t>
      </w:r>
    </w:p>
    <w:p>
      <w:pPr>
        <w:pStyle w:val="Normal"/>
        <w:numPr>
          <w:ilvl w:val="2"/>
          <w:numId w:val="3"/>
        </w:numPr>
        <w:spacing w:before="0" w:after="0"/>
        <w:contextualSpacing/>
        <w:rPr/>
      </w:pPr>
      <w:r>
        <w:rPr>
          <w:sz w:val="24"/>
          <w:szCs w:val="24"/>
        </w:rPr>
        <w:t xml:space="preserve">Any objection to Adjourn. </w:t>
      </w:r>
    </w:p>
    <w:p>
      <w:pPr>
        <w:pStyle w:val="Normal"/>
        <w:numPr>
          <w:ilvl w:val="2"/>
          <w:numId w:val="3"/>
        </w:numPr>
        <w:spacing w:before="0" w:after="0"/>
        <w:contextualSpacing/>
        <w:rPr/>
      </w:pPr>
      <w:r>
        <w:rPr>
          <w:sz w:val="24"/>
          <w:szCs w:val="24"/>
        </w:rPr>
        <w:t>None heard.</w:t>
      </w:r>
    </w:p>
    <w:p>
      <w:pPr>
        <w:pStyle w:val="Normal"/>
        <w:numPr>
          <w:ilvl w:val="2"/>
          <w:numId w:val="3"/>
        </w:numPr>
        <w:spacing w:before="0" w:after="0"/>
        <w:contextualSpacing/>
        <w:rPr/>
      </w:pPr>
      <w:r>
        <w:rPr>
          <w:sz w:val="24"/>
          <w:szCs w:val="24"/>
        </w:rPr>
        <w:t>Adjourn at 16:00 ET</w:t>
      </w:r>
    </w:p>
    <w:p>
      <w:pPr>
        <w:pStyle w:val="Normal"/>
        <w:rPr>
          <w:sz w:val="24"/>
          <w:szCs w:val="24"/>
        </w:rPr>
      </w:pPr>
      <w:r>
        <w:rPr>
          <w:sz w:val="24"/>
          <w:szCs w:val="24"/>
        </w:rPr>
      </w:r>
    </w:p>
    <w:p>
      <w:pPr>
        <w:pStyle w:val="ListParagraph"/>
        <w:ind w:left="0" w:hanging="0"/>
        <w:rPr/>
      </w:pPr>
      <w:r>
        <w:rPr/>
        <w:t>ATTENDANCE</w:t>
      </w:r>
    </w:p>
    <w:p>
      <w:pPr>
        <w:pStyle w:val="Normal"/>
        <w:rPr>
          <w:sz w:val="24"/>
          <w:szCs w:val="24"/>
        </w:rPr>
      </w:pPr>
      <w:r>
        <w:rPr>
          <w:sz w:val="24"/>
          <w:szCs w:val="24"/>
        </w:rPr>
      </w:r>
    </w:p>
    <w:p>
      <w:pPr>
        <w:pStyle w:val="ListParagraph"/>
        <w:numPr>
          <w:ilvl w:val="0"/>
          <w:numId w:val="4"/>
        </w:numPr>
        <w:spacing w:before="0" w:after="0"/>
        <w:contextualSpacing/>
        <w:rPr/>
      </w:pPr>
      <w:r>
        <w:rPr>
          <w:rFonts w:eastAsia="Times New Roman" w:cs="Arial" w:ascii="Arial" w:hAnsi="Arial"/>
          <w:b/>
          <w:bCs/>
          <w:sz w:val="20"/>
        </w:rPr>
        <w:t>Meeting Attendance Names and Affiliations:</w:t>
      </w:r>
    </w:p>
    <w:p>
      <w:pPr>
        <w:pStyle w:val="Normal"/>
        <w:rPr>
          <w:rFonts w:eastAsia="Calibri" w:eastAsiaTheme="minorHAnsi"/>
          <w:b/>
          <w:b/>
          <w:bCs/>
          <w:sz w:val="20"/>
        </w:rPr>
      </w:pPr>
      <w:r>
        <w:rPr>
          <w:rFonts w:eastAsia="Calibri" w:eastAsiaTheme="minorHAnsi"/>
          <w:b/>
          <w:bCs/>
          <w:sz w:val="20"/>
        </w:rPr>
      </w:r>
    </w:p>
    <w:p>
      <w:pPr>
        <w:pStyle w:val="Normal"/>
        <w:rPr>
          <w:rFonts w:eastAsia="Calibri" w:eastAsiaTheme="minorHAnsi"/>
          <w:b/>
          <w:b/>
          <w:bCs/>
          <w:sz w:val="20"/>
        </w:rPr>
      </w:pPr>
      <w:r>
        <w:rPr>
          <w:rFonts w:eastAsia="Calibri" w:eastAsiaTheme="minorHAnsi"/>
          <w:b/>
          <w:bCs/>
          <w:sz w:val="20"/>
        </w:rPr>
      </w:r>
    </w:p>
    <w:tbl>
      <w:tblPr>
        <w:tblW w:w="8895"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195"/>
        <w:gridCol w:w="1830"/>
        <w:gridCol w:w="2024"/>
        <w:gridCol w:w="3781"/>
        <w:gridCol w:w="1065"/>
      </w:tblGrid>
      <w:tr>
        <w:trPr/>
        <w:tc>
          <w:tcPr>
            <w:tcW w:w="2025" w:type="dxa"/>
            <w:gridSpan w:val="2"/>
            <w:tcBorders/>
            <w:vAlign w:val="center"/>
          </w:tcPr>
          <w:p>
            <w:pPr>
              <w:pStyle w:val="Tabellinnehll"/>
              <w:widowControl w:val="false"/>
              <w:rPr>
                <w:rFonts w:ascii="Arial;sans-serif" w:hAnsi="Arial;sans-serif"/>
                <w:b/>
                <w:b/>
                <w:sz w:val="20"/>
              </w:rPr>
            </w:pPr>
            <w:r>
              <w:rPr>
                <w:rFonts w:ascii="Arial;sans-serif" w:hAnsi="Arial;sans-serif"/>
                <w:b/>
                <w:sz w:val="20"/>
              </w:rPr>
              <w:t>Voting Attendees:</w:t>
            </w:r>
          </w:p>
        </w:tc>
        <w:tc>
          <w:tcPr>
            <w:tcW w:w="2024" w:type="dxa"/>
            <w:tcBorders/>
            <w:vAlign w:val="center"/>
          </w:tcPr>
          <w:p>
            <w:pPr>
              <w:pStyle w:val="Tabellinnehll"/>
              <w:widowControl w:val="false"/>
              <w:rPr>
                <w:sz w:val="4"/>
                <w:szCs w:val="4"/>
              </w:rPr>
            </w:pPr>
            <w:r>
              <w:rPr>
                <w:sz w:val="4"/>
                <w:szCs w:val="4"/>
              </w:rPr>
            </w:r>
          </w:p>
        </w:tc>
        <w:tc>
          <w:tcPr>
            <w:tcW w:w="3781" w:type="dxa"/>
            <w:tcBorders/>
            <w:vAlign w:val="center"/>
          </w:tcPr>
          <w:p>
            <w:pPr>
              <w:pStyle w:val="Tabellinnehll"/>
              <w:widowControl w:val="false"/>
              <w:rPr>
                <w:sz w:val="4"/>
                <w:szCs w:val="4"/>
              </w:rPr>
            </w:pPr>
            <w:r>
              <w:rPr>
                <w:sz w:val="4"/>
                <w:szCs w:val="4"/>
              </w:rPr>
            </w:r>
          </w:p>
        </w:tc>
        <w:tc>
          <w:tcPr>
            <w:tcW w:w="1065" w:type="dxa"/>
            <w:tcBorders/>
            <w:vAlign w:val="center"/>
          </w:tcPr>
          <w:p>
            <w:pPr>
              <w:pStyle w:val="Tabellinnehll"/>
              <w:widowControl w:val="false"/>
              <w:jc w:val="center"/>
              <w:rPr>
                <w:rFonts w:ascii="Arial;sans-serif" w:hAnsi="Arial;sans-serif"/>
                <w:b/>
                <w:b/>
                <w:sz w:val="20"/>
              </w:rPr>
            </w:pPr>
            <w:r>
              <w:rPr>
                <w:rFonts w:ascii="Arial;sans-serif" w:hAnsi="Arial;sans-serif"/>
                <w:b/>
                <w:sz w:val="20"/>
              </w:rPr>
              <w:t>23-Aug</w:t>
            </w:r>
          </w:p>
        </w:tc>
      </w:tr>
      <w:tr>
        <w:trPr/>
        <w:tc>
          <w:tcPr>
            <w:tcW w:w="195" w:type="dxa"/>
            <w:tcBorders/>
            <w:vAlign w:val="center"/>
          </w:tcPr>
          <w:p>
            <w:pPr>
              <w:pStyle w:val="Tabellinnehll"/>
              <w:widowControl w:val="false"/>
              <w:jc w:val="center"/>
              <w:rPr>
                <w:rFonts w:ascii="Arial;sans-serif" w:hAnsi="Arial;sans-serif"/>
                <w:sz w:val="20"/>
              </w:rPr>
            </w:pPr>
            <w:r>
              <w:rPr>
                <w:rFonts w:ascii="Arial;sans-serif" w:hAnsi="Arial;sans-serif"/>
                <w:sz w:val="20"/>
              </w:rPr>
              <w:t>1</w:t>
            </w:r>
          </w:p>
        </w:tc>
        <w:tc>
          <w:tcPr>
            <w:tcW w:w="1830" w:type="dxa"/>
            <w:tcBorders/>
            <w:vAlign w:val="center"/>
          </w:tcPr>
          <w:p>
            <w:pPr>
              <w:pStyle w:val="Tabellinnehll"/>
              <w:widowControl w:val="false"/>
              <w:rPr>
                <w:rFonts w:ascii="Arial;sans-serif" w:hAnsi="Arial;sans-serif"/>
                <w:b/>
                <w:b/>
                <w:sz w:val="20"/>
              </w:rPr>
            </w:pPr>
            <w:r>
              <w:rPr>
                <w:rFonts w:ascii="Arial;sans-serif" w:hAnsi="Arial;sans-serif"/>
                <w:b/>
                <w:sz w:val="20"/>
              </w:rPr>
              <w:t>Andersdotter</w:t>
            </w:r>
          </w:p>
        </w:tc>
        <w:tc>
          <w:tcPr>
            <w:tcW w:w="2024" w:type="dxa"/>
            <w:tcBorders/>
            <w:vAlign w:val="center"/>
          </w:tcPr>
          <w:p>
            <w:pPr>
              <w:pStyle w:val="Tabellinnehll"/>
              <w:widowControl w:val="false"/>
              <w:rPr>
                <w:rFonts w:ascii="Arial;sans-serif" w:hAnsi="Arial;sans-serif"/>
                <w:sz w:val="20"/>
              </w:rPr>
            </w:pPr>
            <w:r>
              <w:rPr>
                <w:rFonts w:ascii="Arial;sans-serif" w:hAnsi="Arial;sans-serif"/>
                <w:sz w:val="20"/>
              </w:rPr>
              <w:t>Amelia</w:t>
            </w:r>
          </w:p>
        </w:tc>
        <w:tc>
          <w:tcPr>
            <w:tcW w:w="3781" w:type="dxa"/>
            <w:tcBorders/>
            <w:vAlign w:val="center"/>
          </w:tcPr>
          <w:p>
            <w:pPr>
              <w:pStyle w:val="Tabellinnehll"/>
              <w:widowControl w:val="false"/>
              <w:rPr>
                <w:rFonts w:ascii="Arial;sans-serif" w:hAnsi="Arial;sans-serif"/>
                <w:sz w:val="20"/>
              </w:rPr>
            </w:pPr>
            <w:r>
              <w:rPr>
                <w:rFonts w:ascii="Arial;sans-serif" w:hAnsi="Arial;sans-serif"/>
                <w:sz w:val="20"/>
              </w:rPr>
              <w:t>Comcast</w:t>
            </w:r>
          </w:p>
        </w:tc>
        <w:tc>
          <w:tcPr>
            <w:tcW w:w="1065"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95" w:type="dxa"/>
            <w:tcBorders/>
            <w:vAlign w:val="center"/>
          </w:tcPr>
          <w:p>
            <w:pPr>
              <w:pStyle w:val="Tabellinnehll"/>
              <w:widowControl w:val="false"/>
              <w:jc w:val="center"/>
              <w:rPr>
                <w:rFonts w:ascii="Arial;sans-serif" w:hAnsi="Arial;sans-serif"/>
                <w:sz w:val="20"/>
              </w:rPr>
            </w:pPr>
            <w:r>
              <w:rPr>
                <w:rFonts w:ascii="Arial;sans-serif" w:hAnsi="Arial;sans-serif"/>
                <w:sz w:val="20"/>
              </w:rPr>
              <w:t>2</w:t>
            </w:r>
          </w:p>
        </w:tc>
        <w:tc>
          <w:tcPr>
            <w:tcW w:w="1830" w:type="dxa"/>
            <w:tcBorders/>
            <w:vAlign w:val="center"/>
          </w:tcPr>
          <w:p>
            <w:pPr>
              <w:pStyle w:val="Tabellinnehll"/>
              <w:widowControl w:val="false"/>
              <w:rPr>
                <w:rFonts w:ascii="Arial;sans-serif" w:hAnsi="Arial;sans-serif"/>
                <w:b/>
                <w:b/>
                <w:sz w:val="20"/>
              </w:rPr>
            </w:pPr>
            <w:r>
              <w:rPr>
                <w:rFonts w:ascii="Arial;sans-serif" w:hAnsi="Arial;sans-serif"/>
                <w:b/>
                <w:sz w:val="20"/>
              </w:rPr>
              <w:t>Baykas</w:t>
            </w:r>
          </w:p>
        </w:tc>
        <w:tc>
          <w:tcPr>
            <w:tcW w:w="2024" w:type="dxa"/>
            <w:tcBorders/>
            <w:vAlign w:val="center"/>
          </w:tcPr>
          <w:p>
            <w:pPr>
              <w:pStyle w:val="Tabellinnehll"/>
              <w:widowControl w:val="false"/>
              <w:rPr>
                <w:rFonts w:ascii="Arial;sans-serif" w:hAnsi="Arial;sans-serif"/>
                <w:sz w:val="20"/>
              </w:rPr>
            </w:pPr>
            <w:r>
              <w:rPr>
                <w:rFonts w:ascii="Arial;sans-serif" w:hAnsi="Arial;sans-serif"/>
                <w:sz w:val="20"/>
              </w:rPr>
              <w:t>Tuncer</w:t>
            </w:r>
          </w:p>
        </w:tc>
        <w:tc>
          <w:tcPr>
            <w:tcW w:w="3781" w:type="dxa"/>
            <w:tcBorders/>
            <w:vAlign w:val="center"/>
          </w:tcPr>
          <w:p>
            <w:pPr>
              <w:pStyle w:val="Tabellinnehll"/>
              <w:widowControl w:val="false"/>
              <w:rPr>
                <w:rFonts w:ascii="Arial;sans-serif" w:hAnsi="Arial;sans-serif"/>
                <w:sz w:val="20"/>
              </w:rPr>
            </w:pPr>
            <w:r>
              <w:rPr>
                <w:rFonts w:ascii="Arial;sans-serif" w:hAnsi="Arial;sans-serif"/>
                <w:sz w:val="20"/>
              </w:rPr>
              <w:t>Ofinno</w:t>
            </w:r>
          </w:p>
        </w:tc>
        <w:tc>
          <w:tcPr>
            <w:tcW w:w="1065"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95" w:type="dxa"/>
            <w:tcBorders/>
            <w:vAlign w:val="center"/>
          </w:tcPr>
          <w:p>
            <w:pPr>
              <w:pStyle w:val="Tabellinnehll"/>
              <w:widowControl w:val="false"/>
              <w:jc w:val="center"/>
              <w:rPr>
                <w:rFonts w:ascii="Arial;sans-serif" w:hAnsi="Arial;sans-serif"/>
                <w:sz w:val="20"/>
              </w:rPr>
            </w:pPr>
            <w:r>
              <w:rPr>
                <w:rFonts w:ascii="Arial;sans-serif" w:hAnsi="Arial;sans-serif"/>
                <w:sz w:val="20"/>
              </w:rPr>
              <w:t>3</w:t>
            </w:r>
          </w:p>
        </w:tc>
        <w:tc>
          <w:tcPr>
            <w:tcW w:w="1830" w:type="dxa"/>
            <w:tcBorders/>
            <w:vAlign w:val="center"/>
          </w:tcPr>
          <w:p>
            <w:pPr>
              <w:pStyle w:val="Tabellinnehll"/>
              <w:widowControl w:val="false"/>
              <w:rPr>
                <w:rFonts w:ascii="Arial;sans-serif" w:hAnsi="Arial;sans-serif"/>
                <w:b/>
                <w:b/>
                <w:sz w:val="20"/>
              </w:rPr>
            </w:pPr>
            <w:r>
              <w:rPr>
                <w:rFonts w:ascii="Arial;sans-serif" w:hAnsi="Arial;sans-serif"/>
                <w:b/>
                <w:sz w:val="20"/>
              </w:rPr>
              <w:t>Kerry</w:t>
            </w:r>
          </w:p>
        </w:tc>
        <w:tc>
          <w:tcPr>
            <w:tcW w:w="2024" w:type="dxa"/>
            <w:tcBorders/>
            <w:vAlign w:val="center"/>
          </w:tcPr>
          <w:p>
            <w:pPr>
              <w:pStyle w:val="Tabellinnehll"/>
              <w:widowControl w:val="false"/>
              <w:rPr>
                <w:rFonts w:ascii="Arial;sans-serif" w:hAnsi="Arial;sans-serif"/>
                <w:sz w:val="20"/>
              </w:rPr>
            </w:pPr>
            <w:r>
              <w:rPr>
                <w:rFonts w:ascii="Arial;sans-serif" w:hAnsi="Arial;sans-serif"/>
                <w:sz w:val="20"/>
              </w:rPr>
              <w:t>Stuart</w:t>
            </w:r>
          </w:p>
        </w:tc>
        <w:tc>
          <w:tcPr>
            <w:tcW w:w="3781" w:type="dxa"/>
            <w:tcBorders/>
            <w:vAlign w:val="center"/>
          </w:tcPr>
          <w:p>
            <w:pPr>
              <w:pStyle w:val="Tabellinnehll"/>
              <w:widowControl w:val="false"/>
              <w:rPr/>
            </w:pPr>
            <w:r>
              <w:rPr>
                <w:rFonts w:ascii="Arial;sans-serif" w:hAnsi="Arial;sans-serif"/>
                <w:sz w:val="20"/>
              </w:rPr>
              <w:t>OK</w:t>
            </w:r>
            <w:r>
              <w:rPr/>
              <w:t>‐</w:t>
            </w:r>
            <w:r>
              <w:rPr>
                <w:rFonts w:ascii="Arial;sans-serif" w:hAnsi="Arial;sans-serif"/>
                <w:sz w:val="20"/>
              </w:rPr>
              <w:t>Brit, Self</w:t>
            </w:r>
          </w:p>
        </w:tc>
        <w:tc>
          <w:tcPr>
            <w:tcW w:w="1065"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95" w:type="dxa"/>
            <w:tcBorders/>
            <w:vAlign w:val="center"/>
          </w:tcPr>
          <w:p>
            <w:pPr>
              <w:pStyle w:val="Tabellinnehll"/>
              <w:widowControl w:val="false"/>
              <w:jc w:val="center"/>
              <w:rPr>
                <w:rFonts w:ascii="Arial;sans-serif" w:hAnsi="Arial;sans-serif"/>
                <w:sz w:val="20"/>
              </w:rPr>
            </w:pPr>
            <w:r>
              <w:rPr>
                <w:rFonts w:ascii="Arial;sans-serif" w:hAnsi="Arial;sans-serif"/>
                <w:sz w:val="20"/>
              </w:rPr>
              <w:t>4</w:t>
            </w:r>
          </w:p>
        </w:tc>
        <w:tc>
          <w:tcPr>
            <w:tcW w:w="1830" w:type="dxa"/>
            <w:tcBorders/>
            <w:vAlign w:val="center"/>
          </w:tcPr>
          <w:p>
            <w:pPr>
              <w:pStyle w:val="Tabellinnehll"/>
              <w:widowControl w:val="false"/>
              <w:rPr>
                <w:rFonts w:ascii="Arial;sans-serif" w:hAnsi="Arial;sans-serif"/>
                <w:b/>
                <w:b/>
                <w:sz w:val="20"/>
              </w:rPr>
            </w:pPr>
            <w:r>
              <w:rPr>
                <w:rFonts w:ascii="Arial;sans-serif" w:hAnsi="Arial;sans-serif"/>
                <w:b/>
                <w:sz w:val="20"/>
              </w:rPr>
              <w:t>Nikolich</w:t>
            </w:r>
          </w:p>
        </w:tc>
        <w:tc>
          <w:tcPr>
            <w:tcW w:w="2024" w:type="dxa"/>
            <w:tcBorders/>
            <w:vAlign w:val="center"/>
          </w:tcPr>
          <w:p>
            <w:pPr>
              <w:pStyle w:val="Tabellinnehll"/>
              <w:widowControl w:val="false"/>
              <w:rPr>
                <w:rFonts w:ascii="Arial;sans-serif" w:hAnsi="Arial;sans-serif"/>
                <w:sz w:val="20"/>
              </w:rPr>
            </w:pPr>
            <w:r>
              <w:rPr>
                <w:rFonts w:ascii="Arial;sans-serif" w:hAnsi="Arial;sans-serif"/>
                <w:sz w:val="20"/>
              </w:rPr>
              <w:t>Paul</w:t>
            </w:r>
          </w:p>
        </w:tc>
        <w:tc>
          <w:tcPr>
            <w:tcW w:w="3781" w:type="dxa"/>
            <w:tcBorders/>
            <w:vAlign w:val="center"/>
          </w:tcPr>
          <w:p>
            <w:pPr>
              <w:pStyle w:val="Tabellinnehll"/>
              <w:widowControl w:val="false"/>
              <w:rPr>
                <w:rFonts w:ascii="Arial;sans-serif" w:hAnsi="Arial;sans-serif"/>
                <w:sz w:val="20"/>
              </w:rPr>
            </w:pPr>
            <w:r>
              <w:rPr>
                <w:rFonts w:ascii="Arial;sans-serif" w:hAnsi="Arial;sans-serif"/>
                <w:sz w:val="20"/>
              </w:rPr>
              <w:t>Self, HPE, Huawei, Wyebot, UNH BCoE, YAS BBV, Origin Wireless</w:t>
            </w:r>
          </w:p>
        </w:tc>
        <w:tc>
          <w:tcPr>
            <w:tcW w:w="1065"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95" w:type="dxa"/>
            <w:tcBorders/>
            <w:vAlign w:val="center"/>
          </w:tcPr>
          <w:p>
            <w:pPr>
              <w:pStyle w:val="Tabellinnehll"/>
              <w:widowControl w:val="false"/>
              <w:jc w:val="center"/>
              <w:rPr>
                <w:rFonts w:ascii="Arial;sans-serif" w:hAnsi="Arial;sans-serif"/>
                <w:sz w:val="20"/>
              </w:rPr>
            </w:pPr>
            <w:r>
              <w:rPr>
                <w:rFonts w:ascii="Arial;sans-serif" w:hAnsi="Arial;sans-serif"/>
                <w:sz w:val="20"/>
              </w:rPr>
              <w:t>5</w:t>
            </w:r>
          </w:p>
        </w:tc>
        <w:tc>
          <w:tcPr>
            <w:tcW w:w="1830" w:type="dxa"/>
            <w:tcBorders/>
            <w:vAlign w:val="center"/>
          </w:tcPr>
          <w:p>
            <w:pPr>
              <w:pStyle w:val="Tabellinnehll"/>
              <w:widowControl w:val="false"/>
              <w:rPr>
                <w:rFonts w:ascii="Arial;sans-serif" w:hAnsi="Arial;sans-serif"/>
                <w:b/>
                <w:b/>
                <w:sz w:val="20"/>
              </w:rPr>
            </w:pPr>
            <w:r>
              <w:rPr>
                <w:rFonts w:ascii="Arial;sans-serif" w:hAnsi="Arial;sans-serif"/>
                <w:b/>
                <w:sz w:val="20"/>
              </w:rPr>
              <w:t>Petrick</w:t>
            </w:r>
          </w:p>
        </w:tc>
        <w:tc>
          <w:tcPr>
            <w:tcW w:w="2024" w:type="dxa"/>
            <w:tcBorders/>
            <w:vAlign w:val="center"/>
          </w:tcPr>
          <w:p>
            <w:pPr>
              <w:pStyle w:val="Tabellinnehll"/>
              <w:widowControl w:val="false"/>
              <w:rPr>
                <w:rFonts w:ascii="Arial;sans-serif" w:hAnsi="Arial;sans-serif"/>
                <w:sz w:val="20"/>
              </w:rPr>
            </w:pPr>
            <w:r>
              <w:rPr>
                <w:rFonts w:ascii="Arial;sans-serif" w:hAnsi="Arial;sans-serif"/>
                <w:sz w:val="20"/>
              </w:rPr>
              <w:t>Al</w:t>
            </w:r>
          </w:p>
        </w:tc>
        <w:tc>
          <w:tcPr>
            <w:tcW w:w="3781" w:type="dxa"/>
            <w:tcBorders/>
            <w:vAlign w:val="center"/>
          </w:tcPr>
          <w:p>
            <w:pPr>
              <w:pStyle w:val="Tabellinnehll"/>
              <w:widowControl w:val="false"/>
              <w:rPr>
                <w:rFonts w:ascii="Arial;sans-serif" w:hAnsi="Arial;sans-serif"/>
                <w:sz w:val="20"/>
              </w:rPr>
            </w:pPr>
            <w:r>
              <w:rPr>
                <w:rFonts w:ascii="Arial;sans-serif" w:hAnsi="Arial;sans-serif"/>
                <w:sz w:val="20"/>
              </w:rPr>
              <w:t>Skyworks Solutions Inc.</w:t>
            </w:r>
          </w:p>
        </w:tc>
        <w:tc>
          <w:tcPr>
            <w:tcW w:w="1065"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95" w:type="dxa"/>
            <w:tcBorders/>
            <w:vAlign w:val="center"/>
          </w:tcPr>
          <w:p>
            <w:pPr>
              <w:pStyle w:val="Tabellinnehll"/>
              <w:widowControl w:val="false"/>
              <w:jc w:val="center"/>
              <w:rPr>
                <w:rFonts w:ascii="Arial;sans-serif" w:hAnsi="Arial;sans-serif"/>
                <w:sz w:val="20"/>
              </w:rPr>
            </w:pPr>
            <w:r>
              <w:rPr>
                <w:rFonts w:ascii="Arial;sans-serif" w:hAnsi="Arial;sans-serif"/>
                <w:sz w:val="20"/>
              </w:rPr>
              <w:t>6</w:t>
            </w:r>
          </w:p>
        </w:tc>
        <w:tc>
          <w:tcPr>
            <w:tcW w:w="1830" w:type="dxa"/>
            <w:tcBorders/>
            <w:vAlign w:val="center"/>
          </w:tcPr>
          <w:p>
            <w:pPr>
              <w:pStyle w:val="Tabellinnehll"/>
              <w:widowControl w:val="false"/>
              <w:rPr>
                <w:rFonts w:ascii="Arial;sans-serif" w:hAnsi="Arial;sans-serif"/>
                <w:b/>
                <w:b/>
                <w:sz w:val="20"/>
              </w:rPr>
            </w:pPr>
            <w:r>
              <w:rPr>
                <w:rFonts w:ascii="Arial;sans-serif" w:hAnsi="Arial;sans-serif"/>
                <w:b/>
                <w:sz w:val="20"/>
              </w:rPr>
              <w:t>Rolfe</w:t>
            </w:r>
          </w:p>
        </w:tc>
        <w:tc>
          <w:tcPr>
            <w:tcW w:w="2024" w:type="dxa"/>
            <w:tcBorders/>
            <w:vAlign w:val="center"/>
          </w:tcPr>
          <w:p>
            <w:pPr>
              <w:pStyle w:val="Tabellinnehll"/>
              <w:widowControl w:val="false"/>
              <w:rPr>
                <w:rFonts w:ascii="Arial;sans-serif" w:hAnsi="Arial;sans-serif"/>
                <w:sz w:val="20"/>
              </w:rPr>
            </w:pPr>
            <w:r>
              <w:rPr>
                <w:rFonts w:ascii="Arial;sans-serif" w:hAnsi="Arial;sans-serif"/>
                <w:sz w:val="20"/>
              </w:rPr>
              <w:t>Benjamin</w:t>
            </w:r>
          </w:p>
        </w:tc>
        <w:tc>
          <w:tcPr>
            <w:tcW w:w="3781" w:type="dxa"/>
            <w:tcBorders/>
            <w:vAlign w:val="center"/>
          </w:tcPr>
          <w:p>
            <w:pPr>
              <w:pStyle w:val="Tabellinnehll"/>
              <w:widowControl w:val="false"/>
              <w:rPr>
                <w:rFonts w:ascii="Arial;sans-serif" w:hAnsi="Arial;sans-serif"/>
                <w:sz w:val="20"/>
              </w:rPr>
            </w:pPr>
            <w:r>
              <w:rPr>
                <w:rFonts w:ascii="Arial;sans-serif" w:hAnsi="Arial;sans-serif"/>
                <w:sz w:val="20"/>
              </w:rPr>
              <w:t>Blind Creek Associates</w:t>
            </w:r>
          </w:p>
        </w:tc>
        <w:tc>
          <w:tcPr>
            <w:tcW w:w="1065"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95" w:type="dxa"/>
            <w:tcBorders/>
            <w:vAlign w:val="center"/>
          </w:tcPr>
          <w:p>
            <w:pPr>
              <w:pStyle w:val="Tabellinnehll"/>
              <w:widowControl w:val="false"/>
              <w:jc w:val="center"/>
              <w:rPr>
                <w:rFonts w:ascii="Arial;sans-serif" w:hAnsi="Arial;sans-serif"/>
                <w:sz w:val="20"/>
              </w:rPr>
            </w:pPr>
            <w:r>
              <w:rPr>
                <w:rFonts w:ascii="Arial;sans-serif" w:hAnsi="Arial;sans-serif"/>
                <w:sz w:val="20"/>
              </w:rPr>
              <w:t>7</w:t>
            </w:r>
          </w:p>
        </w:tc>
        <w:tc>
          <w:tcPr>
            <w:tcW w:w="1830" w:type="dxa"/>
            <w:tcBorders/>
            <w:vAlign w:val="center"/>
          </w:tcPr>
          <w:p>
            <w:pPr>
              <w:pStyle w:val="Tabellinnehll"/>
              <w:widowControl w:val="false"/>
              <w:rPr>
                <w:rFonts w:ascii="Arial;sans-serif" w:hAnsi="Arial;sans-serif"/>
                <w:b/>
                <w:b/>
                <w:sz w:val="20"/>
              </w:rPr>
            </w:pPr>
            <w:r>
              <w:rPr>
                <w:rFonts w:ascii="Arial;sans-serif" w:hAnsi="Arial;sans-serif"/>
                <w:b/>
                <w:sz w:val="20"/>
              </w:rPr>
              <w:t>Shellhammer</w:t>
            </w:r>
          </w:p>
        </w:tc>
        <w:tc>
          <w:tcPr>
            <w:tcW w:w="2024" w:type="dxa"/>
            <w:tcBorders/>
            <w:vAlign w:val="center"/>
          </w:tcPr>
          <w:p>
            <w:pPr>
              <w:pStyle w:val="Tabellinnehll"/>
              <w:widowControl w:val="false"/>
              <w:rPr>
                <w:rFonts w:ascii="Arial;sans-serif" w:hAnsi="Arial;sans-serif"/>
                <w:sz w:val="20"/>
              </w:rPr>
            </w:pPr>
            <w:r>
              <w:rPr>
                <w:rFonts w:ascii="Arial;sans-serif" w:hAnsi="Arial;sans-serif"/>
                <w:sz w:val="20"/>
              </w:rPr>
              <w:t>Steve</w:t>
            </w:r>
          </w:p>
        </w:tc>
        <w:tc>
          <w:tcPr>
            <w:tcW w:w="3781" w:type="dxa"/>
            <w:tcBorders/>
            <w:vAlign w:val="center"/>
          </w:tcPr>
          <w:p>
            <w:pPr>
              <w:pStyle w:val="Tabellinnehll"/>
              <w:widowControl w:val="false"/>
              <w:rPr>
                <w:rFonts w:ascii="Arial;sans-serif" w:hAnsi="Arial;sans-serif"/>
                <w:sz w:val="20"/>
              </w:rPr>
            </w:pPr>
            <w:r>
              <w:rPr>
                <w:rFonts w:ascii="Arial;sans-serif" w:hAnsi="Arial;sans-serif"/>
                <w:sz w:val="20"/>
              </w:rPr>
              <w:t>Qualcomm Technologies, Inc.</w:t>
            </w:r>
          </w:p>
        </w:tc>
        <w:tc>
          <w:tcPr>
            <w:tcW w:w="1065"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95" w:type="dxa"/>
            <w:tcBorders/>
            <w:vAlign w:val="center"/>
          </w:tcPr>
          <w:p>
            <w:pPr>
              <w:pStyle w:val="Tabellinnehll"/>
              <w:widowControl w:val="false"/>
              <w:rPr>
                <w:sz w:val="4"/>
                <w:szCs w:val="4"/>
              </w:rPr>
            </w:pPr>
            <w:r>
              <w:rPr>
                <w:sz w:val="4"/>
                <w:szCs w:val="4"/>
              </w:rPr>
            </w:r>
          </w:p>
        </w:tc>
        <w:tc>
          <w:tcPr>
            <w:tcW w:w="1830" w:type="dxa"/>
            <w:tcBorders/>
            <w:vAlign w:val="center"/>
          </w:tcPr>
          <w:p>
            <w:pPr>
              <w:pStyle w:val="Tabellinnehll"/>
              <w:widowControl w:val="false"/>
              <w:rPr>
                <w:sz w:val="4"/>
                <w:szCs w:val="4"/>
              </w:rPr>
            </w:pPr>
            <w:r>
              <w:rPr>
                <w:sz w:val="4"/>
                <w:szCs w:val="4"/>
              </w:rPr>
            </w:r>
          </w:p>
        </w:tc>
        <w:tc>
          <w:tcPr>
            <w:tcW w:w="2024" w:type="dxa"/>
            <w:tcBorders/>
            <w:vAlign w:val="center"/>
          </w:tcPr>
          <w:p>
            <w:pPr>
              <w:pStyle w:val="Tabellinnehll"/>
              <w:widowControl w:val="false"/>
              <w:rPr>
                <w:sz w:val="4"/>
                <w:szCs w:val="4"/>
              </w:rPr>
            </w:pPr>
            <w:r>
              <w:rPr>
                <w:sz w:val="4"/>
                <w:szCs w:val="4"/>
              </w:rPr>
            </w:r>
          </w:p>
        </w:tc>
        <w:tc>
          <w:tcPr>
            <w:tcW w:w="3781" w:type="dxa"/>
            <w:tcBorders/>
            <w:vAlign w:val="center"/>
          </w:tcPr>
          <w:p>
            <w:pPr>
              <w:pStyle w:val="Tabellinnehll"/>
              <w:widowControl w:val="false"/>
              <w:rPr>
                <w:sz w:val="4"/>
                <w:szCs w:val="4"/>
              </w:rPr>
            </w:pPr>
            <w:r>
              <w:rPr>
                <w:sz w:val="4"/>
                <w:szCs w:val="4"/>
              </w:rPr>
            </w:r>
          </w:p>
        </w:tc>
        <w:tc>
          <w:tcPr>
            <w:tcW w:w="1065" w:type="dxa"/>
            <w:tcBorders/>
            <w:vAlign w:val="center"/>
          </w:tcPr>
          <w:p>
            <w:pPr>
              <w:pStyle w:val="Tabellinnehll"/>
              <w:widowControl w:val="false"/>
              <w:rPr>
                <w:sz w:val="4"/>
                <w:szCs w:val="4"/>
              </w:rPr>
            </w:pPr>
            <w:r>
              <w:rPr>
                <w:sz w:val="4"/>
                <w:szCs w:val="4"/>
              </w:rPr>
            </w:r>
          </w:p>
        </w:tc>
      </w:tr>
      <w:tr>
        <w:trPr/>
        <w:tc>
          <w:tcPr>
            <w:tcW w:w="4049" w:type="dxa"/>
            <w:gridSpan w:val="3"/>
            <w:tcBorders/>
            <w:vAlign w:val="center"/>
          </w:tcPr>
          <w:p>
            <w:pPr>
              <w:pStyle w:val="Tabellinnehll"/>
              <w:widowControl w:val="false"/>
              <w:rPr>
                <w:rFonts w:ascii="Arial;sans-serif" w:hAnsi="Arial;sans-serif"/>
                <w:b/>
                <w:b/>
                <w:sz w:val="20"/>
              </w:rPr>
            </w:pPr>
            <w:r>
              <w:rPr>
                <w:rFonts w:ascii="Arial;sans-serif" w:hAnsi="Arial;sans-serif"/>
                <w:b/>
                <w:sz w:val="20"/>
              </w:rPr>
              <w:t>Non-Voting Attendees:</w:t>
            </w:r>
          </w:p>
        </w:tc>
        <w:tc>
          <w:tcPr>
            <w:tcW w:w="3781" w:type="dxa"/>
            <w:tcBorders/>
            <w:vAlign w:val="center"/>
          </w:tcPr>
          <w:p>
            <w:pPr>
              <w:pStyle w:val="Tabellinnehll"/>
              <w:widowControl w:val="false"/>
              <w:rPr>
                <w:sz w:val="4"/>
                <w:szCs w:val="4"/>
              </w:rPr>
            </w:pPr>
            <w:r>
              <w:rPr>
                <w:sz w:val="4"/>
                <w:szCs w:val="4"/>
              </w:rPr>
            </w:r>
          </w:p>
        </w:tc>
        <w:tc>
          <w:tcPr>
            <w:tcW w:w="1065" w:type="dxa"/>
            <w:tcBorders/>
            <w:vAlign w:val="center"/>
          </w:tcPr>
          <w:p>
            <w:pPr>
              <w:pStyle w:val="Tabellinnehll"/>
              <w:widowControl w:val="false"/>
              <w:jc w:val="center"/>
              <w:rPr>
                <w:rFonts w:ascii="Arial;sans-serif" w:hAnsi="Arial;sans-serif"/>
                <w:b/>
                <w:b/>
                <w:sz w:val="20"/>
              </w:rPr>
            </w:pPr>
            <w:r>
              <w:rPr>
                <w:rFonts w:ascii="Arial;sans-serif" w:hAnsi="Arial;sans-serif"/>
                <w:b/>
                <w:sz w:val="20"/>
              </w:rPr>
              <w:t>23-Aug</w:t>
            </w:r>
          </w:p>
        </w:tc>
      </w:tr>
      <w:tr>
        <w:trPr/>
        <w:tc>
          <w:tcPr>
            <w:tcW w:w="195" w:type="dxa"/>
            <w:tcBorders/>
            <w:vAlign w:val="center"/>
          </w:tcPr>
          <w:p>
            <w:pPr>
              <w:pStyle w:val="Tabellinnehll"/>
              <w:widowControl w:val="false"/>
              <w:jc w:val="center"/>
              <w:rPr>
                <w:rFonts w:ascii="Arial;sans-serif" w:hAnsi="Arial;sans-serif"/>
                <w:sz w:val="20"/>
              </w:rPr>
            </w:pPr>
            <w:r>
              <w:rPr>
                <w:rFonts w:ascii="Arial;sans-serif" w:hAnsi="Arial;sans-serif"/>
                <w:sz w:val="20"/>
              </w:rPr>
              <w:t>1</w:t>
            </w:r>
          </w:p>
        </w:tc>
        <w:tc>
          <w:tcPr>
            <w:tcW w:w="1830" w:type="dxa"/>
            <w:tcBorders/>
            <w:vAlign w:val="center"/>
          </w:tcPr>
          <w:p>
            <w:pPr>
              <w:pStyle w:val="Tabellinnehll"/>
              <w:widowControl w:val="false"/>
              <w:rPr>
                <w:rFonts w:ascii="Arial;sans-serif" w:hAnsi="Arial;sans-serif"/>
                <w:b/>
                <w:b/>
                <w:sz w:val="20"/>
              </w:rPr>
            </w:pPr>
            <w:r>
              <w:rPr>
                <w:rFonts w:ascii="Arial;sans-serif" w:hAnsi="Arial;sans-serif"/>
                <w:b/>
                <w:sz w:val="20"/>
              </w:rPr>
              <w:t>Adakeja</w:t>
            </w:r>
          </w:p>
        </w:tc>
        <w:tc>
          <w:tcPr>
            <w:tcW w:w="2024" w:type="dxa"/>
            <w:tcBorders/>
            <w:vAlign w:val="center"/>
          </w:tcPr>
          <w:p>
            <w:pPr>
              <w:pStyle w:val="Tabellinnehll"/>
              <w:widowControl w:val="false"/>
              <w:rPr>
                <w:rFonts w:ascii="Arial;sans-serif" w:hAnsi="Arial;sans-serif"/>
                <w:sz w:val="20"/>
              </w:rPr>
            </w:pPr>
            <w:r>
              <w:rPr>
                <w:rFonts w:ascii="Arial;sans-serif" w:hAnsi="Arial;sans-serif"/>
                <w:sz w:val="20"/>
              </w:rPr>
              <w:t>Olubukola</w:t>
            </w:r>
          </w:p>
        </w:tc>
        <w:tc>
          <w:tcPr>
            <w:tcW w:w="3781" w:type="dxa"/>
            <w:tcBorders/>
            <w:vAlign w:val="center"/>
          </w:tcPr>
          <w:p>
            <w:pPr>
              <w:pStyle w:val="Tabellinnehll"/>
              <w:widowControl w:val="false"/>
              <w:rPr>
                <w:rFonts w:ascii="Arial;sans-serif" w:hAnsi="Arial;sans-serif"/>
                <w:sz w:val="20"/>
              </w:rPr>
            </w:pPr>
            <w:r>
              <w:rPr>
                <w:rFonts w:ascii="Arial;sans-serif" w:hAnsi="Arial;sans-serif"/>
                <w:sz w:val="20"/>
              </w:rPr>
              <w:t>Teradyne</w:t>
            </w:r>
          </w:p>
        </w:tc>
        <w:tc>
          <w:tcPr>
            <w:tcW w:w="1065"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95" w:type="dxa"/>
            <w:tcBorders/>
            <w:vAlign w:val="center"/>
          </w:tcPr>
          <w:p>
            <w:pPr>
              <w:pStyle w:val="Tabellinnehll"/>
              <w:widowControl w:val="false"/>
              <w:jc w:val="center"/>
              <w:rPr>
                <w:rFonts w:ascii="Arial;sans-serif" w:hAnsi="Arial;sans-serif"/>
                <w:sz w:val="20"/>
              </w:rPr>
            </w:pPr>
            <w:r>
              <w:rPr>
                <w:rFonts w:ascii="Arial;sans-serif" w:hAnsi="Arial;sans-serif"/>
                <w:sz w:val="20"/>
              </w:rPr>
              <w:t>2</w:t>
            </w:r>
          </w:p>
        </w:tc>
        <w:tc>
          <w:tcPr>
            <w:tcW w:w="1830" w:type="dxa"/>
            <w:tcBorders/>
            <w:vAlign w:val="center"/>
          </w:tcPr>
          <w:p>
            <w:pPr>
              <w:pStyle w:val="Tabellinnehll"/>
              <w:widowControl w:val="false"/>
              <w:rPr>
                <w:rFonts w:ascii="Arial;sans-serif" w:hAnsi="Arial;sans-serif"/>
                <w:b/>
                <w:b/>
                <w:sz w:val="20"/>
              </w:rPr>
            </w:pPr>
            <w:r>
              <w:rPr>
                <w:rFonts w:ascii="Arial;sans-serif" w:hAnsi="Arial;sans-serif"/>
                <w:b/>
                <w:sz w:val="20"/>
              </w:rPr>
              <w:t>Halasz</w:t>
            </w:r>
          </w:p>
        </w:tc>
        <w:tc>
          <w:tcPr>
            <w:tcW w:w="2024" w:type="dxa"/>
            <w:tcBorders/>
            <w:vAlign w:val="center"/>
          </w:tcPr>
          <w:p>
            <w:pPr>
              <w:pStyle w:val="Tabellinnehll"/>
              <w:widowControl w:val="false"/>
              <w:rPr>
                <w:rFonts w:ascii="Arial;sans-serif" w:hAnsi="Arial;sans-serif"/>
                <w:sz w:val="20"/>
              </w:rPr>
            </w:pPr>
            <w:r>
              <w:rPr>
                <w:rFonts w:ascii="Arial;sans-serif" w:hAnsi="Arial;sans-serif"/>
                <w:sz w:val="20"/>
              </w:rPr>
              <w:t>Dave</w:t>
            </w:r>
          </w:p>
        </w:tc>
        <w:tc>
          <w:tcPr>
            <w:tcW w:w="3781" w:type="dxa"/>
            <w:tcBorders/>
            <w:vAlign w:val="center"/>
          </w:tcPr>
          <w:p>
            <w:pPr>
              <w:pStyle w:val="Tabellinnehll"/>
              <w:widowControl w:val="false"/>
              <w:rPr>
                <w:rFonts w:ascii="Arial;sans-serif" w:hAnsi="Arial;sans-serif"/>
                <w:sz w:val="20"/>
              </w:rPr>
            </w:pPr>
            <w:r>
              <w:rPr>
                <w:rFonts w:ascii="Arial;sans-serif" w:hAnsi="Arial;sans-serif"/>
                <w:sz w:val="20"/>
              </w:rPr>
              <w:t>Morse Micro</w:t>
            </w:r>
          </w:p>
        </w:tc>
        <w:tc>
          <w:tcPr>
            <w:tcW w:w="1065"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bl>
    <w:p>
      <w:pPr>
        <w:pStyle w:val="Brdtext"/>
        <w:spacing w:lineRule="auto" w:line="252" w:before="0" w:after="120"/>
        <w:rPr>
          <w:rFonts w:eastAsia="Calibri" w:eastAsiaTheme="minorHAnsi"/>
          <w:b/>
          <w:b/>
          <w:bCs/>
          <w:sz w:val="20"/>
        </w:rPr>
      </w:pPr>
      <w:r>
        <w:rPr/>
      </w:r>
    </w:p>
    <w:sectPr>
      <w:headerReference w:type="default" r:id="rId9"/>
      <w:footerReference w:type="default" r:id="rId10"/>
      <w:type w:val="nextPage"/>
      <w:pgSz w:w="12240" w:h="15840"/>
      <w:pgMar w:left="36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3</w:t>
    </w:r>
    <w:r>
      <w:rPr/>
      <w:fldChar w:fldCharType="end"/>
    </w:r>
    <w:r>
      <w:rPr/>
      <w:t xml:space="preserve"> of </w:t>
    </w:r>
    <w:r>
      <w:rPr/>
      <w:fldChar w:fldCharType="begin"/>
    </w:r>
    <w:r>
      <w:rPr/>
      <w:instrText> NUMPAGES </w:instrText>
    </w:r>
    <w:r>
      <w:rPr/>
      <w:fldChar w:fldCharType="separate"/>
    </w:r>
    <w:r>
      <w:rPr/>
      <w:t>3</w:t>
    </w:r>
    <w:r>
      <w:rPr/>
      <w:fldChar w:fldCharType="end"/>
    </w:r>
    <w:r>
      <w:rPr/>
      <w:tab/>
      <w:t>Amelia Andersdotter (</w:t>
    </w:r>
    <w:r>
      <w:rPr/>
      <w:t>Comcast</w:t>
    </w:r>
    <w:r>
      <w:rPr/>
      <w: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23 August 2022</w:t>
      <w:tab/>
      <w:tab/>
      <w:t>doc.: IEEE.18-22-</w:t>
    </w:r>
    <w:r>
      <w:rPr/>
      <w:t>0105</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decimal"/>
      <w:lvlText w:val="%1)"/>
      <w:lvlJc w:val="left"/>
      <w:pPr>
        <w:tabs>
          <w:tab w:val="num" w:pos="360"/>
        </w:tabs>
        <w:ind w:left="720" w:hanging="360"/>
      </w:p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440" w:hanging="360"/>
      </w:pPr>
    </w:lvl>
    <w:lvl w:ilvl="3">
      <w:start w:val="1"/>
      <w:numFmt w:val="decimal"/>
      <w:lvlText w:val="(%4)"/>
      <w:lvlJc w:val="left"/>
      <w:pPr>
        <w:tabs>
          <w:tab w:val="num" w:pos="360"/>
        </w:tabs>
        <w:ind w:left="1800" w:hanging="360"/>
      </w:pPr>
    </w:lvl>
    <w:lvl w:ilvl="4">
      <w:start w:val="1"/>
      <w:numFmt w:val="lowerLetter"/>
      <w:lvlText w:val="(%5)"/>
      <w:lvlJc w:val="left"/>
      <w:pPr>
        <w:tabs>
          <w:tab w:val="num" w:pos="360"/>
        </w:tabs>
        <w:ind w:left="2160" w:hanging="360"/>
      </w:pPr>
    </w:lvl>
    <w:lvl w:ilvl="5">
      <w:start w:val="1"/>
      <w:numFmt w:val="lowerRoman"/>
      <w:lvlText w:val="(%6)"/>
      <w:lvlJc w:val="left"/>
      <w:pPr>
        <w:tabs>
          <w:tab w:val="num" w:pos="360"/>
        </w:tabs>
        <w:ind w:left="2520" w:hanging="360"/>
      </w:pPr>
    </w:lvl>
    <w:lvl w:ilvl="6">
      <w:start w:val="1"/>
      <w:numFmt w:val="decimal"/>
      <w:lvlText w:val="%7."/>
      <w:lvlJc w:val="left"/>
      <w:pPr>
        <w:tabs>
          <w:tab w:val="num" w:pos="360"/>
        </w:tabs>
        <w:ind w:left="2880" w:hanging="360"/>
      </w:pPr>
    </w:lvl>
    <w:lvl w:ilvl="7">
      <w:start w:val="1"/>
      <w:numFmt w:val="lowerLetter"/>
      <w:lvlText w:val="%8."/>
      <w:lvlJc w:val="left"/>
      <w:pPr>
        <w:tabs>
          <w:tab w:val="num" w:pos="360"/>
        </w:tabs>
        <w:ind w:left="3240" w:hanging="360"/>
      </w:pPr>
    </w:lvl>
    <w:lvl w:ilvl="8">
      <w:start w:val="1"/>
      <w:numFmt w:val="lowerRoman"/>
      <w:lvlText w:val="%9."/>
      <w:lvlJc w:val="left"/>
      <w:pPr>
        <w:tabs>
          <w:tab w:val="num" w:pos="360"/>
        </w:tabs>
        <w:ind w:left="3600" w:hanging="360"/>
      </w:pPr>
    </w:lvl>
  </w:abstractNum>
  <w:abstractNum w:abstractNumId="3">
    <w:lvl w:ilvl="0">
      <w:start w:val="5"/>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lvl w:ilvl="0">
      <w:start w:val="1"/>
      <w:numFmt w:val="lowerLetter"/>
      <w:lvlText w:val="%1)"/>
      <w:lvlJc w:val="left"/>
      <w:pPr>
        <w:tabs>
          <w:tab w:val="num" w:pos="360"/>
        </w:tabs>
        <w:ind w:left="360" w:hanging="360"/>
      </w:pPr>
      <w:rPr>
        <w:sz w:val="20"/>
        <w:i w:val="false"/>
        <w:b/>
        <w:iCs w:val="false"/>
        <w:bCs/>
      </w:rPr>
    </w:lvl>
    <w:lvl w:ilvl="1">
      <w:start w:val="1"/>
      <w:numFmt w:val="bullet"/>
      <w:lvlText w:val=""/>
      <w:lvlJc w:val="left"/>
      <w:pPr>
        <w:tabs>
          <w:tab w:val="num" w:pos="1080"/>
        </w:tabs>
        <w:ind w:left="1080" w:hanging="360"/>
      </w:pPr>
      <w:rPr>
        <w:rFonts w:ascii="Wingdings" w:hAnsi="Wingdings" w:cs="Wingdings"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uiPriority w:val="99"/>
    <w:rPr>
      <w:color w:val="0000FF"/>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UnresolvedMention" w:customStyle="1">
    <w:name w:val="Unresolved Mention"/>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f41e80"/>
    <w:rPr>
      <w:sz w:val="16"/>
      <w:szCs w:val="16"/>
    </w:rPr>
  </w:style>
  <w:style w:type="character" w:styleId="CommentTextChar" w:customStyle="1">
    <w:name w:val="Comment Text Char"/>
    <w:basedOn w:val="DefaultParagraphFont"/>
    <w:link w:val="CommentText"/>
    <w:qFormat/>
    <w:rsid w:val="00f41e80"/>
    <w:rPr/>
  </w:style>
  <w:style w:type="character" w:styleId="CommentSubjectChar" w:customStyle="1">
    <w:name w:val="Comment Subject Char"/>
    <w:basedOn w:val="CommentTextChar"/>
    <w:link w:val="CommentSubject"/>
    <w:qFormat/>
    <w:rsid w:val="00f41e80"/>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
    <w:qFormat/>
    <w:pPr/>
    <w:rPr/>
  </w:style>
  <w:style w:type="paragraph" w:styleId="Objektutanfyllningochutanlinjer" w:customStyle="1">
    <w:name w:val="Objekt utan fyllning och utan linjer"/>
    <w:basedOn w:val="Standard"/>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Annotationtext">
    <w:name w:val="annotation text"/>
    <w:basedOn w:val="Normal"/>
    <w:link w:val="CommentTextChar"/>
    <w:qFormat/>
    <w:rsid w:val="00f41e80"/>
    <w:pPr/>
    <w:rPr>
      <w:sz w:val="20"/>
    </w:rPr>
  </w:style>
  <w:style w:type="paragraph" w:styleId="Annotationsubject">
    <w:name w:val="annotation subject"/>
    <w:basedOn w:val="Annotationtext"/>
    <w:next w:val="Annotationtext"/>
    <w:link w:val="CommentSubjectChar"/>
    <w:qFormat/>
    <w:rsid w:val="00f41e80"/>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8/dcn/22/18-22-0100-00-0000-frequency-table-ad-hoc-agenda-23-august-2022.pptx" TargetMode="External"/><Relationship Id="rId3" Type="http://schemas.openxmlformats.org/officeDocument/2006/relationships/hyperlink" Target="https://mentor.ieee.org/802.18/dcn/22/18-22-0057-00-0000-frequency-table-ad-hoc-minutes-24-may-2022.docx" TargetMode="External"/><Relationship Id="rId4" Type="http://schemas.openxmlformats.org/officeDocument/2006/relationships/hyperlink" Target="https://mentor.ieee.org/802.18/dcn/22/18-22-0009-00-0000-ieee-802-wireless-standards-table-of-frequency-ranges.xlsx" TargetMode="External"/><Relationship Id="rId5" Type="http://schemas.openxmlformats.org/officeDocument/2006/relationships/hyperlink" Target="https://mentor.ieee.org/802.18/dcn/22/18-22-0051-00-0000-rr-tag-meeting-minutes-28-april-2022.docx" TargetMode="External"/><Relationship Id="rId6" Type="http://schemas.openxmlformats.org/officeDocument/2006/relationships/hyperlink" Target="https://mentor.ieee.org/802.18/dcn/22/18-22-0053-00-0000-frequency-table-ad-hoc-minutes-26-april-2022.docx" TargetMode="External"/><Relationship Id="rId7" Type="http://schemas.openxmlformats.org/officeDocument/2006/relationships/hyperlink" Target="https://mentor.ieee.org/802.18/dcn/22/18-22-0057-00-0000-frequency-table-ad-hoc-minutes-24-may-2022.docx" TargetMode="External"/><Relationship Id="rId8" Type="http://schemas.openxmlformats.org/officeDocument/2006/relationships/hyperlink" Target="http://ieee802.org/802tele_calendar.html"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E2E3-2C39-489E-BB72-A170BF99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18360</TotalTime>
  <Application>LibreOffice/7.2.7.2$Linux_X86_64 LibreOffice_project/30$Build-2</Application>
  <AppVersion>15.0000</AppVersion>
  <Pages>3</Pages>
  <Words>711</Words>
  <Characters>3971</Characters>
  <CharactersWithSpaces>4586</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2021-11-24T22:14:00Z</dcterms:created>
  <dc:creator>author</dc:creator>
  <dc:description>________ (____)</dc:description>
  <cp:keywords>24mar22 24mar22 24mar22 24mar22 24mar22 24mar22 24mar22 24mar22 24mar22 24mar22</cp:keywords>
  <dc:language>sv-SE</dc:language>
  <cp:lastModifiedBy>Amelia Andersdotter</cp:lastModifiedBy>
  <cp:lastPrinted>2012-05-15T22:13:00Z</cp:lastPrinted>
  <dcterms:modified xsi:type="dcterms:W3CDTF">2022-08-25T23:08:29Z</dcterms:modified>
  <cp:revision>143</cp:revision>
  <dc:subject>RR-TAG Minutes</dc:subject>
  <dc:title>doc: 18-22/0026r00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