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w:t>
            </w:r>
          </w:p>
          <w:p>
            <w:pPr>
              <w:pStyle w:val="T2"/>
              <w:widowControl w:val="false"/>
              <w:spacing w:before="0" w:after="0"/>
              <w:rPr/>
            </w:pPr>
            <w:r>
              <w:rPr/>
              <w:t>IEEE Spectrum Update Statement (ISUS) Ad-Hoc</w:t>
            </w:r>
          </w:p>
          <w:p>
            <w:pPr>
              <w:pStyle w:val="T2"/>
              <w:widowControl w:val="false"/>
              <w:spacing w:before="0" w:after="120"/>
              <w:rPr/>
            </w:pPr>
            <w:r>
              <w:rPr/>
              <w:t>15 August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17 August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2F16F2D2">
                <wp:simplePos x="0" y="0"/>
                <wp:positionH relativeFrom="column">
                  <wp:posOffset>165735</wp:posOffset>
                </wp:positionH>
                <wp:positionV relativeFrom="paragraph">
                  <wp:posOffset>27305</wp:posOffset>
                </wp:positionV>
                <wp:extent cx="6092190" cy="2854325"/>
                <wp:effectExtent l="0" t="0" r="0" b="0"/>
                <wp:wrapNone/>
                <wp:docPr id="1" name="Text Box 3"/>
                <a:graphic xmlns:a="http://schemas.openxmlformats.org/drawingml/2006/main">
                  <a:graphicData uri="http://schemas.microsoft.com/office/word/2010/wordprocessingShape">
                    <wps:wsp>
                      <wps:cNvSpPr/>
                      <wps:spPr>
                        <a:xfrm>
                          <a:off x="0" y="0"/>
                          <a:ext cx="6091560" cy="2853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Radio Regulatory Technical Advisory Group ISUS Ad-Hoc for 15 August 2022 at 11:00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13.05pt;margin-top:2.15pt;width:479.6pt;height:224.65pt;mso-wrap-style:square;v-text-anchor:top" wp14:anchorId="2F16F2D2">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Radio Regulatory Technical Advisory Group ISUS Ad-Hoc for 15 August 2022 at 11:00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r>
        <w:br w:type="page"/>
      </w:r>
    </w:p>
    <w:p>
      <w:pPr>
        <w:pStyle w:val="T1"/>
        <w:spacing w:before="0" w:after="120"/>
        <w:rPr/>
      </w:pPr>
      <w:r>
        <w:rPr>
          <w:b w:val="false"/>
          <w:bCs/>
          <w:sz w:val="24"/>
          <w:szCs w:val="24"/>
        </w:rPr>
        <w:t>Chair:  Amelia Andersdotter (Comcast)</w:t>
      </w:r>
    </w:p>
    <w:p>
      <w:pPr>
        <w:pStyle w:val="T1"/>
        <w:spacing w:before="0" w:after="120"/>
        <w:rPr/>
      </w:pPr>
      <w:r>
        <w:rPr>
          <w:rStyle w:val="Internetlnk"/>
          <w:b w:val="false"/>
          <w:color w:val="000000"/>
          <w:sz w:val="24"/>
          <w:szCs w:val="24"/>
          <w:u w:val="none"/>
        </w:rPr>
        <w:t>Secretary: Amelia Andersdotter (Comcast)</w:t>
        <w:br/>
        <w:t>Attendance: Stuart Kerry (OK-Brit, Self)</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These are the minutes of the IEEE 802 RR-TAG ISUS Ad-Hoc teleconference on Monday, 15 August 2022 at 11:00 AM ET.</w:t>
        <w:br/>
      </w:r>
    </w:p>
    <w:p>
      <w:pPr>
        <w:pStyle w:val="Normal"/>
        <w:numPr>
          <w:ilvl w:val="0"/>
          <w:numId w:val="1"/>
        </w:numPr>
        <w:spacing w:before="0" w:after="0"/>
        <w:contextualSpacing/>
        <w:rPr/>
      </w:pPr>
      <w:r>
        <w:rPr>
          <w:sz w:val="24"/>
          <w:szCs w:val="24"/>
        </w:rPr>
        <w:t>Chair calls the meeting to order at 11:02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18/22-009</w:t>
        </w:r>
        <w:r>
          <w:rPr>
            <w:rStyle w:val="Internetlnk"/>
            <w:sz w:val="24"/>
            <w:szCs w:val="24"/>
          </w:rPr>
          <w:t>8r0</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sz w:val="24"/>
          <w:szCs w:val="24"/>
        </w:rPr>
      </w:pPr>
      <w:r>
        <w:rPr>
          <w:sz w:val="24"/>
          <w:szCs w:val="24"/>
        </w:rPr>
        <w:t>RR-TAG Policies &amp; Procedures [</w:t>
      </w:r>
      <w:hyperlink r:id="rId4">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5">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with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 No discussion on agenda. Agenda is approved by unanimous consent.</w:t>
        <w:br/>
      </w:r>
    </w:p>
    <w:p>
      <w:pPr>
        <w:pStyle w:val="Normal"/>
        <w:numPr>
          <w:ilvl w:val="0"/>
          <w:numId w:val="1"/>
        </w:numPr>
        <w:spacing w:before="0" w:after="0"/>
        <w:contextualSpacing/>
        <w:rPr/>
      </w:pPr>
      <w:r>
        <w:rPr>
          <w:sz w:val="24"/>
          <w:szCs w:val="24"/>
        </w:rPr>
        <w:t>Main discussion</w:t>
      </w:r>
    </w:p>
    <w:p>
      <w:pPr>
        <w:pStyle w:val="Normal"/>
        <w:spacing w:before="0" w:after="0"/>
        <w:ind w:left="720" w:hanging="0"/>
        <w:contextualSpacing/>
        <w:rPr/>
      </w:pPr>
      <w:r>
        <w:rPr>
          <w:sz w:val="24"/>
          <w:szCs w:val="24"/>
        </w:rPr>
        <w:br/>
      </w:r>
      <w:r>
        <w:rPr>
          <w:b/>
          <w:bCs/>
          <w:sz w:val="24"/>
          <w:szCs w:val="24"/>
        </w:rPr>
        <w:t>Chair:</w:t>
      </w:r>
      <w:r>
        <w:rPr>
          <w:sz w:val="24"/>
          <w:szCs w:val="24"/>
        </w:rPr>
        <w:t xml:space="preserve"> We had a reflector discussion during the week, which outlined two actions we can undertake: 1) rewrite this statement from scratch, 2) recommend the EC to recommend withdrawal. What mechanism could we use to actually come to a decision?</w:t>
        <w:br/>
      </w:r>
      <w:r>
        <w:rPr>
          <w:b/>
          <w:bCs/>
          <w:sz w:val="24"/>
          <w:szCs w:val="24"/>
        </w:rPr>
        <w:t>C:</w:t>
      </w:r>
      <w:r>
        <w:rPr>
          <w:sz w:val="24"/>
          <w:szCs w:val="24"/>
        </w:rPr>
        <w:t xml:space="preserve"> I don't think this statement is about intelligent spectrum management and allocation if it doesn't deal with technologies like CBRS and AFC, .11y, .11af and these sorts of developments. I suppose DFS could also be seen as relatively intelligent. But if the statement will not cover specifically these technologies I don't see the point, to be honest.</w:t>
        <w:br/>
      </w:r>
      <w:r>
        <w:rPr>
          <w:b/>
          <w:bCs/>
          <w:sz w:val="24"/>
          <w:szCs w:val="24"/>
        </w:rPr>
        <w:t>C:</w:t>
      </w:r>
      <w:r>
        <w:rPr>
          <w:sz w:val="24"/>
          <w:szCs w:val="24"/>
        </w:rPr>
        <w:t xml:space="preserve"> CBRS and AFC are not being developed in IEEE 802 though.</w:t>
        <w:br/>
      </w:r>
      <w:r>
        <w:rPr>
          <w:b/>
          <w:bCs/>
          <w:sz w:val="24"/>
          <w:szCs w:val="24"/>
        </w:rPr>
        <w:t>C:</w:t>
      </w:r>
      <w:r>
        <w:rPr>
          <w:sz w:val="24"/>
          <w:szCs w:val="24"/>
        </w:rPr>
        <w:t xml:space="preserve"> Why would we have a statement which talks about things we are not doing?</w:t>
        <w:br/>
      </w:r>
      <w:r>
        <w:rPr>
          <w:b/>
          <w:bCs/>
          <w:sz w:val="24"/>
          <w:szCs w:val="24"/>
        </w:rPr>
        <w:t>Chair:</w:t>
      </w:r>
      <w:r>
        <w:rPr>
          <w:sz w:val="24"/>
          <w:szCs w:val="24"/>
        </w:rPr>
        <w:t xml:space="preserve"> In our previous scope discussions we did already sort of agree that we could rewrite the statement from scratch instead, but with a different aim, namely to have the spectrum use of IEEE 802 technologies represented somewhere with our input when someone searches for IEEE and spectrum. But it would require contributions into that process. What seems obvious is that we can't keep the statement as is, and that also came out in the reflector discussion. It contains a lot of old market data that is not accurate anymore. So doing nothing seems like it's not an option: either we rewrite or we recommend it's withdrawn.</w:t>
        <w:br/>
      </w:r>
      <w:r>
        <w:rPr>
          <w:b/>
          <w:bCs/>
          <w:sz w:val="24"/>
          <w:szCs w:val="24"/>
        </w:rPr>
        <w:t>C:</w:t>
      </w:r>
      <w:r>
        <w:rPr>
          <w:sz w:val="24"/>
          <w:szCs w:val="24"/>
        </w:rPr>
        <w:t xml:space="preserve"> The title then needs to be something very different from what it is now because it's a different document entirely.</w:t>
        <w:br/>
      </w:r>
      <w:r>
        <w:rPr>
          <w:b/>
          <w:bCs/>
          <w:sz w:val="24"/>
          <w:szCs w:val="24"/>
        </w:rPr>
        <w:t>C:</w:t>
      </w:r>
      <w:r>
        <w:rPr>
          <w:sz w:val="24"/>
          <w:szCs w:val="24"/>
        </w:rPr>
        <w:t xml:space="preserve"> The Public Affairs</w:t>
      </w:r>
      <w:bookmarkStart w:id="0" w:name="_GoBack"/>
      <w:bookmarkEnd w:id="0"/>
      <w:r>
        <w:rPr>
          <w:sz w:val="24"/>
          <w:szCs w:val="24"/>
        </w:rPr>
        <w:t xml:space="preserve"> team of the IEEE SA has said they'd be willing to make use of this document in the GEPS.</w:t>
        <w:br/>
      </w:r>
      <w:r>
        <w:rPr>
          <w:b/>
          <w:bCs/>
          <w:sz w:val="24"/>
          <w:szCs w:val="24"/>
        </w:rPr>
        <w:t>C:</w:t>
      </w:r>
      <w:r>
        <w:rPr>
          <w:sz w:val="24"/>
          <w:szCs w:val="24"/>
        </w:rPr>
        <w:t xml:space="preserve"> Maybe we can strawpoll on preferred options?</w:t>
        <w:br/>
      </w:r>
      <w:r>
        <w:rPr>
          <w:b/>
          <w:bCs/>
          <w:sz w:val="24"/>
          <w:szCs w:val="24"/>
        </w:rPr>
        <w:t>Chair:</w:t>
      </w:r>
      <w:r>
        <w:rPr>
          <w:sz w:val="24"/>
          <w:szCs w:val="24"/>
        </w:rPr>
        <w:t xml:space="preserve"> Would the following strawpoll work: "What route shall we take forward with the spectrum position statement process? 1) Rewrite statement from scratch, 2) Try to update document, 3) Withdraw the document". We can make it a multiple choice straw poll? It's just to see a bit where the centre of gravity lies in this group where I see a lot of familiar participants.</w:t>
        <w:br/>
        <w:br/>
      </w:r>
      <w:r>
        <w:rPr>
          <w:b/>
          <w:bCs/>
          <w:sz w:val="24"/>
          <w:szCs w:val="24"/>
        </w:rPr>
        <w:t>Strawpoll:</w:t>
      </w:r>
      <w:r>
        <w:rPr>
          <w:sz w:val="24"/>
          <w:szCs w:val="24"/>
        </w:rPr>
        <w:t xml:space="preserve"> What route shall we take forward with the spectrum position statement process?</w:t>
        <w:br/>
        <w:t xml:space="preserve">1) Rewrite statement from scratch, </w:t>
        <w:br/>
        <w:t xml:space="preserve">2) Try to update document, </w:t>
        <w:br/>
        <w:t>3) Withdraw the document</w:t>
        <w:br/>
        <w:br/>
        <w:t>Result: 1: 4 votes, 2: 0 votes, 3: 6 votes.</w:t>
        <w:br/>
        <w:br/>
      </w:r>
      <w:r>
        <w:rPr>
          <w:b/>
          <w:bCs/>
          <w:sz w:val="24"/>
          <w:szCs w:val="24"/>
        </w:rPr>
        <w:t>Chair:</w:t>
      </w:r>
      <w:r>
        <w:rPr>
          <w:sz w:val="24"/>
          <w:szCs w:val="24"/>
        </w:rPr>
        <w:t xml:space="preserve"> So I think that shows a pretty clear dominance for withdrawing the document and that this is what needs to reported back to IEEE 802.18 on Thursday.</w:t>
        <w:br/>
      </w:r>
      <w:r>
        <w:rPr>
          <w:b/>
          <w:bCs/>
          <w:sz w:val="24"/>
          <w:szCs w:val="24"/>
        </w:rPr>
        <w:t>IEEE 802.18 Chair:</w:t>
      </w:r>
      <w:r>
        <w:rPr>
          <w:sz w:val="24"/>
          <w:szCs w:val="24"/>
        </w:rPr>
        <w:t xml:space="preserve"> I will allocate time for you in the agenda on our Thursday call to do this.</w:t>
        <w:br/>
      </w:r>
    </w:p>
    <w:p>
      <w:pPr>
        <w:pStyle w:val="Normal"/>
        <w:numPr>
          <w:ilvl w:val="0"/>
          <w:numId w:val="1"/>
        </w:numPr>
        <w:spacing w:before="0" w:after="0"/>
        <w:contextualSpacing/>
        <w:rPr>
          <w:sz w:val="24"/>
          <w:szCs w:val="24"/>
        </w:rPr>
      </w:pPr>
      <w:r>
        <w:rPr>
          <w:b/>
          <w:sz w:val="24"/>
          <w:szCs w:val="24"/>
        </w:rPr>
        <w:t>Any other business</w:t>
      </w:r>
    </w:p>
    <w:p>
      <w:pPr>
        <w:pStyle w:val="Normal"/>
        <w:spacing w:before="0" w:after="0"/>
        <w:ind w:left="720" w:hanging="0"/>
        <w:contextualSpacing/>
        <w:rPr/>
      </w:pPr>
      <w:r>
        <w:rPr>
          <w:sz w:val="24"/>
          <w:szCs w:val="24"/>
        </w:rPr>
        <w:b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pPr>
      <w:r>
        <w:rPr>
          <w:sz w:val="24"/>
          <w:szCs w:val="24"/>
        </w:rPr>
        <w:t xml:space="preserve">8 participants and 7 voters (including the chair) [Report by Stuart Kerry]. </w:t>
      </w:r>
    </w:p>
    <w:p>
      <w:pPr>
        <w:pStyle w:val="Normal"/>
        <w:numPr>
          <w:ilvl w:val="1"/>
          <w:numId w:val="1"/>
        </w:numPr>
        <w:spacing w:before="0" w:after="0"/>
        <w:contextualSpacing/>
        <w:rPr/>
      </w:pPr>
      <w:r>
        <w:rPr>
          <w:b/>
          <w:bCs/>
          <w:sz w:val="24"/>
          <w:szCs w:val="24"/>
        </w:rPr>
        <w:t xml:space="preserve">Next IEEE 802.18 weekly teleconference call scheduled for: 18 August 2022, 15h00 ET. </w:t>
      </w:r>
    </w:p>
    <w:p>
      <w:pPr>
        <w:pStyle w:val="Normal"/>
        <w:numPr>
          <w:ilvl w:val="3"/>
          <w:numId w:val="1"/>
        </w:numPr>
        <w:spacing w:before="0" w:after="0"/>
        <w:contextualSpacing/>
        <w:rPr/>
      </w:pPr>
      <w:r>
        <w:rPr>
          <w:sz w:val="24"/>
          <w:szCs w:val="24"/>
        </w:rPr>
        <w:t xml:space="preserve">Call in info: </w:t>
      </w:r>
      <w:hyperlink r:id="rId7">
        <w:r>
          <w:rPr>
            <w:rStyle w:val="Internetlnk"/>
            <w:sz w:val="24"/>
            <w:szCs w:val="24"/>
          </w:rPr>
          <w:t>https://mentor.ieee.org/802.18/dcn/16/18-16-0038-24-0000-teleconference-call-in-info.pptx</w:t>
        </w:r>
      </w:hyperlink>
    </w:p>
    <w:p>
      <w:pPr>
        <w:pStyle w:val="Normal"/>
        <w:numPr>
          <w:ilvl w:val="3"/>
          <w:numId w:val="1"/>
        </w:numPr>
        <w:spacing w:before="0" w:after="0"/>
        <w:contextualSpacing/>
        <w:rPr/>
      </w:pPr>
      <w:r>
        <w:rPr>
          <w:sz w:val="24"/>
          <w:szCs w:val="24"/>
        </w:rPr>
        <w:t xml:space="preserve">IEEE 802 Wireless interim is 12-16 September in Waikoloa.  </w:t>
      </w:r>
    </w:p>
    <w:p>
      <w:pPr>
        <w:pStyle w:val="Normal"/>
        <w:numPr>
          <w:ilvl w:val="3"/>
          <w:numId w:val="1"/>
        </w:numPr>
        <w:spacing w:before="0" w:after="0"/>
        <w:contextualSpacing/>
        <w:rPr/>
      </w:pPr>
      <w:r>
        <w:rPr>
          <w:sz w:val="24"/>
          <w:szCs w:val="24"/>
        </w:rPr>
        <w:t xml:space="preserve">Currently, RR-TAG weekly teleconferences are scheduled until 26 January 2023.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8">
        <w:r>
          <w:rPr>
            <w:rStyle w:val="Internetlnk"/>
            <w:sz w:val="24"/>
            <w:szCs w:val="24"/>
          </w:rPr>
          <w:t>https://ieee802.org/16/cal-temp.html</w:t>
        </w:r>
      </w:hyperlink>
      <w:r>
        <w:rPr>
          <w:sz w:val="24"/>
          <w:szCs w:val="24"/>
        </w:rPr>
        <w:t xml:space="preserve"> or only 802.18:  </w:t>
      </w:r>
      <w:hyperlink r:id="rId9">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11:49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p>
    <w:p>
      <w:pPr>
        <w:pStyle w:val="ListParagraph"/>
        <w:ind w:left="0" w:hanging="0"/>
        <w:rPr>
          <w:b/>
          <w:b/>
          <w:sz w:val="24"/>
          <w:szCs w:val="24"/>
        </w:rPr>
      </w:pPr>
      <w:r>
        <w:rPr>
          <w:b/>
          <w:sz w:val="24"/>
          <w:szCs w:val="24"/>
        </w:rPr>
      </w:r>
    </w:p>
    <w:tbl>
      <w:tblPr>
        <w:tblW w:w="10080"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154"/>
        <w:gridCol w:w="2366"/>
        <w:gridCol w:w="2160"/>
        <w:gridCol w:w="4589"/>
        <w:gridCol w:w="811"/>
      </w:tblGrid>
      <w:tr>
        <w:trPr/>
        <w:tc>
          <w:tcPr>
            <w:tcW w:w="2520" w:type="dxa"/>
            <w:gridSpan w:val="2"/>
            <w:tcBorders/>
            <w:vAlign w:val="center"/>
          </w:tcPr>
          <w:p>
            <w:pPr>
              <w:pStyle w:val="Tabellinnehll"/>
              <w:widowControl w:val="false"/>
              <w:rPr>
                <w:rFonts w:ascii="Arial;sans-serif" w:hAnsi="Arial;sans-serif"/>
                <w:b/>
                <w:b/>
                <w:sz w:val="20"/>
              </w:rPr>
            </w:pPr>
            <w:r>
              <w:rPr>
                <w:rFonts w:ascii="Arial;sans-serif" w:hAnsi="Arial;sans-serif"/>
                <w:b/>
                <w:sz w:val="20"/>
              </w:rPr>
              <w:t>Voting Attendees:</w:t>
            </w:r>
          </w:p>
        </w:tc>
        <w:tc>
          <w:tcPr>
            <w:tcW w:w="2160" w:type="dxa"/>
            <w:tcBorders/>
            <w:vAlign w:val="center"/>
          </w:tcPr>
          <w:p>
            <w:pPr>
              <w:pStyle w:val="Tabellinnehll"/>
              <w:widowControl w:val="false"/>
              <w:rPr>
                <w:sz w:val="4"/>
                <w:szCs w:val="4"/>
              </w:rPr>
            </w:pPr>
            <w:r>
              <w:rPr>
                <w:sz w:val="4"/>
                <w:szCs w:val="4"/>
              </w:rPr>
            </w:r>
          </w:p>
        </w:tc>
        <w:tc>
          <w:tcPr>
            <w:tcW w:w="4589" w:type="dxa"/>
            <w:tcBorders/>
            <w:vAlign w:val="center"/>
          </w:tcPr>
          <w:p>
            <w:pPr>
              <w:pStyle w:val="Tabellinnehll"/>
              <w:widowControl w:val="false"/>
              <w:rPr>
                <w:sz w:val="4"/>
                <w:szCs w:val="4"/>
              </w:rPr>
            </w:pPr>
            <w:r>
              <w:rPr>
                <w:sz w:val="4"/>
                <w:szCs w:val="4"/>
              </w:rPr>
            </w:r>
          </w:p>
        </w:tc>
        <w:tc>
          <w:tcPr>
            <w:tcW w:w="811" w:type="dxa"/>
            <w:tcBorders/>
            <w:vAlign w:val="center"/>
          </w:tcPr>
          <w:p>
            <w:pPr>
              <w:pStyle w:val="Tabellinnehll"/>
              <w:widowControl w:val="false"/>
              <w:jc w:val="center"/>
              <w:rPr>
                <w:rFonts w:ascii="Arial;sans-serif" w:hAnsi="Arial;sans-serif"/>
                <w:b/>
                <w:b/>
                <w:sz w:val="20"/>
              </w:rPr>
            </w:pPr>
            <w:r>
              <w:rPr>
                <w:rFonts w:ascii="Arial;sans-serif" w:hAnsi="Arial;sans-serif"/>
                <w:b/>
                <w:sz w:val="20"/>
              </w:rPr>
              <w:t>15-Aug</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1</w:t>
            </w:r>
          </w:p>
        </w:tc>
        <w:tc>
          <w:tcPr>
            <w:tcW w:w="2366" w:type="dxa"/>
            <w:tcBorders/>
            <w:vAlign w:val="center"/>
          </w:tcPr>
          <w:p>
            <w:pPr>
              <w:pStyle w:val="Tabellinnehll"/>
              <w:widowControl w:val="false"/>
              <w:rPr>
                <w:rFonts w:ascii="Arial;sans-serif" w:hAnsi="Arial;sans-serif"/>
                <w:b/>
                <w:b/>
                <w:sz w:val="20"/>
              </w:rPr>
            </w:pPr>
            <w:r>
              <w:rPr>
                <w:rFonts w:ascii="Arial;sans-serif" w:hAnsi="Arial;sans-serif"/>
                <w:b/>
                <w:sz w:val="20"/>
              </w:rPr>
              <w:t>Andersdotter</w:t>
            </w:r>
          </w:p>
        </w:tc>
        <w:tc>
          <w:tcPr>
            <w:tcW w:w="2160" w:type="dxa"/>
            <w:tcBorders/>
            <w:vAlign w:val="center"/>
          </w:tcPr>
          <w:p>
            <w:pPr>
              <w:pStyle w:val="Tabellinnehll"/>
              <w:widowControl w:val="false"/>
              <w:rPr>
                <w:rFonts w:ascii="Arial;sans-serif" w:hAnsi="Arial;sans-serif"/>
                <w:sz w:val="20"/>
              </w:rPr>
            </w:pPr>
            <w:r>
              <w:rPr>
                <w:rFonts w:ascii="Arial;sans-serif" w:hAnsi="Arial;sans-serif"/>
                <w:sz w:val="20"/>
              </w:rPr>
              <w:t>Amelia</w:t>
            </w:r>
          </w:p>
        </w:tc>
        <w:tc>
          <w:tcPr>
            <w:tcW w:w="4589" w:type="dxa"/>
            <w:tcBorders/>
            <w:vAlign w:val="center"/>
          </w:tcPr>
          <w:p>
            <w:pPr>
              <w:pStyle w:val="Tabellinnehll"/>
              <w:widowControl w:val="false"/>
              <w:rPr>
                <w:rFonts w:ascii="Arial;sans-serif" w:hAnsi="Arial;sans-serif"/>
                <w:sz w:val="20"/>
              </w:rPr>
            </w:pPr>
            <w:r>
              <w:rPr>
                <w:rFonts w:ascii="Arial;sans-serif" w:hAnsi="Arial;sans-serif"/>
                <w:sz w:val="20"/>
              </w:rPr>
              <w:t>Comcast</w:t>
            </w:r>
          </w:p>
        </w:tc>
        <w:tc>
          <w:tcPr>
            <w:tcW w:w="811"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2</w:t>
            </w:r>
          </w:p>
        </w:tc>
        <w:tc>
          <w:tcPr>
            <w:tcW w:w="2366" w:type="dxa"/>
            <w:tcBorders/>
            <w:vAlign w:val="center"/>
          </w:tcPr>
          <w:p>
            <w:pPr>
              <w:pStyle w:val="Tabellinnehll"/>
              <w:widowControl w:val="false"/>
              <w:rPr>
                <w:rFonts w:ascii="Arial;sans-serif" w:hAnsi="Arial;sans-serif"/>
                <w:b/>
                <w:b/>
                <w:sz w:val="20"/>
              </w:rPr>
            </w:pPr>
            <w:r>
              <w:rPr>
                <w:rFonts w:ascii="Arial;sans-serif" w:hAnsi="Arial;sans-serif"/>
                <w:b/>
                <w:sz w:val="20"/>
              </w:rPr>
              <w:t>Au</w:t>
            </w:r>
          </w:p>
        </w:tc>
        <w:tc>
          <w:tcPr>
            <w:tcW w:w="2160" w:type="dxa"/>
            <w:tcBorders/>
            <w:vAlign w:val="center"/>
          </w:tcPr>
          <w:p>
            <w:pPr>
              <w:pStyle w:val="Tabellinnehll"/>
              <w:widowControl w:val="false"/>
              <w:rPr>
                <w:rFonts w:ascii="Arial;sans-serif" w:hAnsi="Arial;sans-serif"/>
                <w:sz w:val="20"/>
              </w:rPr>
            </w:pPr>
            <w:r>
              <w:rPr>
                <w:rFonts w:ascii="Arial;sans-serif" w:hAnsi="Arial;sans-serif"/>
                <w:sz w:val="20"/>
              </w:rPr>
              <w:t>Edward (Kwok Shum)</w:t>
            </w:r>
          </w:p>
        </w:tc>
        <w:tc>
          <w:tcPr>
            <w:tcW w:w="4589" w:type="dxa"/>
            <w:tcBorders/>
            <w:vAlign w:val="center"/>
          </w:tcPr>
          <w:p>
            <w:pPr>
              <w:pStyle w:val="Tabellinnehll"/>
              <w:widowControl w:val="false"/>
              <w:rPr>
                <w:rFonts w:ascii="Arial;sans-serif" w:hAnsi="Arial;sans-serif"/>
                <w:sz w:val="20"/>
              </w:rPr>
            </w:pPr>
            <w:r>
              <w:rPr>
                <w:rFonts w:ascii="Arial;sans-serif" w:hAnsi="Arial;sans-serif"/>
                <w:sz w:val="20"/>
              </w:rPr>
              <w:t>Huawei Technologies Co., Ltd</w:t>
            </w:r>
          </w:p>
        </w:tc>
        <w:tc>
          <w:tcPr>
            <w:tcW w:w="811"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3</w:t>
            </w:r>
          </w:p>
        </w:tc>
        <w:tc>
          <w:tcPr>
            <w:tcW w:w="2366" w:type="dxa"/>
            <w:tcBorders/>
            <w:vAlign w:val="center"/>
          </w:tcPr>
          <w:p>
            <w:pPr>
              <w:pStyle w:val="Tabellinnehll"/>
              <w:widowControl w:val="false"/>
              <w:rPr>
                <w:rFonts w:ascii="Arial;sans-serif" w:hAnsi="Arial;sans-serif"/>
                <w:b/>
                <w:b/>
                <w:sz w:val="20"/>
              </w:rPr>
            </w:pPr>
            <w:r>
              <w:rPr>
                <w:rFonts w:ascii="Arial;sans-serif" w:hAnsi="Arial;sans-serif"/>
                <w:b/>
                <w:sz w:val="20"/>
              </w:rPr>
              <w:t>Kennedy</w:t>
            </w:r>
          </w:p>
        </w:tc>
        <w:tc>
          <w:tcPr>
            <w:tcW w:w="2160" w:type="dxa"/>
            <w:tcBorders/>
            <w:vAlign w:val="center"/>
          </w:tcPr>
          <w:p>
            <w:pPr>
              <w:pStyle w:val="Tabellinnehll"/>
              <w:widowControl w:val="false"/>
              <w:rPr>
                <w:rFonts w:ascii="Arial;sans-serif" w:hAnsi="Arial;sans-serif"/>
                <w:sz w:val="20"/>
              </w:rPr>
            </w:pPr>
            <w:r>
              <w:rPr>
                <w:rFonts w:ascii="Arial;sans-serif" w:hAnsi="Arial;sans-serif"/>
                <w:sz w:val="20"/>
              </w:rPr>
              <w:t>Richard</w:t>
            </w:r>
          </w:p>
        </w:tc>
        <w:tc>
          <w:tcPr>
            <w:tcW w:w="4589" w:type="dxa"/>
            <w:tcBorders/>
            <w:vAlign w:val="center"/>
          </w:tcPr>
          <w:p>
            <w:pPr>
              <w:pStyle w:val="Tabellinnehll"/>
              <w:widowControl w:val="false"/>
              <w:rPr>
                <w:rFonts w:ascii="Arial;sans-serif" w:hAnsi="Arial;sans-serif"/>
                <w:sz w:val="20"/>
              </w:rPr>
            </w:pPr>
            <w:r>
              <w:rPr>
                <w:rFonts w:ascii="Arial;sans-serif" w:hAnsi="Arial;sans-serif"/>
                <w:sz w:val="20"/>
              </w:rPr>
              <w:t>Self</w:t>
            </w:r>
          </w:p>
        </w:tc>
        <w:tc>
          <w:tcPr>
            <w:tcW w:w="811"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4</w:t>
            </w:r>
          </w:p>
        </w:tc>
        <w:tc>
          <w:tcPr>
            <w:tcW w:w="2366" w:type="dxa"/>
            <w:tcBorders/>
            <w:vAlign w:val="center"/>
          </w:tcPr>
          <w:p>
            <w:pPr>
              <w:pStyle w:val="Tabellinnehll"/>
              <w:widowControl w:val="false"/>
              <w:rPr>
                <w:rFonts w:ascii="Arial;sans-serif" w:hAnsi="Arial;sans-serif"/>
                <w:b/>
                <w:b/>
                <w:sz w:val="20"/>
              </w:rPr>
            </w:pPr>
            <w:r>
              <w:rPr>
                <w:rFonts w:ascii="Arial;sans-serif" w:hAnsi="Arial;sans-serif"/>
                <w:b/>
                <w:sz w:val="20"/>
              </w:rPr>
              <w:t>Kerry</w:t>
            </w:r>
          </w:p>
        </w:tc>
        <w:tc>
          <w:tcPr>
            <w:tcW w:w="2160" w:type="dxa"/>
            <w:tcBorders/>
            <w:vAlign w:val="center"/>
          </w:tcPr>
          <w:p>
            <w:pPr>
              <w:pStyle w:val="Tabellinnehll"/>
              <w:widowControl w:val="false"/>
              <w:rPr>
                <w:rFonts w:ascii="Arial;sans-serif" w:hAnsi="Arial;sans-serif"/>
                <w:sz w:val="20"/>
              </w:rPr>
            </w:pPr>
            <w:r>
              <w:rPr>
                <w:rFonts w:ascii="Arial;sans-serif" w:hAnsi="Arial;sans-serif"/>
                <w:sz w:val="20"/>
              </w:rPr>
              <w:t>Stuart</w:t>
            </w:r>
          </w:p>
        </w:tc>
        <w:tc>
          <w:tcPr>
            <w:tcW w:w="4589" w:type="dxa"/>
            <w:tcBorders/>
            <w:vAlign w:val="center"/>
          </w:tcPr>
          <w:p>
            <w:pPr>
              <w:pStyle w:val="Tabellinnehll"/>
              <w:widowControl w:val="false"/>
              <w:rPr/>
            </w:pPr>
            <w:r>
              <w:rPr>
                <w:rFonts w:ascii="Arial;sans-serif" w:hAnsi="Arial;sans-serif"/>
                <w:sz w:val="20"/>
              </w:rPr>
              <w:t>OK</w:t>
            </w:r>
            <w:r>
              <w:rPr/>
              <w:t>‐</w:t>
            </w:r>
            <w:r>
              <w:rPr>
                <w:rFonts w:ascii="Arial;sans-serif" w:hAnsi="Arial;sans-serif"/>
                <w:sz w:val="20"/>
              </w:rPr>
              <w:t>Brit, Self</w:t>
            </w:r>
          </w:p>
        </w:tc>
        <w:tc>
          <w:tcPr>
            <w:tcW w:w="811"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5</w:t>
            </w:r>
          </w:p>
        </w:tc>
        <w:tc>
          <w:tcPr>
            <w:tcW w:w="2366" w:type="dxa"/>
            <w:tcBorders/>
            <w:vAlign w:val="center"/>
          </w:tcPr>
          <w:p>
            <w:pPr>
              <w:pStyle w:val="Tabellinnehll"/>
              <w:widowControl w:val="false"/>
              <w:rPr>
                <w:rFonts w:ascii="Arial;sans-serif" w:hAnsi="Arial;sans-serif"/>
                <w:b/>
                <w:b/>
                <w:sz w:val="20"/>
              </w:rPr>
            </w:pPr>
            <w:r>
              <w:rPr>
                <w:rFonts w:ascii="Arial;sans-serif" w:hAnsi="Arial;sans-serif"/>
                <w:b/>
                <w:sz w:val="20"/>
              </w:rPr>
              <w:t>Nikolich</w:t>
            </w:r>
          </w:p>
        </w:tc>
        <w:tc>
          <w:tcPr>
            <w:tcW w:w="2160" w:type="dxa"/>
            <w:tcBorders/>
            <w:vAlign w:val="center"/>
          </w:tcPr>
          <w:p>
            <w:pPr>
              <w:pStyle w:val="Tabellinnehll"/>
              <w:widowControl w:val="false"/>
              <w:rPr>
                <w:rFonts w:ascii="Arial;sans-serif" w:hAnsi="Arial;sans-serif"/>
                <w:sz w:val="20"/>
              </w:rPr>
            </w:pPr>
            <w:r>
              <w:rPr>
                <w:rFonts w:ascii="Arial;sans-serif" w:hAnsi="Arial;sans-serif"/>
                <w:sz w:val="20"/>
              </w:rPr>
              <w:t>Paul</w:t>
            </w:r>
          </w:p>
        </w:tc>
        <w:tc>
          <w:tcPr>
            <w:tcW w:w="4589" w:type="dxa"/>
            <w:tcBorders/>
            <w:vAlign w:val="center"/>
          </w:tcPr>
          <w:p>
            <w:pPr>
              <w:pStyle w:val="Tabellinnehll"/>
              <w:widowControl w:val="false"/>
              <w:rPr>
                <w:rFonts w:ascii="Arial;sans-serif" w:hAnsi="Arial;sans-serif"/>
                <w:sz w:val="20"/>
              </w:rPr>
            </w:pPr>
            <w:r>
              <w:rPr>
                <w:rFonts w:ascii="Arial;sans-serif" w:hAnsi="Arial;sans-serif"/>
                <w:sz w:val="20"/>
              </w:rPr>
              <w:t>Self, HPE, Huawei, Wyebot, UNH BCoE, YAS BBV, Origin Wireless</w:t>
            </w:r>
          </w:p>
        </w:tc>
        <w:tc>
          <w:tcPr>
            <w:tcW w:w="811"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6</w:t>
            </w:r>
          </w:p>
        </w:tc>
        <w:tc>
          <w:tcPr>
            <w:tcW w:w="2366" w:type="dxa"/>
            <w:tcBorders/>
            <w:vAlign w:val="center"/>
          </w:tcPr>
          <w:p>
            <w:pPr>
              <w:pStyle w:val="Tabellinnehll"/>
              <w:widowControl w:val="false"/>
              <w:rPr>
                <w:rFonts w:ascii="Arial;sans-serif" w:hAnsi="Arial;sans-serif"/>
                <w:b/>
                <w:b/>
                <w:sz w:val="20"/>
              </w:rPr>
            </w:pPr>
            <w:r>
              <w:rPr>
                <w:rFonts w:ascii="Arial;sans-serif" w:hAnsi="Arial;sans-serif"/>
                <w:b/>
                <w:sz w:val="20"/>
              </w:rPr>
              <w:t>Scott</w:t>
            </w:r>
          </w:p>
        </w:tc>
        <w:tc>
          <w:tcPr>
            <w:tcW w:w="2160" w:type="dxa"/>
            <w:tcBorders/>
            <w:vAlign w:val="center"/>
          </w:tcPr>
          <w:p>
            <w:pPr>
              <w:pStyle w:val="Tabellinnehll"/>
              <w:widowControl w:val="false"/>
              <w:rPr>
                <w:rFonts w:ascii="Arial;sans-serif" w:hAnsi="Arial;sans-serif"/>
                <w:sz w:val="20"/>
              </w:rPr>
            </w:pPr>
            <w:r>
              <w:rPr>
                <w:rFonts w:ascii="Arial;sans-serif" w:hAnsi="Arial;sans-serif"/>
                <w:sz w:val="20"/>
              </w:rPr>
              <w:t>Andy</w:t>
            </w:r>
          </w:p>
        </w:tc>
        <w:tc>
          <w:tcPr>
            <w:tcW w:w="4589" w:type="dxa"/>
            <w:tcBorders/>
            <w:vAlign w:val="center"/>
          </w:tcPr>
          <w:p>
            <w:pPr>
              <w:pStyle w:val="Tabellinnehll"/>
              <w:widowControl w:val="false"/>
              <w:rPr>
                <w:rFonts w:ascii="Arial;sans-serif" w:hAnsi="Arial;sans-serif"/>
                <w:sz w:val="20"/>
              </w:rPr>
            </w:pPr>
            <w:r>
              <w:rPr>
                <w:rFonts w:ascii="Arial;sans-serif" w:hAnsi="Arial;sans-serif"/>
                <w:sz w:val="20"/>
              </w:rPr>
              <w:t>NCTA – The Internet &amp; Television Association</w:t>
            </w:r>
          </w:p>
        </w:tc>
        <w:tc>
          <w:tcPr>
            <w:tcW w:w="811"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7</w:t>
            </w:r>
          </w:p>
        </w:tc>
        <w:tc>
          <w:tcPr>
            <w:tcW w:w="2366" w:type="dxa"/>
            <w:tcBorders/>
            <w:vAlign w:val="center"/>
          </w:tcPr>
          <w:p>
            <w:pPr>
              <w:pStyle w:val="Tabellinnehll"/>
              <w:widowControl w:val="false"/>
              <w:rPr>
                <w:rFonts w:ascii="Arial;sans-serif" w:hAnsi="Arial;sans-serif"/>
                <w:b/>
                <w:b/>
                <w:sz w:val="20"/>
              </w:rPr>
            </w:pPr>
            <w:r>
              <w:rPr>
                <w:rFonts w:ascii="Arial;sans-serif" w:hAnsi="Arial;sans-serif"/>
                <w:b/>
                <w:sz w:val="20"/>
              </w:rPr>
              <w:t>Yaghoobi</w:t>
            </w:r>
          </w:p>
        </w:tc>
        <w:tc>
          <w:tcPr>
            <w:tcW w:w="2160" w:type="dxa"/>
            <w:tcBorders/>
            <w:vAlign w:val="center"/>
          </w:tcPr>
          <w:p>
            <w:pPr>
              <w:pStyle w:val="Tabellinnehll"/>
              <w:widowControl w:val="false"/>
              <w:rPr>
                <w:rFonts w:ascii="Arial;sans-serif" w:hAnsi="Arial;sans-serif"/>
                <w:sz w:val="20"/>
              </w:rPr>
            </w:pPr>
            <w:r>
              <w:rPr>
                <w:rFonts w:ascii="Arial;sans-serif" w:hAnsi="Arial;sans-serif"/>
                <w:sz w:val="20"/>
              </w:rPr>
              <w:t>Hassan</w:t>
            </w:r>
          </w:p>
        </w:tc>
        <w:tc>
          <w:tcPr>
            <w:tcW w:w="4589" w:type="dxa"/>
            <w:tcBorders/>
            <w:vAlign w:val="center"/>
          </w:tcPr>
          <w:p>
            <w:pPr>
              <w:pStyle w:val="Tabellinnehll"/>
              <w:widowControl w:val="false"/>
              <w:rPr>
                <w:rFonts w:ascii="Arial;sans-serif" w:hAnsi="Arial;sans-serif"/>
                <w:sz w:val="20"/>
              </w:rPr>
            </w:pPr>
            <w:r>
              <w:rPr>
                <w:rFonts w:ascii="Arial;sans-serif" w:hAnsi="Arial;sans-serif"/>
                <w:sz w:val="20"/>
              </w:rPr>
              <w:t>Intel Corporation</w:t>
            </w:r>
          </w:p>
        </w:tc>
        <w:tc>
          <w:tcPr>
            <w:tcW w:w="811"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154" w:type="dxa"/>
            <w:tcBorders/>
            <w:vAlign w:val="center"/>
          </w:tcPr>
          <w:p>
            <w:pPr>
              <w:pStyle w:val="Tabellinnehll"/>
              <w:widowControl w:val="false"/>
              <w:rPr>
                <w:sz w:val="4"/>
                <w:szCs w:val="4"/>
              </w:rPr>
            </w:pPr>
            <w:r>
              <w:rPr>
                <w:sz w:val="4"/>
                <w:szCs w:val="4"/>
              </w:rPr>
            </w:r>
          </w:p>
        </w:tc>
        <w:tc>
          <w:tcPr>
            <w:tcW w:w="2366" w:type="dxa"/>
            <w:tcBorders/>
            <w:vAlign w:val="center"/>
          </w:tcPr>
          <w:p>
            <w:pPr>
              <w:pStyle w:val="Tabellinnehll"/>
              <w:widowControl w:val="false"/>
              <w:rPr>
                <w:sz w:val="4"/>
                <w:szCs w:val="4"/>
              </w:rPr>
            </w:pPr>
            <w:r>
              <w:rPr>
                <w:sz w:val="4"/>
                <w:szCs w:val="4"/>
              </w:rPr>
            </w:r>
          </w:p>
        </w:tc>
        <w:tc>
          <w:tcPr>
            <w:tcW w:w="2160" w:type="dxa"/>
            <w:tcBorders/>
            <w:vAlign w:val="center"/>
          </w:tcPr>
          <w:p>
            <w:pPr>
              <w:pStyle w:val="Tabellinnehll"/>
              <w:widowControl w:val="false"/>
              <w:rPr>
                <w:sz w:val="4"/>
                <w:szCs w:val="4"/>
              </w:rPr>
            </w:pPr>
            <w:r>
              <w:rPr>
                <w:sz w:val="4"/>
                <w:szCs w:val="4"/>
              </w:rPr>
            </w:r>
          </w:p>
        </w:tc>
        <w:tc>
          <w:tcPr>
            <w:tcW w:w="4589" w:type="dxa"/>
            <w:tcBorders/>
            <w:vAlign w:val="center"/>
          </w:tcPr>
          <w:p>
            <w:pPr>
              <w:pStyle w:val="Tabellinnehll"/>
              <w:widowControl w:val="false"/>
              <w:rPr>
                <w:sz w:val="4"/>
                <w:szCs w:val="4"/>
              </w:rPr>
            </w:pPr>
            <w:r>
              <w:rPr>
                <w:sz w:val="4"/>
                <w:szCs w:val="4"/>
              </w:rPr>
            </w:r>
          </w:p>
        </w:tc>
        <w:tc>
          <w:tcPr>
            <w:tcW w:w="811" w:type="dxa"/>
            <w:tcBorders/>
            <w:vAlign w:val="center"/>
          </w:tcPr>
          <w:p>
            <w:pPr>
              <w:pStyle w:val="Tabellinnehll"/>
              <w:widowControl w:val="false"/>
              <w:rPr>
                <w:sz w:val="4"/>
                <w:szCs w:val="4"/>
              </w:rPr>
            </w:pPr>
            <w:r>
              <w:rPr>
                <w:sz w:val="4"/>
                <w:szCs w:val="4"/>
              </w:rPr>
            </w:r>
          </w:p>
        </w:tc>
      </w:tr>
      <w:tr>
        <w:trPr/>
        <w:tc>
          <w:tcPr>
            <w:tcW w:w="4680" w:type="dxa"/>
            <w:gridSpan w:val="3"/>
            <w:tcBorders/>
            <w:vAlign w:val="center"/>
          </w:tcPr>
          <w:p>
            <w:pPr>
              <w:pStyle w:val="Tabellinnehll"/>
              <w:widowControl w:val="false"/>
              <w:rPr>
                <w:rFonts w:ascii="Arial;sans-serif" w:hAnsi="Arial;sans-serif"/>
                <w:b/>
                <w:b/>
                <w:sz w:val="20"/>
              </w:rPr>
            </w:pPr>
            <w:r>
              <w:rPr>
                <w:rFonts w:ascii="Arial;sans-serif" w:hAnsi="Arial;sans-serif"/>
                <w:b/>
                <w:sz w:val="20"/>
              </w:rPr>
              <w:t>Non-Voting Attendees:</w:t>
            </w:r>
          </w:p>
        </w:tc>
        <w:tc>
          <w:tcPr>
            <w:tcW w:w="4589" w:type="dxa"/>
            <w:tcBorders/>
            <w:vAlign w:val="center"/>
          </w:tcPr>
          <w:p>
            <w:pPr>
              <w:pStyle w:val="Tabellinnehll"/>
              <w:widowControl w:val="false"/>
              <w:rPr>
                <w:sz w:val="4"/>
                <w:szCs w:val="4"/>
              </w:rPr>
            </w:pPr>
            <w:r>
              <w:rPr>
                <w:sz w:val="4"/>
                <w:szCs w:val="4"/>
              </w:rPr>
            </w:r>
          </w:p>
        </w:tc>
        <w:tc>
          <w:tcPr>
            <w:tcW w:w="811" w:type="dxa"/>
            <w:tcBorders/>
            <w:vAlign w:val="center"/>
          </w:tcPr>
          <w:p>
            <w:pPr>
              <w:pStyle w:val="Tabellinnehll"/>
              <w:widowControl w:val="false"/>
              <w:jc w:val="center"/>
              <w:rPr>
                <w:rFonts w:ascii="Arial;sans-serif" w:hAnsi="Arial;sans-serif"/>
                <w:b/>
                <w:b/>
                <w:sz w:val="20"/>
              </w:rPr>
            </w:pPr>
            <w:r>
              <w:rPr>
                <w:rFonts w:ascii="Arial;sans-serif" w:hAnsi="Arial;sans-serif"/>
                <w:b/>
                <w:sz w:val="20"/>
              </w:rPr>
              <w:t>15-Aug</w:t>
            </w:r>
          </w:p>
        </w:tc>
      </w:tr>
      <w:tr>
        <w:trPr/>
        <w:tc>
          <w:tcPr>
            <w:tcW w:w="154" w:type="dxa"/>
            <w:tcBorders/>
            <w:vAlign w:val="center"/>
          </w:tcPr>
          <w:p>
            <w:pPr>
              <w:pStyle w:val="Tabellinnehll"/>
              <w:widowControl w:val="false"/>
              <w:jc w:val="center"/>
              <w:rPr>
                <w:rFonts w:ascii="Arial;sans-serif" w:hAnsi="Arial;sans-serif"/>
                <w:sz w:val="20"/>
              </w:rPr>
            </w:pPr>
            <w:r>
              <w:rPr>
                <w:rFonts w:ascii="Arial;sans-serif" w:hAnsi="Arial;sans-serif"/>
                <w:sz w:val="20"/>
              </w:rPr>
              <w:t>1</w:t>
            </w:r>
          </w:p>
        </w:tc>
        <w:tc>
          <w:tcPr>
            <w:tcW w:w="2366" w:type="dxa"/>
            <w:tcBorders/>
            <w:vAlign w:val="center"/>
          </w:tcPr>
          <w:p>
            <w:pPr>
              <w:pStyle w:val="Tabellinnehll"/>
              <w:widowControl w:val="false"/>
              <w:rPr>
                <w:rFonts w:ascii="Arial;sans-serif" w:hAnsi="Arial;sans-serif"/>
                <w:b/>
                <w:b/>
                <w:sz w:val="20"/>
              </w:rPr>
            </w:pPr>
            <w:r>
              <w:rPr>
                <w:rFonts w:ascii="Arial;sans-serif" w:hAnsi="Arial;sans-serif"/>
                <w:b/>
                <w:sz w:val="20"/>
              </w:rPr>
              <w:t>Haasz</w:t>
            </w:r>
          </w:p>
        </w:tc>
        <w:tc>
          <w:tcPr>
            <w:tcW w:w="2160" w:type="dxa"/>
            <w:tcBorders/>
            <w:vAlign w:val="center"/>
          </w:tcPr>
          <w:p>
            <w:pPr>
              <w:pStyle w:val="Tabellinnehll"/>
              <w:widowControl w:val="false"/>
              <w:rPr>
                <w:rFonts w:ascii="Arial;sans-serif" w:hAnsi="Arial;sans-serif"/>
                <w:sz w:val="20"/>
              </w:rPr>
            </w:pPr>
            <w:r>
              <w:rPr>
                <w:rFonts w:ascii="Arial;sans-serif" w:hAnsi="Arial;sans-serif"/>
                <w:sz w:val="20"/>
              </w:rPr>
              <w:t>Jodi</w:t>
            </w:r>
          </w:p>
        </w:tc>
        <w:tc>
          <w:tcPr>
            <w:tcW w:w="4589" w:type="dxa"/>
            <w:tcBorders/>
            <w:vAlign w:val="center"/>
          </w:tcPr>
          <w:p>
            <w:pPr>
              <w:pStyle w:val="Tabellinnehll"/>
              <w:widowControl w:val="false"/>
              <w:rPr>
                <w:rFonts w:ascii="Arial;sans-serif" w:hAnsi="Arial;sans-serif"/>
                <w:sz w:val="20"/>
              </w:rPr>
            </w:pPr>
            <w:r>
              <w:rPr>
                <w:rFonts w:ascii="Arial;sans-serif" w:hAnsi="Arial;sans-serif"/>
                <w:sz w:val="20"/>
              </w:rPr>
              <w:t>IEEE SA</w:t>
            </w:r>
          </w:p>
        </w:tc>
        <w:tc>
          <w:tcPr>
            <w:tcW w:w="811"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bl>
    <w:p>
      <w:pPr>
        <w:pStyle w:val="ListParagraph"/>
        <w:ind w:left="0" w:hanging="0"/>
        <w:rPr>
          <w:b/>
          <w:b/>
          <w:sz w:val="24"/>
          <w:szCs w:val="24"/>
        </w:rPr>
      </w:pPr>
      <w:r>
        <w:rPr/>
      </w:r>
    </w:p>
    <w:sectPr>
      <w:headerReference w:type="default" r:id="rId10"/>
      <w:footerReference w:type="default" r:id="rId11"/>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3</w:t>
    </w:r>
    <w:r>
      <w:rPr/>
      <w:fldChar w:fldCharType="end"/>
    </w:r>
    <w:r>
      <w:rPr/>
      <w:t xml:space="preserve"> of </w:t>
    </w:r>
    <w:r>
      <w:rPr/>
      <w:fldChar w:fldCharType="begin"/>
    </w:r>
    <w:r>
      <w:rPr/>
      <w:instrText> NUMPAGES </w:instrText>
    </w:r>
    <w:r>
      <w:rPr/>
      <w:fldChar w:fldCharType="separate"/>
    </w:r>
    <w:r>
      <w:rPr/>
      <w:t>3</w:t>
    </w:r>
    <w:r>
      <w:rPr/>
      <w:fldChar w:fldCharType="end"/>
    </w:r>
    <w:r>
      <w:rPr/>
      <w:tab/>
      <w:t>Amelia Andersdotter (Comcast)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August 2022</w:t>
      <w:tab/>
      <w:tab/>
      <w:t>doc.: IEEE802.18-22-009</w:t>
    </w:r>
    <w:r>
      <w:rPr/>
      <w:t>9</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98-00-ISUS-spectrum-statement-update-agenda-15-august-2022.pptx" TargetMode="External"/><Relationship Id="rId4" Type="http://schemas.openxmlformats.org/officeDocument/2006/relationships/hyperlink" Target="https://mentor.ieee.org/802-ec/dcn/21/ec-21-0207-23-0PNP-ieee-802-lmsc-working-group-policies-and-procedures.pdf" TargetMode="External"/><Relationship Id="rId5" Type="http://schemas.openxmlformats.org/officeDocument/2006/relationships/hyperlink" Target="http://www.ieee802.org/devdocs.shtml" TargetMode="External"/><Relationship Id="rId6" Type="http://schemas.openxmlformats.org/officeDocument/2006/relationships/hyperlink" Target="https://standards.ieee.org/about/policies/opman/" TargetMode="External"/><Relationship Id="rId7" Type="http://schemas.openxmlformats.org/officeDocument/2006/relationships/hyperlink" Target="https://mentor.ieee.org/802.18/dcn/16/18-16-0038-24-0000-teleconference-call-in-info.pptx" TargetMode="External"/><Relationship Id="rId8" Type="http://schemas.openxmlformats.org/officeDocument/2006/relationships/hyperlink" Target="https://ieee802.org/16/cal-temp.html" TargetMode="External"/><Relationship Id="rId9" Type="http://schemas.openxmlformats.org/officeDocument/2006/relationships/hyperlink" Target="https://calendar.google.com/calendar/embed?src=c2gedttabtbj4bps23j4847004@group.calendar.google.com&amp;ctz=America%2FNew_York"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4A46-8D9F-477B-A5D2-7C45CE9E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11850</TotalTime>
  <Application>LibreOffice/7.2.7.2$Linux_X86_64 LibreOffice_project/20$Build-2</Application>
  <AppVersion>15.0000</AppVersion>
  <Pages>3</Pages>
  <Words>865</Words>
  <Characters>4539</Characters>
  <CharactersWithSpaces>5320</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28 28 28 28 28 28 28 28 April 2022</cp:keywords>
  <dc:language>sv-SE</dc:language>
  <cp:lastModifiedBy>Amelia Andersdotter</cp:lastModifiedBy>
  <cp:lastPrinted>2012-05-15T22:13:00Z</cp:lastPrinted>
  <dcterms:modified xsi:type="dcterms:W3CDTF">2022-08-17T15:38:00Z</dcterms:modified>
  <cp:revision>47</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