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4 August</w:t>
            </w:r>
            <w:r>
              <w:rPr/>
              <w:t xml:space="preserve">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w:t>
            </w:r>
            <w:r>
              <w:rPr>
                <w:b w:val="false"/>
                <w:sz w:val="20"/>
              </w:rPr>
              <w:t>10</w:t>
            </w:r>
            <w:r>
              <w:rPr>
                <w:b w:val="false"/>
                <w:sz w:val="20"/>
              </w:rPr>
              <w:t xml:space="preserve"> August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mc:AlternateContent>
          <mc:Choice Requires="wps">
            <w:drawing>
              <wp:anchor behindDoc="0" distT="0" distB="0" distL="0" distR="0" simplePos="0" locked="0" layoutInCell="0" allowOverlap="1" relativeHeight="2">
                <wp:simplePos x="0" y="0"/>
                <wp:positionH relativeFrom="column">
                  <wp:posOffset>165735</wp:posOffset>
                </wp:positionH>
                <wp:positionV relativeFrom="paragraph">
                  <wp:posOffset>27305</wp:posOffset>
                </wp:positionV>
                <wp:extent cx="6090285" cy="2852420"/>
                <wp:effectExtent l="0" t="0" r="0" b="0"/>
                <wp:wrapNone/>
                <wp:docPr id="1" name="Bild1"/>
                <a:graphic xmlns:a="http://schemas.openxmlformats.org/drawingml/2006/main">
                  <a:graphicData uri="http://schemas.microsoft.com/office/word/2010/wordprocessingShape">
                    <wps:wsp>
                      <wps:cNvSpPr/>
                      <wps:spPr>
                        <a:xfrm>
                          <a:off x="0" y="0"/>
                          <a:ext cx="6089760" cy="28519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Technical Advisory Group for the weekly teleconference call on </w:t>
                            </w:r>
                            <w:r>
                              <w:rPr>
                                <w:color w:val="000000"/>
                              </w:rPr>
                              <w:t>4 August</w:t>
                            </w:r>
                            <w:r>
                              <w:rPr>
                                <w:color w:val="000000"/>
                              </w:rPr>
                              <w:t xml:space="preserve">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45pt;height:224.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Technical Advisory Group for the weekly teleconference call on </w:t>
                      </w:r>
                      <w:r>
                        <w:rPr>
                          <w:color w:val="000000"/>
                        </w:rPr>
                        <w:t>4 August</w:t>
                      </w:r>
                      <w:r>
                        <w:rPr>
                          <w:color w:val="000000"/>
                        </w:rPr>
                        <w:t xml:space="preserve">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pPr>
      <w:r>
        <w:rPr>
          <w:b w:val="false"/>
          <w:bCs/>
          <w:sz w:val="24"/>
          <w:szCs w:val="24"/>
        </w:rPr>
        <w:t>Chair:  Edward Au (Huawei)</w:t>
      </w:r>
    </w:p>
    <w:p>
      <w:pPr>
        <w:pStyle w:val="T1"/>
        <w:spacing w:before="0" w:after="120"/>
        <w:rPr>
          <w:rStyle w:val="Internetlnk"/>
          <w:b w:val="false"/>
          <w:b w:val="false"/>
          <w:bCs/>
          <w:color w:val="000000"/>
          <w:sz w:val="24"/>
          <w:szCs w:val="24"/>
          <w:u w:val="none"/>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pPr>
      <w:r>
        <w:rPr>
          <w:sz w:val="24"/>
          <w:szCs w:val="24"/>
        </w:rPr>
        <w:t xml:space="preserve">These are the minutes of the IEEE 802 RR-TAG teleconference on Thursday, </w:t>
      </w:r>
      <w:r>
        <w:rPr>
          <w:sz w:val="24"/>
          <w:szCs w:val="24"/>
        </w:rPr>
        <w:t>4</w:t>
      </w:r>
      <w:r>
        <w:rPr>
          <w:sz w:val="24"/>
          <w:szCs w:val="24"/>
        </w:rPr>
        <w:t xml:space="preserve"> </w:t>
      </w:r>
      <w:r>
        <w:rPr>
          <w:sz w:val="24"/>
          <w:szCs w:val="24"/>
        </w:rPr>
        <w:t>August</w:t>
      </w:r>
      <w:r>
        <w:rPr>
          <w:sz w:val="24"/>
          <w:szCs w:val="24"/>
        </w:rPr>
        <w:t xml:space="preserve"> 2022</w:t>
      </w:r>
      <w:r>
        <w:rPr>
          <w:sz w:val="24"/>
          <w:szCs w:val="24"/>
        </w:rPr>
        <w:t>, 15:00 ET</w:t>
      </w:r>
      <w:r>
        <w:rPr>
          <w:sz w:val="24"/>
          <w:szCs w:val="24"/>
        </w:rPr>
        <w:t>.</w:t>
        <w:br/>
      </w:r>
    </w:p>
    <w:p>
      <w:pPr>
        <w:pStyle w:val="Normal"/>
        <w:numPr>
          <w:ilvl w:val="0"/>
          <w:numId w:val="1"/>
        </w:numPr>
        <w:spacing w:before="0" w:after="0"/>
        <w:contextualSpacing/>
        <w:rPr/>
      </w:pPr>
      <w:r>
        <w:rPr>
          <w:sz w:val="24"/>
          <w:szCs w:val="24"/>
        </w:rPr>
        <w:t>Chair calls the meeting to order at 15:0</w:t>
      </w:r>
      <w:r>
        <w:rPr>
          <w:sz w:val="24"/>
          <w:szCs w:val="24"/>
        </w:rPr>
        <w:t>2</w:t>
      </w:r>
      <w:r>
        <w:rPr>
          <w:sz w:val="24"/>
          <w:szCs w:val="24"/>
        </w:rPr>
        <w:t xml:space="preserve">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w:t>
        </w:r>
        <w:r>
          <w:rPr>
            <w:rStyle w:val="Internetlnk"/>
            <w:sz w:val="24"/>
            <w:szCs w:val="24"/>
          </w:rPr>
          <w:t>83r1</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Group officers and voting membership</w:t>
      </w:r>
    </w:p>
    <w:p>
      <w:pPr>
        <w:pStyle w:val="Normal"/>
        <w:numPr>
          <w:ilvl w:val="2"/>
          <w:numId w:val="1"/>
        </w:numPr>
        <w:spacing w:before="0" w:after="0"/>
        <w:contextualSpacing/>
        <w:rPr/>
      </w:pPr>
      <w:r>
        <w:rPr/>
        <w:t xml:space="preserve">  </w:t>
      </w:r>
      <w:r>
        <w:rPr/>
        <w:t xml:space="preserve">Voters:  47 (8 on LMSC) </w:t>
      </w:r>
    </w:p>
    <w:p>
      <w:pPr>
        <w:pStyle w:val="Normal"/>
        <w:numPr>
          <w:ilvl w:val="2"/>
          <w:numId w:val="1"/>
        </w:numPr>
        <w:spacing w:before="0" w:after="0"/>
        <w:contextualSpacing/>
        <w:rPr/>
      </w:pPr>
      <w:r>
        <w:rPr/>
        <w:t xml:space="preserve">  </w:t>
      </w:r>
      <w:r>
        <w:rPr/>
        <w:t>Nearly Voters: 0</w:t>
      </w:r>
    </w:p>
    <w:p>
      <w:pPr>
        <w:pStyle w:val="Normal"/>
        <w:numPr>
          <w:ilvl w:val="2"/>
          <w:numId w:val="1"/>
        </w:numPr>
        <w:spacing w:before="0" w:after="0"/>
        <w:contextualSpacing/>
        <w:rPr/>
      </w:pPr>
      <w:r>
        <w:rPr/>
        <w:t xml:space="preserve">  </w:t>
      </w:r>
      <w:r>
        <w:rPr/>
        <w:t>Aspirant members:  9</w:t>
      </w:r>
    </w:p>
    <w:p>
      <w:pPr>
        <w:pStyle w:val="Normal"/>
        <w:numPr>
          <w:ilvl w:val="2"/>
          <w:numId w:val="1"/>
        </w:numPr>
        <w:spacing w:before="0" w:after="0"/>
        <w:contextualSpacing/>
        <w:rPr/>
      </w:pPr>
      <w:r>
        <w:rPr/>
        <w:t xml:space="preserve">  </w:t>
      </w:r>
      <w:hyperlink r:id="rId4">
        <w:r>
          <w:rPr>
            <w:rStyle w:val="Internetlnk"/>
          </w:rPr>
          <w:t>802.18 Voters List</w:t>
        </w:r>
      </w:hyperlink>
    </w:p>
    <w:p>
      <w:pPr>
        <w:pStyle w:val="Normal"/>
        <w:numPr>
          <w:ilvl w:val="1"/>
          <w:numId w:val="1"/>
        </w:numPr>
        <w:spacing w:before="0" w:after="0"/>
        <w:contextualSpacing/>
        <w:rPr>
          <w:sz w:val="24"/>
          <w:szCs w:val="24"/>
        </w:rPr>
      </w:pPr>
      <w:r>
        <w:rPr>
          <w:sz w:val="24"/>
          <w:szCs w:val="24"/>
        </w:rPr>
        <w:t>RR-TAG Policies &amp; Procedures [</w:t>
      </w:r>
      <w:r>
        <w:rPr>
          <w:rStyle w:val="Internetlnk"/>
        </w:rPr>
        <w:t xml:space="preserve">  </w:t>
      </w:r>
      <w:hyperlink r:id="rId5">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t>
      </w:r>
      <w:r>
        <w:rPr>
          <w:bCs/>
          <w:sz w:val="24"/>
          <w:szCs w:val="24"/>
        </w:rPr>
        <w:t>relating to the</w:t>
      </w:r>
      <w:r>
        <w:rPr>
          <w:bCs/>
          <w:sz w:val="24"/>
          <w:szCs w:val="24"/>
        </w:rPr>
        <w:t xml:space="preserv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 xml:space="preserve">To approve the agenda as </w:t>
      </w:r>
      <w:r>
        <w:rPr>
          <w:sz w:val="24"/>
          <w:szCs w:val="24"/>
        </w:rPr>
        <w:t>shown</w:t>
      </w:r>
      <w:r>
        <w:rPr>
          <w:sz w:val="24"/>
          <w:szCs w:val="24"/>
        </w:rPr>
        <w:t xml:space="preserve"> on previous slide</w:t>
      </w:r>
    </w:p>
    <w:p>
      <w:pPr>
        <w:pStyle w:val="Normal"/>
        <w:spacing w:before="0" w:after="0"/>
        <w:ind w:left="1440" w:hanging="0"/>
        <w:contextualSpacing/>
        <w:rPr/>
      </w:pPr>
      <w:r>
        <w:rPr>
          <w:sz w:val="24"/>
          <w:szCs w:val="24"/>
        </w:rPr>
        <w:t>Moved by:</w:t>
        <w:tab/>
      </w:r>
      <w:r>
        <w:rPr>
          <w:sz w:val="24"/>
          <w:szCs w:val="24"/>
        </w:rPr>
        <w:t>Amelia Andersdotter</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Stuart Kerry</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Approved with unanimous consent</w:t>
      </w:r>
    </w:p>
    <w:p>
      <w:pPr>
        <w:pStyle w:val="Normal"/>
        <w:spacing w:before="0" w:after="0"/>
        <w:ind w:left="1440" w:hanging="0"/>
        <w:contextualSpacing/>
        <w:rPr/>
      </w:pPr>
      <w:r>
        <w:rPr/>
      </w:r>
    </w:p>
    <w:p>
      <w:pPr>
        <w:pStyle w:val="Normal"/>
        <w:numPr>
          <w:ilvl w:val="1"/>
          <w:numId w:val="1"/>
        </w:numPr>
        <w:rPr/>
      </w:pPr>
      <w:r>
        <w:rPr>
          <w:sz w:val="24"/>
          <w:szCs w:val="24"/>
        </w:rPr>
        <w:t>Chair presented meeting minutes from 2</w:t>
      </w:r>
      <w:r>
        <w:rPr>
          <w:sz w:val="24"/>
          <w:szCs w:val="24"/>
        </w:rPr>
        <w:t>8</w:t>
      </w:r>
      <w:r>
        <w:rPr>
          <w:sz w:val="24"/>
          <w:szCs w:val="24"/>
        </w:rPr>
        <w:t xml:space="preserve"> July 2022 RR-TAG weekly teleconference. No comments.</w:t>
        <w:br/>
      </w:r>
      <w:r>
        <w:rPr>
          <w:b/>
          <w:bCs/>
          <w:sz w:val="24"/>
          <w:szCs w:val="24"/>
        </w:rPr>
        <w:br/>
        <w:t>Motion #2 (internal):</w:t>
      </w:r>
      <w:r>
        <w:rPr>
          <w:sz w:val="24"/>
          <w:szCs w:val="24"/>
        </w:rPr>
        <w:t xml:space="preserve"> To approve the weekly meeting minutes of the 2</w:t>
      </w:r>
      <w:r>
        <w:rPr>
          <w:sz w:val="24"/>
          <w:szCs w:val="24"/>
        </w:rPr>
        <w:t>8</w:t>
      </w:r>
      <w:r>
        <w:rPr>
          <w:sz w:val="24"/>
          <w:szCs w:val="24"/>
        </w:rPr>
        <w:t xml:space="preserve"> July 2022 RR-TAG call as shown in the document </w:t>
      </w:r>
      <w:hyperlink r:id="rId8">
        <w:r>
          <w:rPr>
            <w:rStyle w:val="Internetlnk"/>
            <w:sz w:val="24"/>
            <w:szCs w:val="24"/>
          </w:rPr>
          <w:t>18-22/008</w:t>
        </w:r>
        <w:r>
          <w:rPr>
            <w:rStyle w:val="Internetlnk"/>
            <w:sz w:val="24"/>
            <w:szCs w:val="24"/>
          </w:rPr>
          <w:t>6</w:t>
        </w:r>
        <w:r>
          <w:rPr>
            <w:rStyle w:val="Internetlnk"/>
            <w:sz w:val="24"/>
            <w:szCs w:val="24"/>
          </w:rPr>
          <w:t>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Al Petrick</w:t>
      </w:r>
    </w:p>
    <w:p>
      <w:pPr>
        <w:pStyle w:val="Normal"/>
        <w:spacing w:before="0" w:after="0"/>
        <w:ind w:left="1440" w:hanging="0"/>
        <w:contextualSpacing/>
        <w:rPr/>
      </w:pPr>
      <w:r>
        <w:rPr>
          <w:sz w:val="24"/>
          <w:szCs w:val="24"/>
        </w:rPr>
        <w:t xml:space="preserve">Seconded by: </w:t>
        <w:tab/>
      </w:r>
      <w:r>
        <w:rPr>
          <w:sz w:val="24"/>
          <w:szCs w:val="24"/>
        </w:rPr>
        <w:t>Andy Scott</w:t>
      </w:r>
    </w:p>
    <w:p>
      <w:pPr>
        <w:pStyle w:val="Normal"/>
        <w:spacing w:before="0" w:after="0"/>
        <w:ind w:left="1440" w:hanging="0"/>
        <w:contextualSpacing/>
        <w:rPr/>
      </w:pPr>
      <w:r>
        <w:rPr>
          <w:sz w:val="24"/>
          <w:szCs w:val="24"/>
        </w:rPr>
        <w:t xml:space="preserve">Discussion?  </w:t>
        <w:br/>
      </w:r>
      <w:r>
        <w:rPr>
          <w:sz w:val="24"/>
          <w:szCs w:val="24"/>
        </w:rPr>
        <w:tab/>
        <w:t xml:space="preserve">Request for clarification on procedure by call-in user in audio-only mode. </w:t>
        <w:tab/>
        <w:t>Clarification provided after chair reads out the motion.</w:t>
      </w:r>
    </w:p>
    <w:p>
      <w:pPr>
        <w:pStyle w:val="Normal"/>
        <w:spacing w:before="0" w:after="0"/>
        <w:ind w:left="1440" w:hanging="0"/>
        <w:contextualSpacing/>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Status of ongoing consultations (</w:t>
      </w:r>
      <w:hyperlink r:id="rId9">
        <w:r>
          <w:rPr>
            <w:rStyle w:val="Internetlnk"/>
            <w:b/>
            <w:bCs/>
            <w:sz w:val="24"/>
            <w:szCs w:val="24"/>
          </w:rPr>
          <w:t>18-22/0035r2</w:t>
        </w:r>
        <w:r>
          <w:rPr>
            <w:rStyle w:val="Internetlnk"/>
            <w:b/>
            <w:bCs/>
            <w:sz w:val="24"/>
            <w:szCs w:val="24"/>
          </w:rPr>
          <w:t>8</w:t>
        </w:r>
      </w:hyperlink>
      <w:r>
        <w:rPr>
          <w:b/>
          <w:bCs/>
          <w:sz w:val="24"/>
          <w:szCs w:val="24"/>
        </w:rPr>
        <w:t>)</w:t>
      </w:r>
      <w:r>
        <w:rPr>
          <w:sz w:val="24"/>
          <w:szCs w:val="24"/>
        </w:rPr>
        <w:t xml:space="preserve"> contains the status of ongoing consultations along with internal deadlines for EC approval and external approval. </w:t>
        <w:br/>
        <w:br/>
        <w:t xml:space="preserve">Chair presented consultations with internal deadlines </w:t>
      </w:r>
      <w:r>
        <w:rPr>
          <w:sz w:val="24"/>
          <w:szCs w:val="24"/>
        </w:rPr>
        <w:t>for the next week</w:t>
      </w:r>
      <w:r>
        <w:rPr>
          <w:sz w:val="24"/>
          <w:szCs w:val="24"/>
        </w:rPr>
        <w:t>.</w:t>
        <w:br/>
        <w:br/>
      </w:r>
      <w:r>
        <w:rPr>
          <w:b/>
          <w:bCs/>
          <w:sz w:val="24"/>
          <w:szCs w:val="24"/>
        </w:rPr>
        <w:t>C:</w:t>
      </w:r>
      <w:r>
        <w:rPr>
          <w:sz w:val="24"/>
          <w:szCs w:val="24"/>
        </w:rPr>
        <w:t xml:space="preserve"> What does the TBD in the third column in the status table?</w:t>
        <w:br/>
      </w:r>
      <w:r>
        <w:rPr>
          <w:b/>
          <w:bCs/>
          <w:sz w:val="24"/>
          <w:szCs w:val="24"/>
        </w:rPr>
        <w:t>C:</w:t>
      </w:r>
      <w:r>
        <w:rPr>
          <w:sz w:val="24"/>
          <w:szCs w:val="24"/>
        </w:rPr>
        <w:t xml:space="preserve"> It means that there is no contribution yet for that specific consultation.</w:t>
        <w:br/>
      </w:r>
      <w:r>
        <w:rPr>
          <w:b/>
          <w:bCs/>
          <w:sz w:val="24"/>
          <w:szCs w:val="24"/>
        </w:rPr>
        <w:t>C:</w:t>
      </w:r>
      <w:r>
        <w:rPr>
          <w:sz w:val="24"/>
          <w:szCs w:val="24"/>
        </w:rPr>
        <w:t xml:space="preserve"> From who does the contribution come? Voting members?</w:t>
        <w:br/>
      </w:r>
      <w:r>
        <w:rPr>
          <w:b/>
          <w:bCs/>
          <w:sz w:val="24"/>
          <w:szCs w:val="24"/>
        </w:rPr>
        <w:t>C:</w:t>
      </w:r>
      <w:r>
        <w:rPr>
          <w:sz w:val="24"/>
          <w:szCs w:val="24"/>
        </w:rPr>
        <w:t xml:space="preserve"> Not necessarily, but it might be. Voting members have to vote.</w:t>
      </w:r>
    </w:p>
    <w:p>
      <w:pPr>
        <w:pStyle w:val="Normal"/>
        <w:spacing w:before="0" w:after="0"/>
        <w:contextualSpacing/>
        <w:rPr>
          <w:sz w:val="24"/>
          <w:szCs w:val="24"/>
        </w:rPr>
      </w:pPr>
      <w:r>
        <w:rPr>
          <w:sz w:val="24"/>
          <w:szCs w:val="24"/>
        </w:rPr>
      </w:r>
    </w:p>
    <w:p>
      <w:pPr>
        <w:pStyle w:val="ListParagraph"/>
        <w:numPr>
          <w:ilvl w:val="0"/>
          <w:numId w:val="1"/>
        </w:numPr>
        <w:spacing w:before="0" w:after="0"/>
        <w:contextualSpacing/>
        <w:rPr/>
      </w:pPr>
      <w:r>
        <w:rPr>
          <w:b/>
          <w:bCs/>
          <w:sz w:val="24"/>
          <w:szCs w:val="24"/>
        </w:rPr>
        <w:t xml:space="preserve">Presentation: 45 GHz Ad Hoc Proposal, </w:t>
      </w:r>
      <w:r>
        <w:rPr>
          <w:b w:val="false"/>
          <w:bCs w:val="false"/>
          <w:sz w:val="24"/>
          <w:szCs w:val="24"/>
        </w:rPr>
        <w:t>Rich Kennedy (Huawei Paris)</w:t>
      </w:r>
      <w:r>
        <w:rPr>
          <w:b/>
          <w:bCs/>
          <w:sz w:val="24"/>
          <w:szCs w:val="24"/>
        </w:rPr>
        <w:t>,</w:t>
      </w:r>
      <w:hyperlink r:id="rId10">
        <w:r>
          <w:rPr>
            <w:rStyle w:val="Internetlnk"/>
            <w:b/>
            <w:bCs/>
            <w:sz w:val="24"/>
            <w:szCs w:val="24"/>
          </w:rPr>
          <w:t xml:space="preserve"> 18-22-0089r0 </w:t>
        </w:r>
      </w:hyperlink>
      <w:r>
        <w:rPr>
          <w:b/>
          <w:bCs/>
          <w:sz w:val="24"/>
          <w:szCs w:val="24"/>
        </w:rPr>
        <w:br/>
      </w:r>
    </w:p>
    <w:p>
      <w:pPr>
        <w:pStyle w:val="ListParagraph"/>
        <w:numPr>
          <w:ilvl w:val="0"/>
          <w:numId w:val="0"/>
        </w:numPr>
        <w:spacing w:before="0" w:after="0"/>
        <w:ind w:left="360" w:hanging="0"/>
        <w:contextualSpacing/>
        <w:rPr/>
      </w:pPr>
      <w:r>
        <w:rPr>
          <w:b w:val="false"/>
          <w:bCs w:val="false"/>
          <w:color w:val="000000"/>
          <w:sz w:val="24"/>
          <w:szCs w:val="24"/>
          <w:shd w:fill="auto" w:val="clear"/>
        </w:rPr>
        <w:t xml:space="preserve">The IEEE is an international organisation. As efforts to develop Ultra-High Reliability services continue, new mmWave bands should be explored to support those services which are universally available. The 45 GHz </w:t>
      </w:r>
      <w:r>
        <w:rPr>
          <w:b w:val="false"/>
          <w:bCs w:val="false"/>
          <w:color w:val="000000"/>
          <w:sz w:val="24"/>
          <w:szCs w:val="24"/>
          <w:shd w:fill="auto" w:val="clear"/>
        </w:rPr>
        <w:t xml:space="preserve">(42.5-48.2 GHz) </w:t>
      </w:r>
      <w:r>
        <w:rPr>
          <w:b w:val="false"/>
          <w:bCs w:val="false"/>
          <w:color w:val="000000"/>
          <w:sz w:val="24"/>
          <w:szCs w:val="24"/>
          <w:shd w:fill="auto" w:val="clear"/>
        </w:rPr>
        <w:t xml:space="preserve">is such a band. </w:t>
      </w:r>
    </w:p>
    <w:p>
      <w:pPr>
        <w:pStyle w:val="ListParagraph"/>
        <w:numPr>
          <w:ilvl w:val="0"/>
          <w:numId w:val="0"/>
        </w:numPr>
        <w:spacing w:before="0" w:after="0"/>
        <w:ind w:left="360" w:hanging="0"/>
        <w:contextualSpacing/>
        <w:rPr/>
      </w:pPr>
      <w:r>
        <w:rPr>
          <w:b w:val="false"/>
          <w:bCs w:val="false"/>
          <w:color w:val="000000"/>
          <w:sz w:val="24"/>
          <w:szCs w:val="24"/>
          <w:shd w:fill="auto" w:val="clear"/>
        </w:rPr>
        <w:br/>
        <w:t>Some players currently feel that continuing to develop support for the 6 GHz bands is enough, but pending the outcome of the WRC-23 it may be that China and other regions will not have any of these bands allocated to unlicensed services.</w:t>
        <w:br/>
        <w:br/>
      </w:r>
      <w:r>
        <w:rPr>
          <w:b w:val="false"/>
          <w:bCs w:val="false"/>
          <w:color w:val="000000"/>
          <w:sz w:val="24"/>
          <w:szCs w:val="24"/>
          <w:shd w:fill="auto" w:val="clear"/>
        </w:rPr>
        <w:t xml:space="preserve">In both the EU and the US the 45 GHz bands are mostly allocated to fixed services (space-to-earth). </w:t>
        <w:br/>
        <w:br/>
        <w:t xml:space="preserve">An Ad-Hoc could support use of these bands by UHR technologies and services. Scope for the ad hoc could be to investigate incumbents in the bands, if and when regulations may need to changed, and potentially, if needed, support the UHR study group in IEEE 802.11. </w:t>
        <w:br/>
        <w:br/>
      </w:r>
      <w:r>
        <w:rPr>
          <w:b/>
          <w:bCs/>
          <w:color w:val="000000"/>
          <w:sz w:val="24"/>
          <w:szCs w:val="24"/>
          <w:shd w:fill="auto" w:val="clear"/>
        </w:rPr>
        <w:t>Chair:</w:t>
      </w:r>
      <w:r>
        <w:rPr>
          <w:b w:val="false"/>
          <w:bCs w:val="false"/>
          <w:color w:val="000000"/>
          <w:sz w:val="24"/>
          <w:szCs w:val="24"/>
          <w:shd w:fill="auto" w:val="clear"/>
        </w:rPr>
        <w:t xml:space="preserve"> I want to clarify that we will not make any final decision on this proposal today. I will also put this one the agenda for next week. I also want to pre-warn for our discussion now that I will need 7-8 minutes towards the end of the meeting for general items.</w:t>
        <w:br/>
      </w:r>
      <w:r>
        <w:rPr>
          <w:b/>
          <w:bCs/>
          <w:color w:val="000000"/>
          <w:sz w:val="24"/>
          <w:szCs w:val="24"/>
          <w:shd w:fill="auto" w:val="clear"/>
        </w:rPr>
        <w:t>C:</w:t>
      </w:r>
      <w:r>
        <w:rPr>
          <w:b w:val="false"/>
          <w:bCs w:val="false"/>
          <w:color w:val="000000"/>
          <w:sz w:val="24"/>
          <w:szCs w:val="24"/>
          <w:shd w:fill="auto" w:val="clear"/>
        </w:rPr>
        <w:t xml:space="preserve"> Historically UWB was restricted to such a low power-level that if it came to national borders you wouldn't have any noticeable interference. I think in terms of ITU-R regulations that is certainly what I think is meant. I do think it's fruitful to go and find some spectrum where we don't need to restrict the power-levels too much before we can use it.</w:t>
        <w:br/>
      </w:r>
      <w:r>
        <w:rPr>
          <w:b/>
          <w:bCs/>
          <w:color w:val="000000"/>
          <w:sz w:val="24"/>
          <w:szCs w:val="24"/>
          <w:shd w:fill="auto" w:val="clear"/>
        </w:rPr>
        <w:t>C:</w:t>
      </w:r>
      <w:r>
        <w:rPr>
          <w:b w:val="false"/>
          <w:bCs w:val="false"/>
          <w:color w:val="000000"/>
          <w:sz w:val="24"/>
          <w:szCs w:val="24"/>
          <w:shd w:fill="auto" w:val="clear"/>
        </w:rPr>
        <w:t xml:space="preserve"> I think the use of the 42 GHz for .11aj was also somehow connected to the then ongoing SARS situation.</w:t>
        <w:br/>
      </w:r>
      <w:r>
        <w:rPr>
          <w:b/>
          <w:bCs/>
          <w:color w:val="000000"/>
          <w:sz w:val="24"/>
          <w:szCs w:val="24"/>
          <w:shd w:fill="auto" w:val="clear"/>
        </w:rPr>
        <w:t>C:</w:t>
      </w:r>
      <w:r>
        <w:rPr>
          <w:b w:val="false"/>
          <w:bCs w:val="false"/>
          <w:color w:val="000000"/>
          <w:sz w:val="24"/>
          <w:szCs w:val="24"/>
          <w:shd w:fill="auto" w:val="clear"/>
        </w:rPr>
        <w:t xml:space="preserve"> I believe this could be something worth investigation. The high level table on slide 8 I'm sure has a lot of footnotes attached to it that we could dive deeper into.</w:t>
        <w:br/>
      </w:r>
      <w:r>
        <w:rPr>
          <w:b/>
          <w:bCs/>
          <w:color w:val="000000"/>
          <w:sz w:val="24"/>
          <w:szCs w:val="24"/>
          <w:shd w:fill="auto" w:val="clear"/>
        </w:rPr>
        <w:t>Q:</w:t>
      </w:r>
      <w:r>
        <w:rPr>
          <w:b w:val="false"/>
          <w:bCs w:val="false"/>
          <w:color w:val="000000"/>
          <w:sz w:val="24"/>
          <w:szCs w:val="24"/>
          <w:shd w:fill="auto" w:val="clear"/>
        </w:rPr>
        <w:t xml:space="preserve"> I'm wondering what role IEEE 802.18 is envisaged in this presentation in terms of cooperation with the UHR SG?</w:t>
        <w:br/>
      </w:r>
      <w:r>
        <w:rPr>
          <w:b/>
          <w:bCs/>
          <w:color w:val="000000"/>
          <w:sz w:val="24"/>
          <w:szCs w:val="24"/>
          <w:shd w:fill="auto" w:val="clear"/>
        </w:rPr>
        <w:t>A:</w:t>
      </w:r>
      <w:r>
        <w:rPr>
          <w:b w:val="false"/>
          <w:bCs w:val="false"/>
          <w:color w:val="000000"/>
          <w:sz w:val="24"/>
          <w:szCs w:val="24"/>
          <w:shd w:fill="auto" w:val="clear"/>
        </w:rPr>
        <w:t xml:space="preserve"> I would expect that IEEE 802.18 would provide some sort of report to that study group that either recommends developing technologies for the 45 GHz band or not to do it, depending on what the outcome is of our investigations. </w:t>
        <w:br/>
      </w:r>
      <w:r>
        <w:rPr>
          <w:b/>
          <w:bCs/>
          <w:color w:val="000000"/>
          <w:sz w:val="24"/>
          <w:szCs w:val="24"/>
          <w:shd w:fill="auto" w:val="clear"/>
        </w:rPr>
        <w:t>C:</w:t>
      </w:r>
      <w:r>
        <w:rPr>
          <w:b w:val="false"/>
          <w:bCs w:val="false"/>
          <w:color w:val="000000"/>
          <w:sz w:val="24"/>
          <w:szCs w:val="24"/>
          <w:shd w:fill="auto" w:val="clear"/>
        </w:rPr>
        <w:t xml:space="preserve"> </w:t>
      </w:r>
      <w:r>
        <w:rPr>
          <w:b w:val="false"/>
          <w:bCs w:val="false"/>
          <w:color w:val="000000"/>
          <w:sz w:val="24"/>
          <w:szCs w:val="24"/>
          <w:shd w:fill="auto" w:val="clear"/>
        </w:rPr>
        <w:t>I did a lot of work on .11ay so I appreciate this effort.</w:t>
        <w:br/>
      </w:r>
      <w:r>
        <w:rPr>
          <w:b/>
          <w:bCs/>
          <w:color w:val="000000"/>
          <w:sz w:val="24"/>
          <w:szCs w:val="24"/>
          <w:shd w:fill="auto" w:val="clear"/>
        </w:rPr>
        <w:t>C:</w:t>
      </w:r>
      <w:r>
        <w:rPr>
          <w:b w:val="false"/>
          <w:bCs w:val="false"/>
          <w:color w:val="000000"/>
          <w:sz w:val="24"/>
          <w:szCs w:val="24"/>
          <w:shd w:fill="auto" w:val="clear"/>
        </w:rPr>
        <w:t xml:space="preserve"> The motion that approved the formation of the UHR SG is very much technology and band agnostics. For me it might make sense if the discussion starts in the study group before we look into it here.</w:t>
        <w:br/>
      </w:r>
      <w:r>
        <w:rPr>
          <w:b/>
          <w:bCs/>
          <w:color w:val="000000"/>
          <w:sz w:val="24"/>
          <w:szCs w:val="24"/>
          <w:shd w:fill="auto" w:val="clear"/>
        </w:rPr>
        <w:t>C:</w:t>
      </w:r>
      <w:r>
        <w:rPr>
          <w:b w:val="false"/>
          <w:bCs w:val="false"/>
          <w:color w:val="000000"/>
          <w:sz w:val="24"/>
          <w:szCs w:val="24"/>
          <w:shd w:fill="auto" w:val="clear"/>
        </w:rPr>
        <w:t xml:space="preserve"> The study group might look at it differently if you had a guarantee for some spectrum being available in the band, though.</w:t>
        <w:br/>
      </w:r>
      <w:r>
        <w:rPr>
          <w:b/>
          <w:bCs/>
          <w:color w:val="000000"/>
          <w:sz w:val="24"/>
          <w:szCs w:val="24"/>
          <w:shd w:fill="auto" w:val="clear"/>
        </w:rPr>
        <w:t>C:</w:t>
      </w:r>
      <w:r>
        <w:rPr>
          <w:b w:val="false"/>
          <w:bCs w:val="false"/>
          <w:color w:val="000000"/>
          <w:sz w:val="24"/>
          <w:szCs w:val="24"/>
          <w:shd w:fill="auto" w:val="clear"/>
        </w:rPr>
        <w:t xml:space="preserve"> I would like to endorse studying this and .18 being proactive, collecting information that could be useful for either the study group mentioned or other groups. </w:t>
        <w:br/>
      </w:r>
      <w:r>
        <w:rPr>
          <w:b/>
          <w:bCs/>
          <w:color w:val="000000"/>
          <w:sz w:val="24"/>
          <w:szCs w:val="24"/>
          <w:shd w:fill="auto" w:val="clear"/>
        </w:rPr>
        <w:t>C:</w:t>
      </w:r>
      <w:r>
        <w:rPr>
          <w:b w:val="false"/>
          <w:bCs w:val="false"/>
          <w:color w:val="000000"/>
          <w:sz w:val="24"/>
          <w:szCs w:val="24"/>
          <w:shd w:fill="auto" w:val="clear"/>
        </w:rPr>
        <w:t xml:space="preserve"> I think this is an interesting idea. Helping other groups in IEEE 802 aware of what bands are out there is something that I think should be within the chartered scope of our group. I do have concerns with mmWave bands used in the context of UHR, since they're easily blockable. That introduces reliability concerns. So is this mostly from a regulatory perspective you want to look at this? Or would you also see this ad-hoc looking into more technical issues too?</w:t>
        <w:br/>
      </w:r>
      <w:r>
        <w:rPr>
          <w:b/>
          <w:bCs/>
          <w:color w:val="000000"/>
          <w:sz w:val="24"/>
          <w:szCs w:val="24"/>
          <w:shd w:fill="auto" w:val="clear"/>
        </w:rPr>
        <w:t>C:</w:t>
      </w:r>
      <w:r>
        <w:rPr>
          <w:b w:val="false"/>
          <w:bCs w:val="false"/>
          <w:color w:val="000000"/>
          <w:sz w:val="24"/>
          <w:szCs w:val="24"/>
          <w:shd w:fill="auto" w:val="clear"/>
        </w:rPr>
        <w:t xml:space="preserve"> I have thought about this more from a regulatory perspective looking for spectrum that is available for shared use. But we could of course take into account technical factors too.</w:t>
        <w:br/>
      </w:r>
      <w:r>
        <w:rPr>
          <w:b/>
          <w:bCs/>
          <w:color w:val="000000"/>
          <w:sz w:val="24"/>
          <w:szCs w:val="24"/>
          <w:shd w:fill="auto" w:val="clear"/>
        </w:rPr>
        <w:t>C:</w:t>
      </w:r>
      <w:r>
        <w:rPr>
          <w:b w:val="false"/>
          <w:bCs w:val="false"/>
          <w:color w:val="000000"/>
          <w:sz w:val="24"/>
          <w:szCs w:val="24"/>
          <w:shd w:fill="auto" w:val="clear"/>
        </w:rPr>
        <w:t xml:space="preserve"> Maybe in IEEE 802.18 the technical expertise is not there to properly assess the propagation qualities of the bands that are available in the regulatory landscape. So I don't want the outcome of such an ad-hoc to imply that we need to find shareable bands only for the next, hot thing that for now happens to be UHR. These bands could be used by any technology.</w:t>
        <w:br/>
      </w:r>
      <w:r>
        <w:rPr>
          <w:b/>
          <w:bCs/>
          <w:color w:val="000000"/>
          <w:sz w:val="24"/>
          <w:szCs w:val="24"/>
          <w:shd w:fill="auto" w:val="clear"/>
        </w:rPr>
        <w:t>Chair:</w:t>
      </w:r>
      <w:r>
        <w:rPr>
          <w:b w:val="false"/>
          <w:bCs w:val="false"/>
          <w:color w:val="000000"/>
          <w:sz w:val="24"/>
          <w:szCs w:val="24"/>
          <w:shd w:fill="auto" w:val="clear"/>
        </w:rPr>
        <w:t xml:space="preserve"> I want to remind everyone that we have limited amount of time left for this.</w:t>
        <w:br/>
      </w:r>
      <w:r>
        <w:rPr>
          <w:b/>
          <w:bCs/>
          <w:color w:val="000000"/>
          <w:sz w:val="24"/>
          <w:szCs w:val="24"/>
          <w:shd w:fill="auto" w:val="clear"/>
        </w:rPr>
        <w:t>Q</w:t>
      </w:r>
      <w:r>
        <w:rPr>
          <w:b/>
          <w:bCs/>
          <w:color w:val="000000"/>
          <w:sz w:val="24"/>
          <w:szCs w:val="24"/>
          <w:shd w:fill="auto" w:val="clear"/>
        </w:rPr>
        <w:t>:</w:t>
      </w:r>
      <w:r>
        <w:rPr>
          <w:b w:val="false"/>
          <w:bCs w:val="false"/>
          <w:color w:val="000000"/>
          <w:sz w:val="24"/>
          <w:szCs w:val="24"/>
          <w:shd w:fill="auto" w:val="clear"/>
        </w:rPr>
        <w:t xml:space="preserve"> I'm wondering if IEEE 802.18 would be willing to work with outside entities for this work or is it only working group members that would engage?</w:t>
        <w:br/>
      </w:r>
      <w:r>
        <w:rPr>
          <w:b/>
          <w:bCs/>
          <w:color w:val="000000"/>
          <w:sz w:val="24"/>
          <w:szCs w:val="24"/>
          <w:shd w:fill="auto" w:val="clear"/>
        </w:rPr>
        <w:t>A</w:t>
      </w:r>
      <w:r>
        <w:rPr>
          <w:b/>
          <w:bCs/>
          <w:color w:val="000000"/>
          <w:sz w:val="24"/>
          <w:szCs w:val="24"/>
          <w:shd w:fill="auto" w:val="clear"/>
        </w:rPr>
        <w:t>:</w:t>
      </w:r>
      <w:r>
        <w:rPr>
          <w:b w:val="false"/>
          <w:bCs w:val="false"/>
          <w:color w:val="000000"/>
          <w:sz w:val="24"/>
          <w:szCs w:val="24"/>
          <w:shd w:fill="auto" w:val="clear"/>
        </w:rPr>
        <w:t xml:space="preserve"> I think we're trying to be proactive - it was a good framing I heard here. We could be a good source of information for the UHR SG. This activity we're doing here is not part of the UHR SG but may provide input to that SG. I think this ad-hoc fits within the IEEE 802.18 framework and that we can use this platform to contribute to the next generation of IEEE 802.11 technologies.</w:t>
        <w:br/>
      </w:r>
      <w:r>
        <w:rPr>
          <w:b/>
          <w:bCs/>
          <w:color w:val="000000"/>
          <w:sz w:val="24"/>
          <w:szCs w:val="24"/>
          <w:shd w:fill="auto" w:val="clear"/>
        </w:rPr>
        <w:t>C:</w:t>
      </w:r>
      <w:r>
        <w:rPr>
          <w:b w:val="false"/>
          <w:bCs w:val="false"/>
          <w:color w:val="000000"/>
          <w:sz w:val="24"/>
          <w:szCs w:val="24"/>
          <w:shd w:fill="auto" w:val="clear"/>
        </w:rPr>
        <w:t xml:space="preserve"> </w:t>
      </w:r>
      <w:r>
        <w:rPr>
          <w:b w:val="false"/>
          <w:bCs w:val="false"/>
          <w:color w:val="000000"/>
          <w:sz w:val="24"/>
          <w:szCs w:val="24"/>
          <w:shd w:fill="auto" w:val="clear"/>
        </w:rPr>
        <w:t>We operate under the IEEE individual process.</w:t>
        <w:br/>
      </w:r>
      <w:r>
        <w:rPr>
          <w:b/>
          <w:bCs/>
          <w:color w:val="000000"/>
          <w:sz w:val="24"/>
          <w:szCs w:val="24"/>
          <w:shd w:fill="auto" w:val="clear"/>
        </w:rPr>
        <w:t xml:space="preserve">Q: </w:t>
      </w:r>
      <w:r>
        <w:rPr>
          <w:b w:val="false"/>
          <w:bCs w:val="false"/>
          <w:color w:val="000000"/>
          <w:sz w:val="24"/>
          <w:szCs w:val="24"/>
          <w:shd w:fill="auto" w:val="clear"/>
        </w:rPr>
        <w:t>I guess my question was more whether the ad-hoc would be reaching out to external experts as well or relying only on its members.</w:t>
        <w:br/>
      </w:r>
      <w:r>
        <w:rPr>
          <w:b/>
          <w:bCs/>
          <w:color w:val="000000"/>
          <w:sz w:val="24"/>
          <w:szCs w:val="24"/>
          <w:shd w:fill="auto" w:val="clear"/>
        </w:rPr>
        <w:t>A:</w:t>
      </w:r>
      <w:r>
        <w:rPr>
          <w:b w:val="false"/>
          <w:bCs w:val="false"/>
          <w:color w:val="000000"/>
          <w:sz w:val="24"/>
          <w:szCs w:val="24"/>
          <w:shd w:fill="auto" w:val="clear"/>
        </w:rPr>
        <w:t xml:space="preserve"> It's an individual process so the participants will decide what happens in the meetings.</w:t>
        <w:br/>
      </w:r>
      <w:r>
        <w:rPr>
          <w:b/>
          <w:bCs/>
          <w:color w:val="000000"/>
          <w:sz w:val="24"/>
          <w:szCs w:val="24"/>
          <w:shd w:fill="auto" w:val="clear"/>
        </w:rPr>
        <w:t>C:</w:t>
      </w:r>
      <w:r>
        <w:rPr>
          <w:b w:val="false"/>
          <w:bCs w:val="false"/>
          <w:color w:val="000000"/>
          <w:sz w:val="24"/>
          <w:szCs w:val="24"/>
          <w:shd w:fill="auto" w:val="clear"/>
        </w:rPr>
        <w:t xml:space="preserve"> Any work product we generate in IEEE 802.18 should not be targetting only the UHR SG, but more generally towards any group in the IEEE 802 family. </w:t>
        <w:br/>
      </w:r>
      <w:r>
        <w:rPr>
          <w:b/>
          <w:bCs/>
          <w:color w:val="000000"/>
          <w:sz w:val="24"/>
          <w:szCs w:val="24"/>
          <w:shd w:fill="auto" w:val="clear"/>
        </w:rPr>
        <w:t>C:</w:t>
      </w:r>
      <w:r>
        <w:rPr>
          <w:b w:val="false"/>
          <w:bCs w:val="false"/>
          <w:color w:val="000000"/>
          <w:sz w:val="24"/>
          <w:szCs w:val="24"/>
          <w:shd w:fill="auto" w:val="clear"/>
        </w:rPr>
        <w:t xml:space="preserve"> I agree.</w:t>
      </w:r>
      <w:r>
        <w:rPr>
          <w:b/>
          <w:bCs/>
          <w:sz w:val="24"/>
          <w:szCs w:val="24"/>
        </w:rPr>
        <w:br/>
      </w:r>
    </w:p>
    <w:p>
      <w:pPr>
        <w:pStyle w:val="Normal"/>
        <w:numPr>
          <w:ilvl w:val="0"/>
          <w:numId w:val="1"/>
        </w:numPr>
        <w:spacing w:before="0" w:after="0"/>
        <w:contextualSpacing/>
        <w:rPr/>
      </w:pPr>
      <w:r>
        <w:rPr>
          <w:b/>
          <w:bCs/>
          <w:sz w:val="24"/>
          <w:szCs w:val="24"/>
        </w:rPr>
        <w:t>General discussion items</w:t>
        <w:br/>
        <w:br/>
        <w:t xml:space="preserve">Chair: </w:t>
      </w:r>
      <w:r>
        <w:rPr>
          <w:b w:val="false"/>
          <w:bCs w:val="false"/>
          <w:sz w:val="24"/>
          <w:szCs w:val="24"/>
        </w:rPr>
        <w:t>There is not a lot of time for this so I will quickly go through some items:</w:t>
        <w:br/>
        <w:br/>
        <w:t>1) FCC and NTIA have signed an MoU on efficient spectrum use.</w:t>
        <w:br/>
        <w:t>2) The Japan MIC has closed their 920 MHz consultation. They have already announced that they intend to make more spectrum available in these bands for .11ah technologies.</w:t>
        <w:br/>
        <w:t>3) The next version of the Malaysia spectrum frequency allocation table is now available.</w:t>
        <w:br/>
        <w:t xml:space="preserve">4) In New Zealand Lower Power Indoor use and Very Low Power outdoor use is now available for WLAN in the lower 6 GHz bands. Multi Gigabit Wireless Systems and IMT can share </w:t>
        <w:br/>
        <w:br/>
        <w:t>C: In New Zealand I think only Low Power Indoor use is in play.</w:t>
      </w:r>
      <w:r>
        <w:rPr>
          <w:b/>
          <w:bCs/>
          <w:sz w:val="24"/>
          <w:szCs w:val="24"/>
        </w:rPr>
        <w:br/>
      </w:r>
    </w:p>
    <w:p>
      <w:pPr>
        <w:pStyle w:val="Normal"/>
        <w:numPr>
          <w:ilvl w:val="0"/>
          <w:numId w:val="1"/>
        </w:numPr>
        <w:spacing w:before="0" w:after="0"/>
        <w:contextualSpacing/>
        <w:rPr/>
      </w:pPr>
      <w:r>
        <w:rPr>
          <w:b/>
          <w:bCs/>
          <w:sz w:val="24"/>
          <w:szCs w:val="24"/>
        </w:rPr>
        <w:t>Meeting Schedule: next week</w:t>
        <w:br/>
        <w:br/>
      </w:r>
      <w:r>
        <w:rPr>
          <w:sz w:val="24"/>
          <w:szCs w:val="24"/>
        </w:rPr>
        <w:t>Chair reminds about the two meetings next week on Monday and Thursday.</w:t>
        <w:br/>
      </w:r>
    </w:p>
    <w:p>
      <w:pPr>
        <w:pStyle w:val="Normal"/>
        <w:numPr>
          <w:ilvl w:val="0"/>
          <w:numId w:val="1"/>
        </w:numPr>
        <w:spacing w:before="0" w:after="0"/>
        <w:contextualSpacing/>
        <w:rPr>
          <w:sz w:val="24"/>
          <w:szCs w:val="24"/>
        </w:rPr>
      </w:pPr>
      <w:r>
        <w:rPr>
          <w:b/>
          <w:sz w:val="24"/>
          <w:szCs w:val="24"/>
        </w:rPr>
        <w:t>Any other business</w:t>
      </w:r>
    </w:p>
    <w:p>
      <w:pPr>
        <w:pStyle w:val="Normal"/>
        <w:spacing w:before="0" w:after="0"/>
        <w:ind w:left="720" w:hanging="0"/>
        <w:contextualSpacing/>
        <w:rPr/>
      </w:pPr>
      <w:r>
        <w:rPr>
          <w:sz w:val="24"/>
          <w:szCs w:val="24"/>
        </w:rP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2</w:t>
      </w:r>
      <w:r>
        <w:rPr>
          <w:sz w:val="24"/>
          <w:szCs w:val="24"/>
        </w:rPr>
        <w:t>6</w:t>
      </w:r>
      <w:r>
        <w:rPr>
          <w:sz w:val="24"/>
          <w:szCs w:val="24"/>
        </w:rPr>
        <w:t xml:space="preserve"> participants and 21 voters (including the chair) [Report by Stuart Kerry]. </w:t>
      </w:r>
    </w:p>
    <w:p>
      <w:pPr>
        <w:pStyle w:val="Normal"/>
        <w:numPr>
          <w:ilvl w:val="1"/>
          <w:numId w:val="1"/>
        </w:numPr>
        <w:spacing w:before="0" w:after="0"/>
        <w:contextualSpacing/>
        <w:rPr/>
      </w:pPr>
      <w:r>
        <w:rPr>
          <w:b/>
          <w:bCs/>
          <w:sz w:val="24"/>
          <w:szCs w:val="24"/>
        </w:rPr>
        <w:t xml:space="preserve">Next weekly teleconference call scheduled for: </w:t>
      </w:r>
      <w:r>
        <w:rPr>
          <w:b/>
          <w:bCs/>
          <w:sz w:val="24"/>
          <w:szCs w:val="24"/>
        </w:rPr>
        <w:t>11</w:t>
      </w:r>
      <w:r>
        <w:rPr>
          <w:b/>
          <w:bCs/>
          <w:sz w:val="24"/>
          <w:szCs w:val="24"/>
        </w:rPr>
        <w:t xml:space="preserve"> August 2022, 15h00 ET. </w:t>
      </w:r>
    </w:p>
    <w:p>
      <w:pPr>
        <w:pStyle w:val="Normal"/>
        <w:numPr>
          <w:ilvl w:val="3"/>
          <w:numId w:val="1"/>
        </w:numPr>
        <w:spacing w:before="0" w:after="0"/>
        <w:contextualSpacing/>
        <w:rPr/>
      </w:pPr>
      <w:r>
        <w:rPr>
          <w:sz w:val="24"/>
          <w:szCs w:val="24"/>
        </w:rPr>
        <w:t xml:space="preserve">Call in info: </w:t>
      </w:r>
      <w:hyperlink r:id="rId11">
        <w:r>
          <w:rPr>
            <w:rStyle w:val="Internetlnk"/>
            <w:sz w:val="24"/>
            <w:szCs w:val="24"/>
          </w:rPr>
          <w:t>https://mentor.ieee.org/802.18/dcn/16/18-16-0038-24-0000-teleconference-call-in-info.pptx</w:t>
        </w:r>
      </w:hyperlink>
    </w:p>
    <w:p>
      <w:pPr>
        <w:pStyle w:val="Normal"/>
        <w:numPr>
          <w:ilvl w:val="3"/>
          <w:numId w:val="1"/>
        </w:numPr>
        <w:spacing w:before="0" w:after="0"/>
        <w:contextualSpacing/>
        <w:rPr/>
      </w:pPr>
      <w:r>
        <w:rPr>
          <w:sz w:val="24"/>
          <w:szCs w:val="24"/>
        </w:rPr>
        <w:t xml:space="preserve">IEEE 802 Wireless interim is 12-16 September in Waikoloa.  </w:t>
      </w:r>
    </w:p>
    <w:p>
      <w:pPr>
        <w:pStyle w:val="Normal"/>
        <w:numPr>
          <w:ilvl w:val="3"/>
          <w:numId w:val="1"/>
        </w:numPr>
        <w:spacing w:before="0" w:after="0"/>
        <w:contextualSpacing/>
        <w:rPr/>
      </w:pPr>
      <w:r>
        <w:rPr>
          <w:sz w:val="24"/>
          <w:szCs w:val="24"/>
        </w:rPr>
        <w:t>Currently, weekly teleconferences are scheduled until 26 January 2023</w:t>
      </w:r>
      <w:bookmarkStart w:id="0" w:name="_GoBack"/>
      <w:bookmarkEnd w:id="0"/>
      <w:r>
        <w:rPr>
          <w:sz w:val="24"/>
          <w:szCs w:val="24"/>
        </w:rPr>
        <w:t xml:space="preserve">.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2">
        <w:r>
          <w:rPr>
            <w:rStyle w:val="Internetlnk"/>
            <w:sz w:val="24"/>
            <w:szCs w:val="24"/>
          </w:rPr>
          <w:t>https://ieee802.org/16/cal-temp.html</w:t>
        </w:r>
      </w:hyperlink>
      <w:r>
        <w:rPr>
          <w:sz w:val="24"/>
          <w:szCs w:val="24"/>
        </w:rPr>
        <w:t xml:space="preserve"> or only 802.18:  </w:t>
      </w:r>
      <w:hyperlink r:id="rId13">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15:5</w:t>
      </w:r>
      <w:r>
        <w:rPr>
          <w:sz w:val="24"/>
          <w:szCs w:val="24"/>
        </w:rPr>
        <w:t>6</w:t>
      </w:r>
      <w:r>
        <w:rPr>
          <w:sz w:val="24"/>
          <w:szCs w:val="24"/>
        </w:rPr>
        <w:t xml:space="preserve">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r>
        <w:rPr>
          <w:rFonts w:eastAsia="Times New Roman" w:cs="Arial" w:ascii="Arial" w:hAnsi="Arial"/>
          <w:b/>
          <w:bCs/>
          <w:sz w:val="20"/>
          <w:szCs w:val="24"/>
        </w:rPr>
        <w:br/>
      </w:r>
    </w:p>
    <w:p>
      <w:pPr>
        <w:pStyle w:val="ListParagraph"/>
        <w:ind w:left="0" w:hanging="0"/>
        <w:rPr>
          <w:b/>
          <w:b/>
          <w:sz w:val="24"/>
          <w:szCs w:val="24"/>
        </w:rPr>
      </w:pPr>
      <w:r>
        <w:rPr/>
      </w:r>
    </w:p>
    <w:tbl>
      <w:tblPr>
        <w:tblW w:w="9995" w:type="dxa"/>
        <w:jc w:val="left"/>
        <w:tblInd w:w="0" w:type="dxa"/>
        <w:tblLayout w:type="fixed"/>
        <w:tblCellMar>
          <w:top w:w="0" w:type="dxa"/>
          <w:left w:w="0" w:type="dxa"/>
          <w:bottom w:w="0" w:type="dxa"/>
          <w:right w:w="0" w:type="dxa"/>
        </w:tblCellMar>
      </w:tblPr>
      <w:tblGrid>
        <w:gridCol w:w="233"/>
        <w:gridCol w:w="1472"/>
        <w:gridCol w:w="2440"/>
        <w:gridCol w:w="5032"/>
        <w:gridCol w:w="818"/>
      </w:tblGrid>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Andersdotter</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Amelia</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Comcast</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2</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Au</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Edward (Kwok Shum)</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Huawei Technologies Co., Ltd</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3</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Boldy</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David</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Broadcom Corporation</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4</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da Silva</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Claudio</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Meta Platforms, Inc.</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5</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Ecclesine</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Peter</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Cisco Systems, Inc.</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6</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Fang</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Yonggang</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MediaTek</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7</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Holcomb</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Jay</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Itron Inc.</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8</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Jeffries</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Timothy</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FutureWei Technologies, Inc.</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9</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Kain</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Carl</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USDOT, Noblis, Inc.</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10</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Kennedy</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Richard</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Huawei Paris</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11</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Kenney</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John</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TOYOTA InfoTechnology Center U.S.A.</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12</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Kerry</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Stuart</w:t>
            </w:r>
          </w:p>
        </w:tc>
        <w:tc>
          <w:tcPr>
            <w:tcW w:w="5032" w:type="dxa"/>
            <w:tcBorders/>
            <w:vAlign w:val="center"/>
          </w:tcPr>
          <w:p>
            <w:pPr>
              <w:pStyle w:val="Tabellinnehll"/>
              <w:spacing w:before="0" w:after="0"/>
              <w:rPr/>
            </w:pPr>
            <w:r>
              <w:rPr>
                <w:rFonts w:ascii="Arial;sans-serif" w:hAnsi="Arial;sans-serif"/>
                <w:sz w:val="20"/>
              </w:rPr>
              <w:t>OK</w:t>
            </w:r>
            <w:r>
              <w:rPr/>
              <w:t>‐</w:t>
            </w:r>
            <w:r>
              <w:rPr>
                <w:rFonts w:ascii="Arial;sans-serif" w:hAnsi="Arial;sans-serif"/>
                <w:sz w:val="20"/>
              </w:rPr>
              <w:t>Brit, Self</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13</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Levy</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Joseph</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InterDigital, Inc.</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14</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Nikolich</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Paul</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 xml:space="preserve">Self, HPE, Huawei, Wyebot, UNH BCoE, YAS BBV, Origin Wireless </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15</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Petrick</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Al</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Skyworks Solutions Inc.</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16</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Pirhonen</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Riku</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NXP Semiconductors</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17</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Rolfe</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Benjamin</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Blind Creek Associates</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18</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Scott</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Andy</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NCTA – The Internet &amp; Television Association</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19</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Wang</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Lei</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FutureWei Technologies, Inc.</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20</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Ward</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Lisa</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Rohde &amp; Schwarz</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21</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Yaghoobi</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Hassan</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Intel Corporation</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rPr>
                <w:sz w:val="4"/>
                <w:szCs w:val="4"/>
              </w:rPr>
            </w:pPr>
            <w:r>
              <w:rPr>
                <w:sz w:val="4"/>
                <w:szCs w:val="4"/>
              </w:rPr>
            </w:r>
          </w:p>
        </w:tc>
        <w:tc>
          <w:tcPr>
            <w:tcW w:w="1472" w:type="dxa"/>
            <w:tcBorders/>
            <w:vAlign w:val="center"/>
          </w:tcPr>
          <w:p>
            <w:pPr>
              <w:pStyle w:val="Tabellinnehll"/>
              <w:rPr>
                <w:sz w:val="4"/>
                <w:szCs w:val="4"/>
              </w:rPr>
            </w:pPr>
            <w:r>
              <w:rPr>
                <w:sz w:val="4"/>
                <w:szCs w:val="4"/>
              </w:rPr>
            </w:r>
          </w:p>
        </w:tc>
        <w:tc>
          <w:tcPr>
            <w:tcW w:w="2440" w:type="dxa"/>
            <w:tcBorders/>
            <w:vAlign w:val="center"/>
          </w:tcPr>
          <w:p>
            <w:pPr>
              <w:pStyle w:val="Tabellinnehll"/>
              <w:rPr>
                <w:sz w:val="4"/>
                <w:szCs w:val="4"/>
              </w:rPr>
            </w:pPr>
            <w:r>
              <w:rPr>
                <w:sz w:val="4"/>
                <w:szCs w:val="4"/>
              </w:rPr>
            </w:r>
          </w:p>
        </w:tc>
        <w:tc>
          <w:tcPr>
            <w:tcW w:w="5032" w:type="dxa"/>
            <w:tcBorders/>
            <w:vAlign w:val="center"/>
          </w:tcPr>
          <w:p>
            <w:pPr>
              <w:pStyle w:val="Tabellinnehll"/>
              <w:rPr>
                <w:sz w:val="4"/>
                <w:szCs w:val="4"/>
              </w:rPr>
            </w:pPr>
            <w:r>
              <w:rPr>
                <w:sz w:val="4"/>
                <w:szCs w:val="4"/>
              </w:rPr>
            </w:r>
          </w:p>
        </w:tc>
        <w:tc>
          <w:tcPr>
            <w:tcW w:w="818" w:type="dxa"/>
            <w:tcBorders/>
            <w:vAlign w:val="center"/>
          </w:tcPr>
          <w:p>
            <w:pPr>
              <w:pStyle w:val="Tabellinnehll"/>
              <w:rPr>
                <w:sz w:val="4"/>
                <w:szCs w:val="4"/>
              </w:rPr>
            </w:pPr>
            <w:r>
              <w:rPr>
                <w:sz w:val="4"/>
                <w:szCs w:val="4"/>
              </w:rPr>
            </w:r>
          </w:p>
        </w:tc>
      </w:tr>
      <w:tr>
        <w:trPr/>
        <w:tc>
          <w:tcPr>
            <w:tcW w:w="4145" w:type="dxa"/>
            <w:gridSpan w:val="3"/>
            <w:tcBorders/>
            <w:vAlign w:val="center"/>
          </w:tcPr>
          <w:p>
            <w:pPr>
              <w:pStyle w:val="Tabellinnehll"/>
              <w:spacing w:before="0" w:after="0"/>
              <w:rPr>
                <w:rFonts w:ascii="Arial;sans-serif" w:hAnsi="Arial;sans-serif"/>
                <w:b/>
                <w:sz w:val="20"/>
              </w:rPr>
            </w:pPr>
            <w:r>
              <w:rPr>
                <w:rFonts w:ascii="Arial;sans-serif" w:hAnsi="Arial;sans-serif"/>
                <w:b/>
                <w:sz w:val="20"/>
              </w:rPr>
              <w:t>Non-Voting Attendees:</w:t>
            </w:r>
          </w:p>
        </w:tc>
        <w:tc>
          <w:tcPr>
            <w:tcW w:w="5032" w:type="dxa"/>
            <w:tcBorders/>
            <w:vAlign w:val="center"/>
          </w:tcPr>
          <w:p>
            <w:pPr>
              <w:pStyle w:val="Tabellinnehll"/>
              <w:rPr>
                <w:sz w:val="4"/>
                <w:szCs w:val="4"/>
              </w:rPr>
            </w:pPr>
            <w:r>
              <w:rPr>
                <w:sz w:val="4"/>
                <w:szCs w:val="4"/>
              </w:rPr>
            </w:r>
          </w:p>
        </w:tc>
        <w:tc>
          <w:tcPr>
            <w:tcW w:w="818" w:type="dxa"/>
            <w:tcBorders/>
            <w:vAlign w:val="center"/>
          </w:tcPr>
          <w:p>
            <w:pPr>
              <w:pStyle w:val="Tabellinnehll"/>
              <w:rPr>
                <w:sz w:val="4"/>
                <w:szCs w:val="4"/>
              </w:rPr>
            </w:pPr>
            <w:r>
              <w:rPr>
                <w:sz w:val="4"/>
                <w:szCs w:val="4"/>
              </w:rPr>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1</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Aboul-Magd</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Osama</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Huawei</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2</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Halasz</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Dave</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Morse Micro</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3</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Lubar</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Dan</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RelayServices</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4</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Shen</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Andy</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Futurewei, U.S. Subsidiary of Huawei</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ellinnehll"/>
              <w:spacing w:before="0" w:after="0"/>
              <w:jc w:val="center"/>
              <w:rPr>
                <w:rFonts w:ascii="Arial;sans-serif" w:hAnsi="Arial;sans-serif"/>
                <w:sz w:val="20"/>
              </w:rPr>
            </w:pPr>
            <w:r>
              <w:rPr>
                <w:rFonts w:ascii="Arial;sans-serif" w:hAnsi="Arial;sans-serif"/>
                <w:sz w:val="20"/>
              </w:rPr>
              <w:t>5</w:t>
            </w:r>
          </w:p>
        </w:tc>
        <w:tc>
          <w:tcPr>
            <w:tcW w:w="1472" w:type="dxa"/>
            <w:tcBorders/>
            <w:vAlign w:val="center"/>
          </w:tcPr>
          <w:p>
            <w:pPr>
              <w:pStyle w:val="Tabellinnehll"/>
              <w:spacing w:before="0" w:after="0"/>
              <w:rPr>
                <w:rFonts w:ascii="Arial;sans-serif" w:hAnsi="Arial;sans-serif"/>
                <w:b/>
                <w:sz w:val="20"/>
              </w:rPr>
            </w:pPr>
            <w:r>
              <w:rPr>
                <w:rFonts w:ascii="Arial;sans-serif" w:hAnsi="Arial;sans-serif"/>
                <w:b/>
                <w:sz w:val="20"/>
              </w:rPr>
              <w:t>Yi</w:t>
            </w:r>
          </w:p>
        </w:tc>
        <w:tc>
          <w:tcPr>
            <w:tcW w:w="2440" w:type="dxa"/>
            <w:tcBorders/>
            <w:vAlign w:val="center"/>
          </w:tcPr>
          <w:p>
            <w:pPr>
              <w:pStyle w:val="Tabellinnehll"/>
              <w:spacing w:before="0" w:after="0"/>
              <w:rPr>
                <w:rFonts w:ascii="Arial;sans-serif" w:hAnsi="Arial;sans-serif"/>
                <w:sz w:val="20"/>
              </w:rPr>
            </w:pPr>
            <w:r>
              <w:rPr>
                <w:rFonts w:ascii="Arial;sans-serif" w:hAnsi="Arial;sans-serif"/>
                <w:sz w:val="20"/>
              </w:rPr>
              <w:t>John</w:t>
            </w:r>
          </w:p>
        </w:tc>
        <w:tc>
          <w:tcPr>
            <w:tcW w:w="5032" w:type="dxa"/>
            <w:tcBorders/>
            <w:vAlign w:val="center"/>
          </w:tcPr>
          <w:p>
            <w:pPr>
              <w:pStyle w:val="Tabellinnehll"/>
              <w:spacing w:before="0" w:after="0"/>
              <w:rPr>
                <w:rFonts w:ascii="Arial;sans-serif" w:hAnsi="Arial;sans-serif"/>
                <w:sz w:val="20"/>
              </w:rPr>
            </w:pPr>
            <w:r>
              <w:rPr>
                <w:rFonts w:ascii="Arial;sans-serif" w:hAnsi="Arial;sans-serif"/>
                <w:sz w:val="20"/>
              </w:rPr>
              <w:t>SPRD</w:t>
            </w:r>
          </w:p>
        </w:tc>
        <w:tc>
          <w:tcPr>
            <w:tcW w:w="818"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bl>
    <w:p>
      <w:pPr>
        <w:pStyle w:val="ListParagraph"/>
        <w:ind w:left="0" w:hanging="0"/>
        <w:rPr>
          <w:b/>
          <w:b/>
          <w:sz w:val="24"/>
          <w:szCs w:val="24"/>
        </w:rPr>
      </w:pPr>
      <w:r>
        <w:rPr/>
      </w:r>
    </w:p>
    <w:sectPr>
      <w:headerReference w:type="default" r:id="rId14"/>
      <w:footerReference w:type="default" r:id="rId15"/>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4</w:t>
    </w:r>
    <w:r>
      <w:rPr/>
      <w:fldChar w:fldCharType="end"/>
    </w:r>
    <w:r>
      <w:rPr/>
      <w:t xml:space="preserve"> of </w:t>
    </w:r>
    <w:r>
      <w:rPr/>
      <w:fldChar w:fldCharType="begin"/>
    </w:r>
    <w:r>
      <w:rPr/>
      <w:instrText> NUMPAGES </w:instrText>
    </w:r>
    <w:r>
      <w:rPr/>
      <w:fldChar w:fldCharType="separate"/>
    </w:r>
    <w:r>
      <w:rPr/>
      <w:t>5</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August 2022</w:t>
      <w:tab/>
      <w:tab/>
      <w:t>doc.: IEEE.18-22-00</w:t>
    </w:r>
    <w:r>
      <w:rPr/>
      <w:t>94</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83-01-0000-rr-tag-agenda-4-august-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086-00-0000-teleconference-minutes-28-july-2022.docx" TargetMode="External"/><Relationship Id="rId9" Type="http://schemas.openxmlformats.org/officeDocument/2006/relationships/hyperlink" Target="https://mentor.ieee.org/802.18/dcn/22/18-22-0035-28-0000-status-of-ongoing-consultations-and-tag-documents-for-approval.docx" TargetMode="External"/><Relationship Id="rId10" Type="http://schemas.openxmlformats.org/officeDocument/2006/relationships/hyperlink" Target="https://mentor.ieee.org/802.18/dcn/22/18-22-0089-00-0000-45-ghz-ad-hoc-proposal.pptx" TargetMode="External"/><Relationship Id="rId11" Type="http://schemas.openxmlformats.org/officeDocument/2006/relationships/hyperlink" Target="https://mentor.ieee.org/802.18/dcn/16/18-16-0038-24-0000-teleconference-call-in-info.pptx" TargetMode="External"/><Relationship Id="rId12" Type="http://schemas.openxmlformats.org/officeDocument/2006/relationships/hyperlink" Target="https://ieee802.org/16/cal-temp.html" TargetMode="External"/><Relationship Id="rId13" Type="http://schemas.openxmlformats.org/officeDocument/2006/relationships/hyperlink" Target="https://calendar.google.com/calendar/embed?src=c2gedttabtbj4bps23j4847004@group.calendar.google.com&amp;ctz=America%2FNew_Yor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80B1-4637-4343-AE74-5AF0018C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8737</TotalTime>
  <Application>LibreOffice/7.2.7.2$Linux_X86_64 LibreOffice_project/20$Build-2</Application>
  <AppVersion>15.0000</AppVersion>
  <Pages>5</Pages>
  <Words>1744</Words>
  <Characters>8613</Characters>
  <CharactersWithSpaces>10199</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2022-07-29T13:47:00Z</dcterms:created>
  <dc:creator>author</dc:creator>
  <dc:description/>
  <cp:keywords>28 28 28 28 28 28 28 28 28 28 28 28 28 28 April 2022</cp:keywords>
  <dc:language>sv-SE</dc:language>
  <cp:lastModifiedBy>Amelia Andersdotter</cp:lastModifiedBy>
  <cp:lastPrinted>2012-05-15T22:13:00Z</cp:lastPrinted>
  <dcterms:modified xsi:type="dcterms:W3CDTF">2022-08-10T23:15:17Z</dcterms:modified>
  <cp:revision>10</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