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notes.xml" ContentType="application/vnd.openxmlformats-officedocument.wordprocessingml.footnotes+xml"/>
  <Override PartName="/word/comments.xml" ContentType="application/vnd.openxmlformats-officedocument.wordprocessingml.comment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P802.11</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070"/>
        <w:gridCol w:w="1979"/>
        <w:gridCol w:w="1620"/>
        <w:gridCol w:w="3906"/>
      </w:tblGrid>
      <w:tr>
        <w:trPr>
          <w:trHeight w:val="485" w:hRule="atLeast"/>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720" w:right="293" w:hanging="0"/>
              <w:rPr>
                <w:lang w:val="en-US"/>
              </w:rPr>
            </w:pPr>
            <w:r>
              <w:rPr/>
              <w:t xml:space="preserve">ISUS Document </w:t>
            </w:r>
            <w:r>
              <w:rPr>
                <w:lang w:val="en-US"/>
              </w:rPr>
              <w:t>Draft</w:t>
            </w:r>
          </w:p>
        </w:tc>
      </w:tr>
      <w:tr>
        <w:trPr>
          <w:trHeight w:val="359" w:hRule="atLeast"/>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2023-01-0</w:t>
            </w:r>
            <w:r>
              <w:rPr>
                <w:b w:val="false"/>
                <w:sz w:val="20"/>
              </w:rPr>
              <w:t>9</w:t>
            </w:r>
          </w:p>
        </w:tc>
      </w:tr>
      <w:tr>
        <w:trPr>
          <w:cantSplit w:val="true"/>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207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97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390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070"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1979"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Sky Group/Comcast</w:t>
            </w:r>
          </w:p>
        </w:tc>
        <w:tc>
          <w:tcPr>
            <w:tcW w:w="1620"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3906"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amelia.ieee@andersdotter.cc</w:t>
            </w:r>
          </w:p>
        </w:tc>
      </w:tr>
    </w:tbl>
    <w:p>
      <w:pPr>
        <w:pStyle w:val="T1"/>
        <w:spacing w:before="0" w:after="120"/>
        <w:rPr>
          <w:sz w:val="22"/>
        </w:rPr>
      </w:pPr>
      <w:r>
        <w:rPr>
          <w:sz w:val="22"/>
        </w:rPr>
        <mc:AlternateContent>
          <mc:Choice Requires="wps">
            <w:drawing>
              <wp:anchor behindDoc="0" distT="0" distB="0" distL="0" distR="0" simplePos="0" locked="0" layoutInCell="0" allowOverlap="1" relativeHeight="2" wp14:anchorId="5C0FE25D">
                <wp:simplePos x="0" y="0"/>
                <wp:positionH relativeFrom="column">
                  <wp:posOffset>-63500</wp:posOffset>
                </wp:positionH>
                <wp:positionV relativeFrom="paragraph">
                  <wp:posOffset>207645</wp:posOffset>
                </wp:positionV>
                <wp:extent cx="6478270" cy="4553585"/>
                <wp:effectExtent l="0" t="0" r="0" b="0"/>
                <wp:wrapNone/>
                <wp:docPr id="1" name="Text Box 3"/>
                <a:graphic xmlns:a="http://schemas.openxmlformats.org/drawingml/2006/main">
                  <a:graphicData uri="http://schemas.microsoft.com/office/word/2010/wordprocessingShape">
                    <wps:wsp>
                      <wps:cNvSpPr/>
                      <wps:spPr>
                        <a:xfrm>
                          <a:off x="0" y="0"/>
                          <a:ext cx="6478200" cy="455364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rPr>
                              <w:t xml:space="preserve">This document contains a skeletal draft for the IEEE Standards Association (SA) position statement “Intelligent Spectrum Allocation and Management” for review. </w:t>
                            </w:r>
                          </w:p>
                          <w:p>
                            <w:pPr>
                              <w:pStyle w:val="Raminnehll"/>
                              <w:spacing w:before="0" w:after="360"/>
                              <w:jc w:val="both"/>
                              <w:rPr>
                                <w:color w:val="000000"/>
                              </w:rPr>
                            </w:pPr>
                            <w:r>
                              <w:rPr>
                                <w:color w:val="000000"/>
                              </w:rPr>
                            </w:r>
                          </w:p>
                          <w:p>
                            <w:pPr>
                              <w:pStyle w:val="Raminnehll"/>
                              <w:spacing w:before="0" w:after="360"/>
                              <w:jc w:val="both"/>
                              <w:rPr>
                                <w:color w:val="000000"/>
                              </w:rPr>
                            </w:pPr>
                            <w:r>
                              <w:rPr>
                                <w:color w:val="000000"/>
                              </w:rPr>
                              <w:t>It is based on the Scope discussions outline on slide #12 in document 18-22-0084r2.'</w:t>
                            </w:r>
                          </w:p>
                          <w:p>
                            <w:pPr>
                              <w:pStyle w:val="Raminnehll"/>
                              <w:spacing w:before="0" w:after="360"/>
                              <w:jc w:val="both"/>
                              <w:rPr>
                                <w:color w:val="000000"/>
                              </w:rPr>
                            </w:pPr>
                            <w:r>
                              <w:rPr>
                                <w:b/>
                                <w:bCs/>
                                <w:color w:val="000000"/>
                              </w:rPr>
                              <w:t>r1: new text</w:t>
                            </w:r>
                            <w:r>
                              <w:rPr>
                                <w:color w:val="000000"/>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rPr>
                              <w:t>footnotes are still messy</w:t>
                            </w:r>
                            <w:r>
                              <w:rPr>
                                <w:color w:val="000000"/>
                              </w:rPr>
                              <w:t xml:space="preserve">. pieces kept from old statement are still marked with </w:t>
                            </w:r>
                            <w:r>
                              <w:rPr>
                                <w:color w:val="000000"/>
                                <w:shd w:fill="FFFF00" w:val="clear"/>
                              </w:rPr>
                              <w:t>yellow highlight</w:t>
                            </w:r>
                            <w:r>
                              <w:rPr>
                                <w:color w:val="000000"/>
                              </w:rPr>
                              <w:t xml:space="preserve">, but they've been reduced compared with previous version. </w:t>
                            </w:r>
                            <w:r>
                              <w:rPr>
                                <w:b/>
                                <w:bCs/>
                                <w:color w:val="000000"/>
                              </w:rPr>
                              <w:t>new section</w:t>
                            </w:r>
                            <w:r>
                              <w:rPr>
                                <w:color w:val="000000"/>
                              </w:rPr>
                              <w:t xml:space="preserve"> with recommendations added just before history-headline. </w:t>
                            </w:r>
                          </w:p>
                          <w:p>
                            <w:pPr>
                              <w:pStyle w:val="Raminnehll"/>
                              <w:spacing w:before="0" w:after="360"/>
                              <w:jc w:val="both"/>
                              <w:rPr>
                                <w:color w:val="000000"/>
                              </w:rPr>
                            </w:pPr>
                            <w:r>
                              <w:rPr>
                                <w:b/>
                                <w:bCs/>
                                <w:color w:val="000000"/>
                              </w:rPr>
                              <w:t>r2: replaced</w:t>
                            </w:r>
                            <w:r>
                              <w:rPr>
                                <w:color w:val="000000"/>
                              </w:rPr>
                              <w:t xml:space="preserve"> "unlicensed" with "license-exempt"</w:t>
                            </w:r>
                          </w:p>
                          <w:p>
                            <w:pPr>
                              <w:pStyle w:val="Raminnehll"/>
                              <w:spacing w:before="0" w:after="360"/>
                              <w:jc w:val="both"/>
                              <w:rPr>
                                <w:color w:val="000000"/>
                              </w:rPr>
                            </w:pPr>
                            <w:r>
                              <w:rPr>
                                <w:b/>
                                <w:bCs/>
                                <w:color w:val="000000"/>
                              </w:rPr>
                              <w:t>r3:</w:t>
                            </w:r>
                            <w:r>
                              <w:rPr>
                                <w:color w:val="000000"/>
                              </w:rPr>
                              <w:t xml:space="preserve"> organised footnotes.</w:t>
                            </w:r>
                          </w:p>
                          <w:p>
                            <w:pPr>
                              <w:pStyle w:val="Raminnehll"/>
                              <w:spacing w:before="0" w:after="360"/>
                              <w:jc w:val="both"/>
                              <w:rPr>
                                <w:color w:val="000000"/>
                              </w:rPr>
                            </w:pPr>
                            <w:r>
                              <w:rPr>
                                <w:b/>
                                <w:bCs/>
                                <w:color w:val="000000"/>
                              </w:rPr>
                              <w:t>r4:</w:t>
                            </w:r>
                            <w:r>
                              <w:rPr>
                                <w:color w:val="000000"/>
                              </w:rPr>
                              <w:t xml:space="preserve"> with notes from 16 December 2022 meeting.</w:t>
                            </w:r>
                          </w:p>
                          <w:p>
                            <w:pPr>
                              <w:pStyle w:val="Raminnehll"/>
                              <w:spacing w:before="0" w:after="360"/>
                              <w:jc w:val="both"/>
                              <w:rPr>
                                <w:color w:val="000000"/>
                              </w:rPr>
                            </w:pPr>
                            <w:r>
                              <w:rPr>
                                <w:b/>
                                <w:bCs/>
                                <w:color w:val="000000"/>
                              </w:rPr>
                              <w:t>r5:</w:t>
                            </w:r>
                            <w:r>
                              <w:rPr>
                                <w:color w:val="000000"/>
                              </w:rPr>
                              <w:t xml:space="preserve"> with formatted version of new recommendation 2.</w:t>
                            </w:r>
                          </w:p>
                          <w:p>
                            <w:pPr>
                              <w:pStyle w:val="Raminnehll"/>
                              <w:spacing w:before="0" w:after="360"/>
                              <w:rPr>
                                <w:color w:val="000000"/>
                              </w:rPr>
                            </w:pPr>
                            <w:r>
                              <w:rPr>
                                <w:color w:val="000000"/>
                              </w:rPr>
                            </w:r>
                          </w:p>
                          <w:p>
                            <w:pPr>
                              <w:pStyle w:val="Raminnehll"/>
                              <w:jc w:val="both"/>
                              <w:rPr>
                                <w:color w:val="000000"/>
                              </w:rPr>
                            </w:pPr>
                            <w:r>
                              <w:rPr/>
                            </w:r>
                          </w:p>
                        </w:txbxContent>
                      </wps:txbx>
                      <wps:bodyPr anchor="t" upright="1">
                        <a:noAutofit/>
                      </wps:bodyPr>
                    </wps:wsp>
                  </a:graphicData>
                </a:graphic>
              </wp:anchor>
            </w:drawing>
          </mc:Choice>
          <mc:Fallback>
            <w:pict>
              <v:rect id="shape_0" ID="Text Box 3" path="m0,0l-2147483645,0l-2147483645,-2147483646l0,-2147483646xe" fillcolor="white" stroked="f" o:allowincell="f" style="position:absolute;margin-left:-5pt;margin-top:16.35pt;width:510.05pt;height:358.5pt;mso-wrap-style:square;v-text-anchor:top" wp14:anchorId="5C0FE25D">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rPr>
                        <w:t xml:space="preserve">This document contains a skeletal draft for the IEEE Standards Association (SA) position statement “Intelligent Spectrum Allocation and Management” for review. </w:t>
                      </w:r>
                    </w:p>
                    <w:p>
                      <w:pPr>
                        <w:pStyle w:val="Raminnehll"/>
                        <w:spacing w:before="0" w:after="360"/>
                        <w:jc w:val="both"/>
                        <w:rPr>
                          <w:color w:val="000000"/>
                        </w:rPr>
                      </w:pPr>
                      <w:r>
                        <w:rPr>
                          <w:color w:val="000000"/>
                        </w:rPr>
                      </w:r>
                    </w:p>
                    <w:p>
                      <w:pPr>
                        <w:pStyle w:val="Raminnehll"/>
                        <w:spacing w:before="0" w:after="360"/>
                        <w:jc w:val="both"/>
                        <w:rPr>
                          <w:color w:val="000000"/>
                        </w:rPr>
                      </w:pPr>
                      <w:r>
                        <w:rPr>
                          <w:color w:val="000000"/>
                        </w:rPr>
                        <w:t>It is based on the Scope discussions outline on slide #12 in document 18-22-0084r2.'</w:t>
                      </w:r>
                    </w:p>
                    <w:p>
                      <w:pPr>
                        <w:pStyle w:val="Raminnehll"/>
                        <w:spacing w:before="0" w:after="360"/>
                        <w:jc w:val="both"/>
                        <w:rPr>
                          <w:color w:val="000000"/>
                        </w:rPr>
                      </w:pPr>
                      <w:r>
                        <w:rPr>
                          <w:b/>
                          <w:bCs/>
                          <w:color w:val="000000"/>
                        </w:rPr>
                        <w:t>r1: new text</w:t>
                      </w:r>
                      <w:r>
                        <w:rPr>
                          <w:color w:val="000000"/>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rPr>
                        <w:t>footnotes are still messy</w:t>
                      </w:r>
                      <w:r>
                        <w:rPr>
                          <w:color w:val="000000"/>
                        </w:rPr>
                        <w:t xml:space="preserve">. pieces kept from old statement are still marked with </w:t>
                      </w:r>
                      <w:r>
                        <w:rPr>
                          <w:color w:val="000000"/>
                          <w:shd w:fill="FFFF00" w:val="clear"/>
                        </w:rPr>
                        <w:t>yellow highlight</w:t>
                      </w:r>
                      <w:r>
                        <w:rPr>
                          <w:color w:val="000000"/>
                        </w:rPr>
                        <w:t xml:space="preserve">, but they've been reduced compared with previous version. </w:t>
                      </w:r>
                      <w:r>
                        <w:rPr>
                          <w:b/>
                          <w:bCs/>
                          <w:color w:val="000000"/>
                        </w:rPr>
                        <w:t>new section</w:t>
                      </w:r>
                      <w:r>
                        <w:rPr>
                          <w:color w:val="000000"/>
                        </w:rPr>
                        <w:t xml:space="preserve"> with recommendations added just before history-headline. </w:t>
                      </w:r>
                    </w:p>
                    <w:p>
                      <w:pPr>
                        <w:pStyle w:val="Raminnehll"/>
                        <w:spacing w:before="0" w:after="360"/>
                        <w:jc w:val="both"/>
                        <w:rPr>
                          <w:color w:val="000000"/>
                        </w:rPr>
                      </w:pPr>
                      <w:r>
                        <w:rPr>
                          <w:b/>
                          <w:bCs/>
                          <w:color w:val="000000"/>
                        </w:rPr>
                        <w:t>r2: replaced</w:t>
                      </w:r>
                      <w:r>
                        <w:rPr>
                          <w:color w:val="000000"/>
                        </w:rPr>
                        <w:t xml:space="preserve"> "unlicensed" with "license-exempt"</w:t>
                      </w:r>
                    </w:p>
                    <w:p>
                      <w:pPr>
                        <w:pStyle w:val="Raminnehll"/>
                        <w:spacing w:before="0" w:after="360"/>
                        <w:jc w:val="both"/>
                        <w:rPr>
                          <w:color w:val="000000"/>
                        </w:rPr>
                      </w:pPr>
                      <w:r>
                        <w:rPr>
                          <w:b/>
                          <w:bCs/>
                          <w:color w:val="000000"/>
                        </w:rPr>
                        <w:t>r3:</w:t>
                      </w:r>
                      <w:r>
                        <w:rPr>
                          <w:color w:val="000000"/>
                        </w:rPr>
                        <w:t xml:space="preserve"> organised footnotes.</w:t>
                      </w:r>
                    </w:p>
                    <w:p>
                      <w:pPr>
                        <w:pStyle w:val="Raminnehll"/>
                        <w:spacing w:before="0" w:after="360"/>
                        <w:jc w:val="both"/>
                        <w:rPr>
                          <w:color w:val="000000"/>
                        </w:rPr>
                      </w:pPr>
                      <w:r>
                        <w:rPr>
                          <w:b/>
                          <w:bCs/>
                          <w:color w:val="000000"/>
                        </w:rPr>
                        <w:t>r4:</w:t>
                      </w:r>
                      <w:r>
                        <w:rPr>
                          <w:color w:val="000000"/>
                        </w:rPr>
                        <w:t xml:space="preserve"> with notes from 16 December 2022 meeting.</w:t>
                      </w:r>
                    </w:p>
                    <w:p>
                      <w:pPr>
                        <w:pStyle w:val="Raminnehll"/>
                        <w:spacing w:before="0" w:after="360"/>
                        <w:jc w:val="both"/>
                        <w:rPr>
                          <w:color w:val="000000"/>
                        </w:rPr>
                      </w:pPr>
                      <w:r>
                        <w:rPr>
                          <w:b/>
                          <w:bCs/>
                          <w:color w:val="000000"/>
                        </w:rPr>
                        <w:t>r5:</w:t>
                      </w:r>
                      <w:r>
                        <w:rPr>
                          <w:color w:val="000000"/>
                        </w:rPr>
                        <w:t xml:space="preserve"> with formatted version of new recommendation 2.</w:t>
                      </w:r>
                    </w:p>
                    <w:p>
                      <w:pPr>
                        <w:pStyle w:val="Raminnehll"/>
                        <w:spacing w:before="0" w:after="360"/>
                        <w:rPr>
                          <w:color w:val="000000"/>
                        </w:rPr>
                      </w:pPr>
                      <w:r>
                        <w:rPr>
                          <w:color w:val="000000"/>
                        </w:rPr>
                      </w:r>
                    </w:p>
                    <w:p>
                      <w:pPr>
                        <w:pStyle w:val="Raminnehll"/>
                        <w:jc w:val="both"/>
                        <w:rPr>
                          <w:color w:val="000000"/>
                        </w:rPr>
                      </w:pPr>
                      <w:r>
                        <w:rPr/>
                      </w:r>
                    </w:p>
                  </w:txbxContent>
                </v:textbox>
                <w10:wrap type="none"/>
              </v:rect>
            </w:pict>
          </mc:Fallback>
        </mc:AlternateContent>
      </w:r>
      <w:r>
        <w:br w:type="page"/>
      </w:r>
    </w:p>
    <w:p>
      <w:pPr>
        <w:pStyle w:val="TextBody"/>
        <w:overflowPunct w:val="true"/>
        <w:ind w:left="108" w:hanging="0"/>
        <w:rPr>
          <w:sz w:val="20"/>
        </w:rPr>
      </w:pPr>
      <w:r>
        <w:rPr>
          <w:sz w:val="20"/>
        </w:rPr>
      </w:r>
    </w:p>
    <w:p>
      <w:pPr>
        <w:pStyle w:val="TextBody"/>
        <w:overflowPunct w:val="true"/>
        <w:ind w:left="108" w:hanging="0"/>
        <w:rPr>
          <w:sz w:val="20"/>
        </w:rPr>
      </w:pPr>
      <w:r>
        <w:rPr>
          <w:sz w:val="20"/>
        </w:rPr>
      </w:r>
    </w:p>
    <w:p>
      <w:pPr>
        <w:pStyle w:val="TextBody"/>
        <w:overflowPunct w:val="true"/>
        <w:rPr>
          <w:sz w:val="20"/>
        </w:rPr>
      </w:pPr>
      <w:r>
        <w:rPr>
          <w:sz w:val="20"/>
        </w:rPr>
      </w:r>
    </w:p>
    <w:p>
      <w:pPr>
        <w:pStyle w:val="TextBody"/>
        <w:overflowPunct w:val="true"/>
        <w:spacing w:before="36" w:after="120"/>
        <w:ind w:left="811" w:right="249" w:hanging="0"/>
        <w:jc w:val="center"/>
        <w:rPr>
          <w:spacing w:val="-2"/>
          <w:sz w:val="32"/>
          <w:szCs w:val="32"/>
        </w:rPr>
      </w:pPr>
      <w:r>
        <w:rPr>
          <w:sz w:val="32"/>
          <w:szCs w:val="32"/>
        </w:rPr>
        <w:t>IEEE</w:t>
      </w:r>
      <w:r>
        <w:rPr>
          <w:spacing w:val="-8"/>
          <w:sz w:val="32"/>
          <w:szCs w:val="32"/>
        </w:rPr>
        <w:t xml:space="preserve"> </w:t>
      </w:r>
      <w:r>
        <w:rPr>
          <w:sz w:val="32"/>
          <w:szCs w:val="32"/>
        </w:rPr>
        <w:t>Standards</w:t>
      </w:r>
      <w:r>
        <w:rPr>
          <w:spacing w:val="-8"/>
          <w:sz w:val="32"/>
          <w:szCs w:val="32"/>
        </w:rPr>
        <w:t xml:space="preserve"> </w:t>
      </w:r>
      <w:r>
        <w:rPr>
          <w:sz w:val="32"/>
          <w:szCs w:val="32"/>
        </w:rPr>
        <w:t>Association</w:t>
      </w:r>
      <w:r>
        <w:rPr>
          <w:spacing w:val="-5"/>
          <w:sz w:val="32"/>
          <w:szCs w:val="32"/>
        </w:rPr>
        <w:t xml:space="preserve"> </w:t>
      </w:r>
      <w:r>
        <w:rPr>
          <w:sz w:val="32"/>
          <w:szCs w:val="32"/>
        </w:rPr>
        <w:t>Position</w:t>
      </w:r>
      <w:r>
        <w:rPr>
          <w:spacing w:val="-5"/>
          <w:sz w:val="32"/>
          <w:szCs w:val="32"/>
        </w:rPr>
        <w:t xml:space="preserve"> </w:t>
      </w:r>
      <w:r>
        <w:rPr>
          <w:spacing w:val="-2"/>
          <w:sz w:val="32"/>
          <w:szCs w:val="32"/>
        </w:rPr>
        <w:t>Statement</w:t>
      </w:r>
    </w:p>
    <w:p>
      <w:pPr>
        <w:pStyle w:val="Title"/>
        <w:overflowPunct w:val="true"/>
        <w:rPr>
          <w:spacing w:val="-2"/>
        </w:rPr>
      </w:pPr>
      <w:r>
        <w:rPr>
          <w:strike/>
          <w:rPrChange w:id="0" w:author="Amelia Andersdotter" w:date="2022-12-14T17:31:00Z"/>
        </w:rPr>
        <w:t>Intelligent</w:t>
      </w:r>
      <w:r>
        <w:rPr>
          <w:strike/>
          <w:spacing w:val="-5"/>
          <w:rPrChange w:id="0" w:author="Amelia Andersdotter" w:date="2022-12-14T17:31:00Z">
            <w:rPr>
              <w:spacing w:val="-5"/>
            </w:rPr>
          </w:rPrChange>
        </w:rPr>
        <w:t xml:space="preserve"> </w:t>
      </w:r>
      <w:r>
        <w:rPr/>
        <w:t>Spectrum</w:t>
      </w:r>
      <w:r>
        <w:rPr>
          <w:spacing w:val="-4"/>
        </w:rPr>
        <w:t xml:space="preserve"> </w:t>
      </w:r>
      <w:r>
        <w:rPr/>
        <w:t>Allocation</w:t>
      </w:r>
      <w:r>
        <w:rPr>
          <w:spacing w:val="-7"/>
        </w:rPr>
        <w:t xml:space="preserve"> </w:t>
      </w:r>
      <w:r>
        <w:rPr/>
        <w:t>and</w:t>
      </w:r>
      <w:r>
        <w:rPr>
          <w:spacing w:val="-5"/>
        </w:rPr>
        <w:t xml:space="preserve"> </w:t>
      </w:r>
      <w:r>
        <w:rPr>
          <w:spacing w:val="-2"/>
        </w:rPr>
        <w:t>Management</w:t>
      </w:r>
    </w:p>
    <w:p>
      <w:pPr>
        <w:pStyle w:val="TextBody"/>
        <w:overflowPunct w:val="true"/>
        <w:spacing w:before="283" w:after="120"/>
        <w:ind w:left="810" w:right="251" w:hanging="0"/>
        <w:jc w:val="center"/>
        <w:rPr>
          <w:i/>
          <w:i/>
          <w:iCs/>
          <w:spacing w:val="-5"/>
          <w:sz w:val="28"/>
          <w:szCs w:val="28"/>
        </w:rPr>
      </w:pPr>
      <w:r>
        <w:rPr>
          <w:i/>
          <w:iCs/>
          <w:spacing w:val="-5"/>
          <w:sz w:val="28"/>
          <w:szCs w:val="28"/>
        </w:rPr>
      </w:r>
    </w:p>
    <w:p>
      <w:pPr>
        <w:pStyle w:val="TextBody"/>
        <w:overflowPunct w:val="true"/>
        <w:spacing w:lineRule="auto" w:line="276"/>
        <w:ind w:left="640" w:right="106" w:hanging="0"/>
        <w:rPr>
          <w:b/>
          <w:b/>
          <w:bCs/>
        </w:rPr>
      </w:pPr>
      <w:r>
        <w:rPr>
          <w:b/>
          <w:bCs/>
        </w:rPr>
        <w:t>&lt;Introductory paragraph&gt;</w:t>
      </w:r>
    </w:p>
    <w:p>
      <w:pPr>
        <w:pStyle w:val="TextBody"/>
        <w:overflowPunct w:val="true"/>
        <w:spacing w:lineRule="auto" w:line="276"/>
        <w:ind w:left="640" w:right="106" w:hanging="0"/>
        <w:rPr/>
      </w:pPr>
      <w:r>
        <w:rPr/>
        <w:t xml:space="preserve">The IEEE Standards Association (IEEE-SA) is home to several of the key global technologies using </w:t>
      </w:r>
      <w:ins w:id="2" w:author="Amelia Andersdotter" w:date="2022-12-16T10:53:00Z">
        <w:r>
          <w:rPr/>
          <w:t>license-exempt</w:t>
        </w:r>
      </w:ins>
      <w:r>
        <w:rPr/>
        <w:t xml:space="preserve"> spectrum globally. The</w:t>
      </w:r>
      <w:r>
        <w:rPr>
          <w:spacing w:val="-4"/>
        </w:rPr>
        <w:t xml:space="preserve"> </w:t>
      </w:r>
      <w:r>
        <w:rPr/>
        <w:t>IEEE-SA,</w:t>
      </w:r>
      <w:r>
        <w:rPr>
          <w:spacing w:val="-2"/>
        </w:rPr>
        <w:t xml:space="preserve"> </w:t>
      </w:r>
      <w:r>
        <w:rPr/>
        <w:t>through</w:t>
      </w:r>
      <w:r>
        <w:rPr>
          <w:spacing w:val="-3"/>
        </w:rPr>
        <w:t xml:space="preserve"> </w:t>
      </w:r>
      <w:r>
        <w:rPr/>
        <w:t>its</w:t>
      </w:r>
      <w:r>
        <w:rPr>
          <w:spacing w:val="-3"/>
        </w:rPr>
        <w:t xml:space="preserve"> </w:t>
      </w:r>
      <w:r>
        <w:rPr/>
        <w:t>participants,</w:t>
      </w:r>
      <w:r>
        <w:rPr>
          <w:spacing w:val="-4"/>
        </w:rPr>
        <w:t xml:space="preserve"> </w:t>
      </w:r>
      <w:r>
        <w:rPr/>
        <w:t>is</w:t>
      </w:r>
      <w:r>
        <w:rPr>
          <w:spacing w:val="-3"/>
        </w:rPr>
        <w:t xml:space="preserve"> </w:t>
      </w:r>
      <w:r>
        <w:rPr/>
        <w:t>a</w:t>
      </w:r>
      <w:r>
        <w:rPr>
          <w:spacing w:val="-4"/>
        </w:rPr>
        <w:t xml:space="preserve"> </w:t>
      </w:r>
      <w:r>
        <w:rPr/>
        <w:t>major</w:t>
      </w:r>
      <w:r>
        <w:rPr>
          <w:spacing w:val="-3"/>
        </w:rPr>
        <w:t xml:space="preserve"> </w:t>
      </w:r>
      <w:r>
        <w:rPr/>
        <w:t>contributor</w:t>
      </w:r>
      <w:r>
        <w:rPr>
          <w:spacing w:val="-3"/>
        </w:rPr>
        <w:t xml:space="preserve"> </w:t>
      </w:r>
      <w:r>
        <w:rPr/>
        <w:t>to</w:t>
      </w:r>
      <w:r>
        <w:rPr>
          <w:spacing w:val="-2"/>
        </w:rPr>
        <w:t xml:space="preserve"> </w:t>
      </w:r>
      <w:r>
        <w:rPr/>
        <w:t>the</w:t>
      </w:r>
      <w:r>
        <w:rPr>
          <w:spacing w:val="-3"/>
        </w:rPr>
        <w:t xml:space="preserve"> </w:t>
      </w:r>
      <w:r>
        <w:rPr/>
        <w:t>standardization</w:t>
      </w:r>
      <w:r>
        <w:rPr>
          <w:spacing w:val="-4"/>
        </w:rPr>
        <w:t xml:space="preserve"> </w:t>
      </w:r>
      <w:r>
        <w:rPr/>
        <w:t>of</w:t>
      </w:r>
      <w:r>
        <w:rPr>
          <w:spacing w:val="-4"/>
        </w:rPr>
        <w:t xml:space="preserve"> </w:t>
      </w:r>
      <w:r>
        <w:rPr/>
        <w:t>leading</w:t>
      </w:r>
      <w:r>
        <w:rPr>
          <w:spacing w:val="-3"/>
        </w:rPr>
        <w:t xml:space="preserve"> </w:t>
      </w:r>
      <w:r>
        <w:rPr/>
        <w:t>wireless technologies. It supports position that spectrum allocation and management</w:t>
      </w:r>
      <w:r>
        <w:rPr>
          <w:spacing w:val="-3"/>
        </w:rPr>
        <w:t xml:space="preserve"> </w:t>
      </w:r>
      <w:r>
        <w:rPr/>
        <w:t>is</w:t>
      </w:r>
      <w:r>
        <w:rPr>
          <w:spacing w:val="-3"/>
        </w:rPr>
        <w:t xml:space="preserve"> </w:t>
      </w:r>
      <w:r>
        <w:rPr/>
        <w:t>needed</w:t>
      </w:r>
      <w:r>
        <w:rPr>
          <w:spacing w:val="-3"/>
        </w:rPr>
        <w:t xml:space="preserve"> </w:t>
      </w:r>
      <w:r>
        <w:rPr/>
        <w:t>for</w:t>
      </w:r>
      <w:r>
        <w:rPr>
          <w:spacing w:val="-4"/>
        </w:rPr>
        <w:t xml:space="preserve"> </w:t>
      </w:r>
      <w:r>
        <w:rPr/>
        <w:t>both</w:t>
      </w:r>
      <w:r>
        <w:rPr>
          <w:spacing w:val="-3"/>
        </w:rPr>
        <w:t xml:space="preserve"> </w:t>
      </w:r>
      <w:r>
        <w:rPr/>
        <w:t>licensed</w:t>
      </w:r>
      <w:r>
        <w:rPr>
          <w:spacing w:val="-4"/>
        </w:rPr>
        <w:t xml:space="preserve"> </w:t>
      </w:r>
      <w:r>
        <w:rPr/>
        <w:t>and</w:t>
      </w:r>
      <w:r>
        <w:rPr>
          <w:spacing w:val="-3"/>
        </w:rPr>
        <w:t xml:space="preserve"> </w:t>
      </w:r>
      <w:r>
        <w:rPr/>
        <w:t>license-exempt</w:t>
      </w:r>
      <w:r>
        <w:rPr>
          <w:spacing w:val="-3"/>
        </w:rPr>
        <w:t xml:space="preserve"> </w:t>
      </w:r>
      <w:r>
        <w:rPr/>
        <w:t>technologies</w:t>
      </w:r>
      <w:r>
        <w:rPr>
          <w:spacing w:val="-3"/>
        </w:rPr>
        <w:t xml:space="preserve"> </w:t>
      </w:r>
      <w:r>
        <w:rPr/>
        <w:t>to</w:t>
      </w:r>
      <w:r>
        <w:rPr>
          <w:spacing w:val="-4"/>
        </w:rPr>
        <w:t xml:space="preserve"> </w:t>
      </w:r>
      <w:r>
        <w:rPr/>
        <w:t>meet</w:t>
      </w:r>
      <w:r>
        <w:rPr>
          <w:spacing w:val="-3"/>
        </w:rPr>
        <w:t xml:space="preserve"> </w:t>
      </w:r>
      <w:r>
        <w:rPr/>
        <w:t>the</w:t>
      </w:r>
      <w:r>
        <w:rPr>
          <w:spacing w:val="-4"/>
        </w:rPr>
        <w:t xml:space="preserve"> </w:t>
      </w:r>
      <w:r>
        <w:rPr/>
        <w:t>explosive</w:t>
      </w:r>
      <w:r>
        <w:rPr>
          <w:spacing w:val="-3"/>
        </w:rPr>
        <w:t xml:space="preserve"> </w:t>
      </w:r>
      <w:r>
        <w:rPr/>
        <w:t>growth in wireless data demand.</w:t>
      </w:r>
    </w:p>
    <w:p>
      <w:pPr>
        <w:pStyle w:val="TextBody"/>
        <w:overflowPunct w:val="true"/>
        <w:spacing w:lineRule="auto" w:line="276"/>
        <w:ind w:left="640" w:right="106" w:hanging="0"/>
        <w:rPr>
          <w:b/>
          <w:b/>
          <w:bCs/>
        </w:rPr>
      </w:pPr>
      <w:r>
        <w:rPr>
          <w:b/>
          <w:bCs/>
        </w:rPr>
        <w:t xml:space="preserve">&lt;The IEEE 802 family of technologies for </w:t>
      </w:r>
      <w:del w:id="3" w:author="Amelia Andersdotter" w:date="2022-12-16T10:53:00Z">
        <w:r>
          <w:rPr>
            <w:b/>
            <w:bCs/>
          </w:rPr>
          <w:delText>unlicensed</w:delText>
        </w:r>
      </w:del>
      <w:ins w:id="4" w:author="Amelia Andersdotter" w:date="2022-12-16T10:53:00Z">
        <w:r>
          <w:rPr>
            <w:b/>
            <w:bCs/>
          </w:rPr>
          <w:t>license-exempt</w:t>
        </w:r>
      </w:ins>
      <w:r>
        <w:rPr>
          <w:b/>
          <w:bCs/>
        </w:rPr>
        <w:t xml:space="preserve"> spectrum&gt;</w:t>
      </w:r>
    </w:p>
    <w:p>
      <w:pPr>
        <w:pStyle w:val="TextBody"/>
        <w:overflowPunct w:val="true"/>
        <w:spacing w:lineRule="auto" w:line="276"/>
        <w:ind w:left="640" w:right="106" w:hanging="0"/>
        <w:rPr/>
      </w:pPr>
      <w:r>
        <w:rPr/>
        <w:t xml:space="preserve">IEEE-SA participants develop wireless standards for </w:t>
      </w:r>
      <w:del w:id="5" w:author="Amelia Andersdotter" w:date="2022-12-16T10:53:00Z">
        <w:r>
          <w:rPr/>
          <w:delText>unlicensed</w:delText>
        </w:r>
      </w:del>
      <w:ins w:id="6" w:author="Amelia Andersdotter" w:date="2022-12-16T10:53:00Z">
        <w:r>
          <w:rPr/>
          <w:t>license-exempt</w:t>
        </w:r>
      </w:ins>
      <w:r>
        <w:rPr/>
        <w:t xml:space="preserve"> spectrum such as the IEEE 802.11</w:t>
      </w:r>
      <w:r>
        <w:rPr>
          <w:vertAlign w:val="superscript"/>
        </w:rPr>
        <w:t xml:space="preserve"> </w:t>
      </w:r>
      <w:r>
        <w:rPr/>
        <w:t>Wireless LAN (WLAN)</w:t>
      </w:r>
      <w:r>
        <w:rPr>
          <w:spacing w:val="-4"/>
        </w:rPr>
        <w:t xml:space="preserve"> </w:t>
      </w:r>
      <w:r>
        <w:rPr/>
        <w:t>and</w:t>
      </w:r>
      <w:r>
        <w:rPr>
          <w:spacing w:val="-1"/>
        </w:rPr>
        <w:t xml:space="preserve"> </w:t>
      </w:r>
      <w:r>
        <w:rPr/>
        <w:t>IEEE</w:t>
      </w:r>
      <w:r>
        <w:rPr>
          <w:spacing w:val="-4"/>
        </w:rPr>
        <w:t xml:space="preserve"> </w:t>
      </w:r>
      <w:r>
        <w:rPr/>
        <w:t>Standard 802.15</w:t>
      </w:r>
      <w:r>
        <w:rPr>
          <w:position w:val="8"/>
          <w:sz w:val="14"/>
          <w:szCs w:val="14"/>
        </w:rPr>
        <w:t xml:space="preserve"> </w:t>
      </w:r>
      <w:r>
        <w:rPr/>
        <w:t xml:space="preserve">Wireless Speciality Networks (WSN), including Ultra-Wide Band (UWB). While the former has reached wide fame under the brand-name Wi-Fi, </w:t>
      </w:r>
      <w:commentRangeStart w:id="0"/>
      <w:r>
        <w:rPr/>
        <w:t>the latter is used by numerous consortiums supporting applications ranging from sensing, to agriculture, to car keys.</w:t>
      </w:r>
      <w:commentRangeEnd w:id="0"/>
      <w:r>
        <w:commentReference w:id="0"/>
      </w:r>
      <w:r>
        <w:rPr/>
      </w:r>
    </w:p>
    <w:p>
      <w:pPr>
        <w:pStyle w:val="TextBody"/>
        <w:overflowPunct w:val="true"/>
        <w:spacing w:lineRule="auto" w:line="276"/>
        <w:ind w:left="640" w:right="106" w:hanging="0"/>
        <w:rPr>
          <w:b/>
          <w:b/>
          <w:bCs/>
        </w:rPr>
      </w:pPr>
      <w:r>
        <w:rPr>
          <w:b/>
          <w:bCs/>
        </w:rPr>
        <w:t>&lt;Recommendations&gt;</w:t>
      </w:r>
    </w:p>
    <w:p>
      <w:pPr>
        <w:pStyle w:val="TextBody"/>
        <w:overflowPunct w:val="true"/>
        <w:spacing w:lineRule="auto" w:line="276"/>
        <w:ind w:left="640" w:right="106" w:hanging="0"/>
        <w:rPr>
          <w:b/>
          <w:b/>
          <w:bCs/>
        </w:rPr>
      </w:pPr>
      <w:commentRangeStart w:id="1"/>
      <w:r>
        <w:rPr>
          <w:b/>
          <w:bCs/>
        </w:rPr>
        <w:tab/>
      </w:r>
      <w:r>
        <w:rPr/>
        <w:t>1. Spectrum management, at both local, regional and global levels, should permit a multiplicity of uses and users, in so far as possible. Allocation and management strategies should be oriented towards shared spectrum, where many users are encouraged to co-exist and provide socially and economically beneficial services to communities.</w:t>
      </w:r>
    </w:p>
    <w:p>
      <w:pPr>
        <w:pStyle w:val="TextBody"/>
        <w:overflowPunct w:val="true"/>
        <w:spacing w:lineRule="auto" w:line="276"/>
        <w:ind w:left="640" w:right="106" w:hanging="0"/>
        <w:rPr>
          <w:b/>
          <w:b/>
          <w:bCs/>
          <w:ins w:id="8" w:author="Amelia Andersdotter" w:date="2023-01-09T10:40:00Z"/>
        </w:rPr>
      </w:pPr>
      <w:r>
        <w:rPr/>
        <w:t xml:space="preserve"> </w:t>
      </w:r>
      <w:r>
        <w:rPr/>
        <w:t xml:space="preserve">2. </w:t>
      </w:r>
      <w:del w:id="7" w:author="Amelia Andersdotter" w:date="2023-01-09T10:40:00Z">
        <w:r>
          <w:rPr/>
          <w:delText>License-exempt spectrum technologies are already an important part of both industrial and citizen-oriented networking ecosystems world-wide today. To further social and economic benefits already being realized through license-exempt spectrum technologies, more spectrum resources should be considered for allocation to this end.</w:delText>
        </w:r>
      </w:del>
    </w:p>
    <w:p>
      <w:pPr>
        <w:pStyle w:val="TextBody"/>
        <w:spacing w:lineRule="auto" w:line="276"/>
        <w:ind w:left="640" w:right="106" w:hanging="0"/>
        <w:rPr/>
      </w:pPr>
      <w:ins w:id="9" w:author="Amelia Andersdotter" w:date="2023-01-09T10:40:00Z">
        <w:r>
          <w:rPr/>
          <w:t xml:space="preserve"> </w:t>
        </w:r>
      </w:ins>
      <w:ins w:id="10" w:author="Amelia Andersdotter" w:date="2023-01-09T10:40:00Z">
        <w:r>
          <w:rPr/>
          <w:t xml:space="preserve">2. In license-exempt allocations, there are three main ways currently used to ensure optimal efficiency and competition between technologies. </w:t>
        </w:r>
      </w:ins>
    </w:p>
    <w:p>
      <w:pPr>
        <w:pStyle w:val="TextBody"/>
        <w:spacing w:lineRule="auto" w:line="276"/>
        <w:ind w:left="640" w:right="106" w:hanging="0"/>
        <w:rPr/>
      </w:pPr>
      <w:ins w:id="12" w:author="Amelia Andersdotter" w:date="2023-01-09T10:40:00Z">
        <w:r>
          <w:rPr/>
          <w:tab/>
          <w:tab/>
          <w:t xml:space="preserve">2.1 Firstly, the spectrum </w:t>
        </w:r>
      </w:ins>
      <w:ins w:id="13" w:author="Amelia Andersdotter" w:date="2023-01-09T10:40:00Z">
        <w:r>
          <w:rPr>
            <w:shd w:fill="FFFF00" w:val="clear"/>
          </w:rPr>
          <w:t>may be</w:t>
        </w:r>
      </w:ins>
      <w:ins w:id="14" w:author="Amelia Andersdotter" w:date="2023-01-09T10:40:00Z">
        <w:r>
          <w:rPr/>
          <w:t xml:space="preserve"> shared with an incumbent user and regulatory requirements are designed in a way to protect the incumbent services from harmful interference. This is already building a foundation for efficient spectrum utilization as this do not require re-farming of the spectrum and migration of incumbent services to other bands as spectrum is already scares. </w:t>
        </w:r>
      </w:ins>
    </w:p>
    <w:p>
      <w:pPr>
        <w:pStyle w:val="TextBody"/>
        <w:spacing w:lineRule="auto" w:line="276"/>
        <w:ind w:left="640" w:right="106" w:hanging="0"/>
        <w:rPr/>
      </w:pPr>
      <w:ins w:id="16" w:author="Amelia Andersdotter" w:date="2023-01-09T10:40:00Z">
        <w:r>
          <w:rPr/>
          <w:tab/>
          <w:tab/>
          <w:t xml:space="preserve">2.2 As the next level of sharing, the license-exempt spectrum </w:t>
        </w:r>
      </w:ins>
      <w:ins w:id="17" w:author="Amelia Andersdotter" w:date="2023-01-09T10:40:00Z">
        <w:r>
          <w:rPr>
            <w:shd w:fill="FFFF00" w:val="clear"/>
          </w:rPr>
          <w:t>may be</w:t>
        </w:r>
      </w:ins>
      <w:ins w:id="18" w:author="Amelia Andersdotter" w:date="2023-01-09T10:40:00Z">
        <w:r>
          <w:rPr/>
          <w:t xml:space="preserve"> shared by different license-exempt technologies such as those based on IEEE 802.11 and 802.15 and technologies based on 3GPP. </w:t>
        </w:r>
      </w:ins>
    </w:p>
    <w:p>
      <w:pPr>
        <w:pStyle w:val="TextBody"/>
        <w:overflowPunct w:val="true"/>
        <w:spacing w:lineRule="auto" w:line="276"/>
        <w:ind w:left="640" w:right="106" w:hanging="0"/>
        <w:rPr>
          <w:b/>
          <w:b/>
          <w:bCs/>
        </w:rPr>
      </w:pPr>
      <w:ins w:id="20" w:author="Amelia Andersdotter" w:date="2023-01-09T10:40:00Z">
        <w:r>
          <w:rPr/>
          <w:tab/>
          <w:tab/>
          <w:t xml:space="preserve">2.3 Last, resource units using license-exempt allocation are shared by same technology or even cross technology user devices in a fair fashion enabled by channel access mechanisms such as </w:t>
        </w:r>
      </w:ins>
      <w:ins w:id="21" w:author="Amelia Andersdotter" w:date="2023-01-09T10:40:00Z">
        <w:r>
          <w:rPr>
            <w:shd w:fill="FFFF00" w:val="clear"/>
          </w:rPr>
          <w:t>contention-based protocols</w:t>
        </w:r>
      </w:ins>
      <w:ins w:id="22" w:author="Amelia Andersdotter" w:date="2023-01-09T10:40:00Z">
        <w:r>
          <w:rPr/>
          <w:t xml:space="preserve">. Overall, this hierarchy of spectrum sharing makes the license-exempt allocations very efficient in spectrum utilization and method of choice as a flexible enabler of innovative technologies, applications and use-cases. </w:t>
        </w:r>
      </w:ins>
      <w:commentRangeEnd w:id="1"/>
      <w:r>
        <w:commentReference w:id="1"/>
      </w:r>
      <w:r>
        <w:rPr/>
      </w:r>
    </w:p>
    <w:p>
      <w:pPr>
        <w:pStyle w:val="TextBody"/>
        <w:overflowPunct w:val="true"/>
        <w:spacing w:lineRule="auto" w:line="276"/>
        <w:ind w:left="640" w:right="106" w:hanging="0"/>
        <w:rPr>
          <w:b/>
          <w:b/>
          <w:bCs/>
        </w:rPr>
      </w:pPr>
      <w:r>
        <w:rPr/>
        <w:t xml:space="preserve"> </w:t>
      </w:r>
      <w:r>
        <w:rPr/>
        <w:t>3.  In terms of global spectrum management, we want to specifically highlight that a</w:t>
      </w:r>
      <w:r>
        <w:rPr>
          <w:rFonts w:ascii="serif" w:hAnsi="serif"/>
          <w:spacing w:val="-2"/>
          <w:sz w:val="20"/>
        </w:rPr>
        <w:t xml:space="preserve">vailability of the full 6 GHz band (i.e., 5925-7125 MHz) for </w:t>
      </w:r>
      <w:del w:id="23" w:author="Amelia Andersdotter" w:date="2022-12-16T10:53:00Z">
        <w:r>
          <w:rPr>
            <w:rFonts w:ascii="serif" w:hAnsi="serif"/>
            <w:spacing w:val="-2"/>
            <w:sz w:val="20"/>
          </w:rPr>
          <w:delText>unlicensed</w:delText>
        </w:r>
      </w:del>
      <w:ins w:id="24" w:author="Amelia Andersdotter" w:date="2022-12-16T10:53:00Z">
        <w:r>
          <w:rPr>
            <w:rFonts w:ascii="serif" w:hAnsi="serif"/>
            <w:spacing w:val="-2"/>
            <w:sz w:val="20"/>
          </w:rPr>
          <w:t>license-exempt</w:t>
        </w:r>
      </w:ins>
      <w:r>
        <w:rPr>
          <w:rFonts w:ascii="serif" w:hAnsi="serif"/>
          <w:spacing w:val="-2"/>
          <w:sz w:val="20"/>
        </w:rPr>
        <w:t xml:space="preserve"> use enables deployment of new applications and services in the coming years, further increasing the societal benefits. </w:t>
      </w:r>
    </w:p>
    <w:p>
      <w:pPr>
        <w:pStyle w:val="TextBody"/>
        <w:overflowPunct w:val="true"/>
        <w:spacing w:lineRule="auto" w:line="276"/>
        <w:ind w:left="640" w:right="106" w:hanging="0"/>
        <w:rPr>
          <w:b/>
          <w:b/>
          <w:bCs/>
        </w:rPr>
      </w:pPr>
      <w:commentRangeStart w:id="2"/>
      <w:r>
        <w:rPr>
          <w:rFonts w:ascii="serif" w:hAnsi="serif"/>
          <w:spacing w:val="-2"/>
          <w:sz w:val="20"/>
        </w:rPr>
        <w:t xml:space="preserve"> </w:t>
      </w:r>
      <w:r>
        <w:rPr>
          <w:rFonts w:ascii="serif" w:hAnsi="serif"/>
          <w:spacing w:val="-2"/>
          <w:sz w:val="20"/>
        </w:rPr>
        <w:t>4. We also wish to highlight the changing conditions in the sub-1GHz bands. As previous incumbents in these bands are developing ever more effective ways of utilizing pre-existing allocations, license-exempt operation in these bands will enable a dynamic space for social and economic utility.</w:t>
      </w:r>
      <w:commentRangeEnd w:id="2"/>
      <w:r>
        <w:commentReference w:id="2"/>
      </w:r>
      <w:r>
        <w:rPr>
          <w:rFonts w:ascii="serif" w:hAnsi="serif"/>
          <w:spacing w:val="-2"/>
          <w:sz w:val="20"/>
        </w:rPr>
      </w:r>
    </w:p>
    <w:p>
      <w:pPr>
        <w:pStyle w:val="TextBody"/>
        <w:overflowPunct w:val="true"/>
        <w:spacing w:lineRule="auto" w:line="276"/>
        <w:ind w:left="640" w:right="106" w:hanging="0"/>
        <w:rPr>
          <w:b/>
          <w:b/>
          <w:bCs/>
        </w:rPr>
      </w:pPr>
      <w:r>
        <w:rPr>
          <w:b/>
          <w:bCs/>
        </w:rPr>
      </w:r>
    </w:p>
    <w:p>
      <w:pPr>
        <w:pStyle w:val="TextBody"/>
        <w:overflowPunct w:val="true"/>
        <w:spacing w:lineRule="auto" w:line="276"/>
        <w:ind w:left="640" w:right="106" w:hanging="0"/>
        <w:rPr>
          <w:b/>
          <w:b/>
          <w:bCs/>
        </w:rPr>
      </w:pPr>
      <w:r>
        <w:rPr>
          <w:b/>
          <w:bCs/>
        </w:rPr>
        <w:t>&lt;History&gt;</w:t>
      </w:r>
    </w:p>
    <w:p>
      <w:pPr>
        <w:pStyle w:val="TextBody"/>
        <w:overflowPunct w:val="true"/>
        <w:spacing w:lineRule="auto" w:line="276" w:before="1" w:after="120"/>
        <w:ind w:left="640" w:right="116" w:hanging="0"/>
        <w:rPr>
          <w:shd w:fill="FFFF00" w:val="clear"/>
        </w:rPr>
      </w:pPr>
      <w:r>
        <w:rPr>
          <w:shd w:fill="FFFF00" w:val="clear"/>
        </w:rPr>
        <w:t>add more stuff? delete above?</w:t>
      </w:r>
    </w:p>
    <w:p>
      <w:pPr>
        <w:pStyle w:val="TextBody"/>
        <w:overflowPunct w:val="true"/>
        <w:spacing w:lineRule="auto" w:line="276" w:before="1" w:after="120"/>
        <w:ind w:left="640" w:right="116" w:hanging="0"/>
        <w:rPr>
          <w:b/>
          <w:b/>
          <w:bCs/>
        </w:rPr>
      </w:pPr>
      <w:r>
        <w:rPr>
          <w:b/>
          <w:bCs/>
        </w:rPr>
        <w:t>&lt;Current applications, increasing future applications&gt;</w:t>
      </w:r>
    </w:p>
    <w:p>
      <w:pPr>
        <w:pStyle w:val="TextBody"/>
        <w:overflowPunct w:val="true"/>
        <w:spacing w:lineRule="auto" w:line="276" w:before="1" w:after="120"/>
        <w:ind w:left="640" w:right="116" w:hanging="0"/>
        <w:rPr>
          <w:spacing w:val="-2"/>
          <w:sz w:val="20"/>
        </w:rPr>
      </w:pPr>
      <w:r>
        <w:rPr>
          <w:rFonts w:ascii="serif" w:hAnsi="serif"/>
          <w:spacing w:val="-2"/>
          <w:sz w:val="20"/>
        </w:rPr>
        <w:t>Significant economic value is provided by IEEE 802 based systems today. Wi-Fi, based on the IEEE 802.11 standard, has an estimated 18 billion devices deployed world-wide, with 4,4 billion device shipments annually</w:t>
      </w:r>
      <w:r>
        <w:rPr>
          <w:rStyle w:val="FootnoteAnchor"/>
          <w:rFonts w:ascii="serif" w:hAnsi="serif"/>
          <w:spacing w:val="-2"/>
          <w:sz w:val="20"/>
        </w:rPr>
        <w:footnoteReference w:id="2"/>
      </w:r>
      <w:r>
        <w:rPr>
          <w:rFonts w:ascii="serif" w:hAnsi="serif"/>
          <w:spacing w:val="-2"/>
          <w:sz w:val="20"/>
        </w:rPr>
        <w:t>. The increasing use of IEEE 802.15 devices in the smartphone and consumer automotive spaces, puts forecasts at more than 1 billion UWB-enabled devices will be shipped annually worldwide by 2025</w:t>
      </w:r>
      <w:r>
        <w:rPr>
          <w:rStyle w:val="FootnoteAnchor"/>
          <w:rFonts w:ascii="serif" w:hAnsi="serif"/>
          <w:spacing w:val="-2"/>
          <w:sz w:val="20"/>
        </w:rPr>
        <w:footnoteReference w:id="3"/>
      </w:r>
      <w:r>
        <w:rPr>
          <w:rFonts w:ascii="serif" w:hAnsi="serif"/>
          <w:spacing w:val="-2"/>
          <w:sz w:val="20"/>
        </w:rPr>
        <w:t>. IEEE 802 technologies are found around the world, benefiting billions of people every day.</w:t>
        <w:br/>
        <w:br/>
        <w:t xml:space="preserve">Wi-Fi networks are part of the essential human connectivity: it enables sharing of video, pictures or text messages with family and loved ones, and it enables communication inside enterprises and governments. Technologies developed under the auspices of IEEE SA's standardization activities also enable connectivity in underserved communities by efficiently using spectrum made available through advancements in other technology fields, such as digital television. </w:t>
        <w:br/>
        <w:br/>
        <w:t>Ultra-wide band (UWB) technologies and IoT sensor networks are embedded in an increasing number of devices, from cars, to industrial equipment to body implants, all improving humanity's capacity to deal with challenges ranging from manufacturing and safety to human health. These technologies all use license-exempt spectrum to co-exist not just within our own ecosystem but also pre-existing spectrum users.</w:t>
      </w:r>
    </w:p>
    <w:p>
      <w:pPr>
        <w:pStyle w:val="TextBody"/>
        <w:overflowPunct w:val="true"/>
        <w:spacing w:lineRule="auto" w:line="276" w:before="1" w:after="120"/>
        <w:ind w:left="640" w:right="116" w:hanging="0"/>
        <w:rPr>
          <w:spacing w:val="-2"/>
          <w:sz w:val="20"/>
        </w:rPr>
      </w:pPr>
      <w:r>
        <w:rPr/>
        <w:t>The</w:t>
      </w:r>
      <w:r>
        <w:rPr>
          <w:spacing w:val="-4"/>
        </w:rPr>
        <w:t xml:space="preserve"> </w:t>
      </w:r>
      <w:r>
        <w:rPr/>
        <w:t>IEEE SA,</w:t>
      </w:r>
      <w:r>
        <w:rPr>
          <w:spacing w:val="-2"/>
        </w:rPr>
        <w:t xml:space="preserve"> </w:t>
      </w:r>
      <w:r>
        <w:rPr/>
        <w:t>given</w:t>
      </w:r>
      <w:r>
        <w:rPr>
          <w:spacing w:val="-4"/>
        </w:rPr>
        <w:t xml:space="preserve"> </w:t>
      </w:r>
      <w:r>
        <w:rPr/>
        <w:t>its</w:t>
      </w:r>
      <w:r>
        <w:rPr>
          <w:spacing w:val="-4"/>
        </w:rPr>
        <w:t xml:space="preserve"> </w:t>
      </w:r>
      <w:r>
        <w:rPr/>
        <w:t>history</w:t>
      </w:r>
      <w:r>
        <w:rPr>
          <w:spacing w:val="-3"/>
        </w:rPr>
        <w:t xml:space="preserve"> </w:t>
      </w:r>
      <w:r>
        <w:rPr/>
        <w:t>of</w:t>
      </w:r>
      <w:r>
        <w:rPr>
          <w:spacing w:val="-3"/>
        </w:rPr>
        <w:t xml:space="preserve"> </w:t>
      </w:r>
      <w:r>
        <w:rPr/>
        <w:t xml:space="preserve">being a neutral and collaborative standards development organization, has long facilitated the development spectrum sharing technologies that are standardized across industry. </w:t>
      </w:r>
      <w:r>
        <w:rPr>
          <w:spacing w:val="-2"/>
          <w:sz w:val="20"/>
        </w:rPr>
        <w:br/>
        <w:br/>
        <w:t>Since 2021, t</w:t>
      </w:r>
      <w:r>
        <w:rPr>
          <w:rFonts w:ascii="serif" w:hAnsi="serif"/>
          <w:spacing w:val="-2"/>
          <w:sz w:val="20"/>
        </w:rPr>
        <w:t>he IEEE Std 802.11ax-2021</w:t>
      </w:r>
      <w:r>
        <w:rPr>
          <w:rStyle w:val="FootnoteAnchor"/>
          <w:rFonts w:ascii="serif" w:hAnsi="serif"/>
          <w:spacing w:val="-2"/>
          <w:sz w:val="20"/>
        </w:rPr>
        <w:footnoteReference w:id="4"/>
      </w:r>
      <w:r>
        <w:rPr>
          <w:rFonts w:ascii="serif" w:hAnsi="serif"/>
          <w:spacing w:val="-2"/>
          <w:sz w:val="20"/>
        </w:rPr>
        <w:t xml:space="preserve"> standard supports operation in the 6425-7025 MHz and 7025-7125 MHz bands, and products based on this standard are seeing significant adoption where regulat</w:t>
      </w:r>
      <w:del w:id="25" w:author="Amelia Andersdotter" w:date="2022-12-16T11:13:00Z">
        <w:r>
          <w:rPr>
            <w:rFonts w:ascii="serif" w:hAnsi="serif"/>
            <w:spacing w:val="-2"/>
            <w:sz w:val="20"/>
          </w:rPr>
          <w:delText>ory rules</w:delText>
        </w:r>
      </w:del>
      <w:ins w:id="26" w:author="Amelia Andersdotter" w:date="2022-12-16T11:13:00Z">
        <w:r>
          <w:rPr>
            <w:rFonts w:ascii="serif" w:hAnsi="serif"/>
            <w:spacing w:val="-2"/>
            <w:sz w:val="20"/>
          </w:rPr>
          <w:t>ions</w:t>
        </w:r>
      </w:ins>
      <w:r>
        <w:rPr>
          <w:rFonts w:ascii="serif" w:hAnsi="serif"/>
          <w:spacing w:val="-2"/>
          <w:sz w:val="20"/>
        </w:rPr>
        <w:t xml:space="preserve"> permit deployment. A new generation of IEEE 802.11 technologies, currently under development in the IEEE P802.11be amendment, will continue to enhance and improve spectrum co-existence capacities. Prior research from the ECC</w:t>
      </w:r>
      <w:r>
        <w:rPr>
          <w:rStyle w:val="FootnoteAnchor"/>
          <w:rFonts w:ascii="serif" w:hAnsi="serif"/>
          <w:spacing w:val="-2"/>
          <w:sz w:val="20"/>
        </w:rPr>
        <w:footnoteReference w:id="5"/>
      </w:r>
      <w:r>
        <w:rPr>
          <w:rFonts w:ascii="serif" w:hAnsi="serif"/>
          <w:spacing w:val="-2"/>
          <w:sz w:val="20"/>
        </w:rPr>
        <w:t xml:space="preserve"> indicates that access to larger, contiguous bandwidths in the 6 GHz band reduces the potential for harmful interference.</w:t>
      </w:r>
    </w:p>
    <w:p>
      <w:pPr>
        <w:pStyle w:val="TextBody"/>
        <w:overflowPunct w:val="true"/>
        <w:spacing w:lineRule="auto" w:line="276" w:before="1" w:after="120"/>
        <w:ind w:left="640" w:right="116" w:hanging="0"/>
        <w:rPr>
          <w:spacing w:val="-2"/>
          <w:sz w:val="20"/>
        </w:rPr>
      </w:pPr>
      <w:r>
        <w:rPr/>
        <w:t>Meanwhile, the IEEE Std 802.15.4-2020</w:t>
      </w:r>
      <w:r>
        <w:rPr>
          <w:rStyle w:val="FootnoteAnchor"/>
        </w:rPr>
        <w:footnoteReference w:id="6"/>
      </w:r>
      <w:r>
        <w:rPr/>
        <w:t xml:space="preserve"> standard supports operation in the 6425-7025 MHz and 7025-7125 MHz bands and is expanding the use of radio determination, position tracking and tracking and data collection. With recent regulatory developments, UWB has come to be widely deployed in consumer devices such as smartphones and laptops, and increasingly in other consumer devices such as cars.  IEEE Std 802.15.6-2012</w:t>
      </w:r>
      <w:r>
        <w:rPr>
          <w:rStyle w:val="FootnoteAnchor"/>
        </w:rPr>
        <w:footnoteReference w:id="7"/>
      </w:r>
      <w:r>
        <w:rPr/>
        <w:t>, a standard for short range, wireless communication in the vicinity of, or inside, a human body (but not limited to humans) uses the same bands and channels and is approved by national medical and/or regulatory authorities for applications including medical wireless body area network (BAN).</w:t>
      </w:r>
    </w:p>
    <w:p>
      <w:pPr>
        <w:pStyle w:val="TextBody"/>
        <w:overflowPunct w:val="true"/>
        <w:spacing w:lineRule="auto" w:line="276" w:before="1" w:after="120"/>
        <w:ind w:left="640" w:right="116" w:hanging="0"/>
        <w:rPr>
          <w:shd w:fill="FFFF00" w:val="clear"/>
        </w:rPr>
      </w:pPr>
      <w:r>
        <w:rPr>
          <w:shd w:fill="FFFF00" w:val="clear"/>
        </w:rPr>
        <w:t>add more stuff? delete above?</w:t>
      </w:r>
    </w:p>
    <w:p>
      <w:pPr>
        <w:pStyle w:val="TextBody"/>
        <w:overflowPunct w:val="true"/>
        <w:spacing w:lineRule="auto" w:line="276" w:before="1" w:after="120"/>
        <w:ind w:left="640" w:right="116" w:hanging="0"/>
        <w:rPr>
          <w:b/>
          <w:b/>
          <w:bCs/>
        </w:rPr>
      </w:pPr>
      <w:r>
        <w:rPr>
          <w:b/>
          <w:bCs/>
        </w:rPr>
        <w:t>&lt;Spectrum sharing, co-existence, .19&gt;</w:t>
      </w:r>
    </w:p>
    <w:p>
      <w:pPr>
        <w:pStyle w:val="TextBody"/>
        <w:overflowPunct w:val="true"/>
        <w:spacing w:lineRule="auto" w:line="276" w:before="1" w:after="120"/>
        <w:ind w:left="640" w:right="116" w:hanging="0"/>
        <w:rPr>
          <w:rFonts w:ascii="serif" w:hAnsi="serif"/>
          <w:spacing w:val="-2"/>
          <w:sz w:val="20"/>
        </w:rPr>
      </w:pPr>
      <w:r>
        <w:rPr>
          <w:rFonts w:ascii="serif" w:hAnsi="serif"/>
          <w:strike/>
          <w:spacing w:val="-2"/>
          <w:sz w:val="20"/>
        </w:rPr>
        <w:t>IEEE 802 technologies are designed not to cause interference with other users in bands where they operate. While continued improvement of interference mitigation remains a priority, technologies such as Wi-Fi and UWB sensors currently provide among the best co-existence guarantees for pre-existing incumbents and simultaneously opening up economic and social opportunities across sectors.</w:t>
      </w:r>
    </w:p>
    <w:p>
      <w:pPr>
        <w:pStyle w:val="TextBody"/>
        <w:overflowPunct w:val="true"/>
        <w:spacing w:lineRule="auto" w:line="276" w:before="1" w:after="120"/>
        <w:ind w:left="640" w:right="116" w:hanging="0"/>
        <w:rPr>
          <w:highlight w:val="none"/>
          <w:shd w:fill="FFFF00" w:val="clear"/>
        </w:rPr>
      </w:pPr>
      <w:r>
        <w:rPr>
          <w:rFonts w:ascii="serif" w:hAnsi="serif"/>
          <w:spacing w:val="-2"/>
          <w:sz w:val="20"/>
          <w:shd w:fill="FFFF00" w:val="clear"/>
        </w:rPr>
        <w:t>NOTE TO SELF: REDRAFT actively working on better co-existence mechanisms</w:t>
      </w:r>
    </w:p>
    <w:p>
      <w:pPr>
        <w:pStyle w:val="TextBody"/>
        <w:overflowPunct w:val="true"/>
        <w:spacing w:lineRule="auto" w:line="276" w:before="1" w:after="120"/>
        <w:ind w:left="640" w:right="116" w:hanging="0"/>
        <w:rPr>
          <w:i/>
          <w:i/>
          <w:iCs/>
          <w:highlight w:val="none"/>
          <w:shd w:fill="FFFF00" w:val="clear"/>
        </w:rPr>
      </w:pPr>
      <w:r>
        <w:rPr>
          <w:rFonts w:ascii="serif" w:hAnsi="serif"/>
          <w:b/>
          <w:bCs/>
          <w:i/>
          <w:iCs/>
          <w:spacing w:val="-2"/>
          <w:sz w:val="20"/>
          <w:shd w:fill="FFFF00" w:val="clear"/>
        </w:rPr>
        <w:t>New proposal:</w:t>
      </w:r>
      <w:r>
        <w:rPr>
          <w:rFonts w:ascii="serif" w:hAnsi="serif"/>
          <w:i/>
          <w:iCs/>
          <w:spacing w:val="-2"/>
          <w:sz w:val="20"/>
          <w:shd w:fill="FFFF00" w:val="clear"/>
        </w:rPr>
        <w:t xml:space="preserve"> IEEE 802 technologies are designed not to cause interference with other users in bands where they operate. Our standards development process takes aim not just at regulatory minimum requirements for interference mitigation, but to be actively working on better co-existence mechanisms. Indeed, IEEE 802 is at the forefront of ensuring that a ubiquitous, wireless technological infrastructure can be shared by many technologies and actors. The technologies developed in the IEEE 802 group have not just implemented existing regulations, but enabled regulations to change in ways that opened up more opportunities for social and economic welfare. </w:t>
      </w:r>
    </w:p>
    <w:p>
      <w:pPr>
        <w:pStyle w:val="TextBody"/>
        <w:overflowPunct w:val="true"/>
        <w:spacing w:lineRule="auto" w:line="276" w:before="1" w:after="120"/>
        <w:ind w:left="640" w:right="116" w:hanging="0"/>
        <w:rPr/>
      </w:pPr>
      <w:r>
        <w:rPr>
          <w:rFonts w:ascii="serif" w:hAnsi="serif"/>
          <w:spacing w:val="-2"/>
          <w:sz w:val="20"/>
        </w:rPr>
        <w:t>IEEE 802.19 Wireless Coexistence Working Group (WG) has previously completed work in sub-1GHz</w:t>
      </w:r>
      <w:r>
        <w:rPr>
          <w:rStyle w:val="FootnoteAnchor"/>
          <w:rFonts w:ascii="serif" w:hAnsi="serif"/>
          <w:spacing w:val="-2"/>
          <w:sz w:val="20"/>
        </w:rPr>
        <w:footnoteReference w:id="8"/>
      </w:r>
      <w:r>
        <w:rPr>
          <w:rFonts w:ascii="serif" w:hAnsi="serif"/>
          <w:spacing w:val="-2"/>
          <w:sz w:val="20"/>
        </w:rPr>
        <w:t xml:space="preserve"> and for automotive use scenarios,</w:t>
      </w:r>
      <w:r>
        <w:rPr>
          <w:rStyle w:val="FootnoteAnchor"/>
          <w:rFonts w:ascii="serif" w:hAnsi="serif"/>
          <w:spacing w:val="-2"/>
          <w:sz w:val="20"/>
        </w:rPr>
        <w:footnoteReference w:id="9"/>
      </w:r>
      <w:r>
        <w:rPr>
          <w:rFonts w:ascii="serif" w:hAnsi="serif"/>
          <w:spacing w:val="-2"/>
          <w:sz w:val="20"/>
        </w:rPr>
        <w:t xml:space="preserve"> as well as for individual standards amendments developed in the IEEE 802.11 and .15 Working Groups. Additional work is undertaken within the Working Groups, such as the Co-existence Standing Committee of IEEE 802.11 which follows co-existence studies at the ISO and ETSI levels.</w:t>
      </w:r>
    </w:p>
    <w:p>
      <w:pPr>
        <w:pStyle w:val="TextBody"/>
        <w:overflowPunct w:val="true"/>
        <w:spacing w:lineRule="auto" w:line="276" w:before="1" w:after="120"/>
        <w:ind w:left="640" w:right="116" w:hanging="0"/>
        <w:rPr/>
      </w:pPr>
      <w:r>
        <w:rPr>
          <w:rFonts w:ascii="serif" w:hAnsi="serif"/>
          <w:spacing w:val="-2"/>
          <w:sz w:val="20"/>
        </w:rPr>
        <w:t xml:space="preserve">UWB operates with very low risk of causing interference to other services, due to the extremely low transmit power levels, low activity factors, and other technical characteristics, which support high spectral reuse factors and effective sharing on the spectrum. IEEE 802.11 technologies make use of back-off mechanisms to ensure that a channel is clear before attempting transmission. </w:t>
      </w:r>
    </w:p>
    <w:p>
      <w:pPr>
        <w:pStyle w:val="TextBody"/>
        <w:overflowPunct w:val="true"/>
        <w:spacing w:lineRule="auto" w:line="276"/>
        <w:ind w:left="640" w:right="113" w:hanging="0"/>
        <w:rPr>
          <w:spacing w:val="-2"/>
          <w:sz w:val="20"/>
        </w:rPr>
      </w:pPr>
      <w:r>
        <w:rPr>
          <w:shd w:fill="FFFF00" w:val="clear"/>
        </w:rPr>
        <w:t>Left from previous statement:</w:t>
      </w:r>
      <w:r>
        <w:rPr/>
        <w:t xml:space="preserve"> The increasing</w:t>
      </w:r>
      <w:r>
        <w:rPr>
          <w:spacing w:val="-1"/>
        </w:rPr>
        <w:t xml:space="preserve"> </w:t>
      </w:r>
      <w:r>
        <w:rPr/>
        <w:t>demands</w:t>
      </w:r>
      <w:r>
        <w:rPr>
          <w:spacing w:val="-1"/>
        </w:rPr>
        <w:t xml:space="preserve"> </w:t>
      </w:r>
      <w:r>
        <w:rPr/>
        <w:t>for wireless spectrum</w:t>
      </w:r>
      <w:r>
        <w:rPr>
          <w:spacing w:val="-1"/>
        </w:rPr>
        <w:t xml:space="preserve"> </w:t>
      </w:r>
      <w:commentRangeStart w:id="3"/>
      <w:r>
        <w:rPr/>
        <w:t>should</w:t>
      </w:r>
      <w:r>
        <w:rPr>
          <w:spacing w:val="-1"/>
        </w:rPr>
        <w:t xml:space="preserve"> </w:t>
      </w:r>
      <w:r>
        <w:rPr/>
        <w:t>also</w:t>
      </w:r>
      <w:r>
        <w:rPr/>
      </w:r>
      <w:commentRangeEnd w:id="3"/>
      <w:r>
        <w:commentReference w:id="3"/>
      </w:r>
      <w:r>
        <w:rPr/>
        <w:t xml:space="preserve"> be met by introducing flexibility into the use of lightly used spectrum. This includes spectrum that is being used sparsely on a geographic basis (i.e., only used in certain specific locations) or temporally. </w:t>
      </w:r>
    </w:p>
    <w:p>
      <w:pPr>
        <w:pStyle w:val="TextBody"/>
        <w:overflowPunct w:val="true"/>
        <w:spacing w:lineRule="auto" w:line="276" w:before="200" w:after="120"/>
        <w:ind w:left="640" w:right="106" w:hanging="0"/>
        <w:rPr>
          <w:b/>
          <w:b/>
          <w:bCs/>
        </w:rPr>
      </w:pPr>
      <w:r>
        <w:rPr>
          <w:b/>
          <w:bCs/>
        </w:rPr>
        <w:t>&lt;Optimistic end-note&gt;</w:t>
      </w:r>
    </w:p>
    <w:p>
      <w:pPr>
        <w:pStyle w:val="TextBody"/>
        <w:overflowPunct w:val="true"/>
        <w:spacing w:lineRule="auto" w:line="276" w:before="200" w:after="120"/>
        <w:ind w:left="640" w:right="106" w:hanging="0"/>
        <w:rPr>
          <w:spacing w:val="-2"/>
          <w:sz w:val="20"/>
        </w:rPr>
      </w:pPr>
      <w:r>
        <w:rPr/>
        <w:t>License-exempt wireless technologies are and will continue to benefit humanity profoundly in the years to come. In heavily regulated environments such as spectrum management, these benefits can only be realized with a solid vision from regulators and governments to include as many users and entities as possible in a technical environment that provides a maximum amount of flexibility for those users and entities.</w:t>
      </w:r>
    </w:p>
    <w:p>
      <w:pPr>
        <w:pStyle w:val="TextBody"/>
        <w:overflowPunct w:val="true"/>
        <w:spacing w:lineRule="auto" w:line="276" w:before="1" w:after="120"/>
        <w:ind w:left="640" w:right="116" w:hanging="0"/>
        <w:rPr>
          <w:spacing w:val="-2"/>
          <w:sz w:val="20"/>
        </w:rPr>
      </w:pPr>
      <w:r>
        <w:rPr>
          <w:shd w:fill="FFFF00" w:val="clear"/>
        </w:rPr>
        <w:t>add more stuff? delete above?</w:t>
      </w:r>
    </w:p>
    <w:p>
      <w:pPr>
        <w:sectPr>
          <w:headerReference w:type="default" r:id="rId2"/>
          <w:footerReference w:type="default" r:id="rId3"/>
          <w:footnotePr>
            <w:numFmt w:val="decimal"/>
          </w:footnotePr>
          <w:type w:val="nextPage"/>
          <w:pgSz w:w="12240" w:h="15840"/>
          <w:pgMar w:left="800" w:right="1360" w:gutter="0" w:header="0" w:top="780" w:footer="1163" w:bottom="1360"/>
          <w:pgNumType w:start="1" w:fmt="decimal"/>
          <w:formProt w:val="false"/>
          <w:textDirection w:val="lrTb"/>
          <w:docGrid w:type="default" w:linePitch="100" w:charSpace="0"/>
        </w:sectPr>
        <w:pStyle w:val="TextBody"/>
        <w:overflowPunct w:val="true"/>
        <w:spacing w:before="11" w:after="120"/>
        <w:rPr>
          <w:sz w:val="19"/>
          <w:szCs w:val="19"/>
        </w:rPr>
      </w:pPr>
      <w:r>
        <w:rPr>
          <w:sz w:val="19"/>
          <w:szCs w:val="19"/>
        </w:rPr>
        <mc:AlternateContent>
          <mc:Choice Requires="wps">
            <w:drawing>
              <wp:anchor behindDoc="0" distT="0" distB="12700" distL="0" distR="0" simplePos="0" locked="0" layoutInCell="0" allowOverlap="1" relativeHeight="4" wp14:anchorId="0EC03A86">
                <wp:simplePos x="0" y="0"/>
                <wp:positionH relativeFrom="page">
                  <wp:posOffset>914400</wp:posOffset>
                </wp:positionH>
                <wp:positionV relativeFrom="paragraph">
                  <wp:posOffset>169545</wp:posOffset>
                </wp:positionV>
                <wp:extent cx="1830705" cy="10795"/>
                <wp:effectExtent l="0" t="0" r="0" b="2540"/>
                <wp:wrapTopAndBottom/>
                <wp:docPr id="3" name="Freeform 13"/>
                <a:graphic xmlns:a="http://schemas.openxmlformats.org/drawingml/2006/main">
                  <a:graphicData uri="http://schemas.microsoft.com/office/word/2010/wordprocessingShape">
                    <wps:wsp>
                      <wps:cNvSpPr/>
                      <wps:spPr>
                        <a:xfrm>
                          <a:off x="0" y="0"/>
                          <a:ext cx="1830600" cy="10800"/>
                        </a:xfrm>
                        <a:custGeom>
                          <a:avLst/>
                          <a:gdLst/>
                          <a:ahLst/>
                          <a:rect l="l" t="t" r="r" b="b"/>
                          <a:pathLst>
                            <a:path w="2881" h="15">
                              <a:moveTo>
                                <a:pt x="2880" y="0"/>
                              </a:moveTo>
                              <a:lnTo>
                                <a:pt x="0" y="0"/>
                              </a:lnTo>
                              <a:lnTo>
                                <a:pt x="0" y="14"/>
                              </a:lnTo>
                              <a:lnTo>
                                <a:pt x="2880" y="14"/>
                              </a:lnTo>
                              <a:lnTo>
                                <a:pt x="2880"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TextBody"/>
        <w:overflowPunct w:val="true"/>
        <w:spacing w:lineRule="auto" w:line="276" w:before="39" w:after="120"/>
        <w:ind w:left="640" w:right="106" w:hanging="0"/>
        <w:rPr>
          <w:color w:val="000000"/>
          <w:spacing w:val="-2"/>
          <w:sz w:val="20"/>
        </w:rPr>
      </w:pPr>
      <w:r>
        <w:rPr/>
        <w:t>The</w:t>
      </w:r>
      <w:r>
        <w:rPr>
          <w:spacing w:val="-4"/>
        </w:rPr>
        <w:t xml:space="preserve"> </w:t>
      </w:r>
      <w:r>
        <w:rPr/>
        <w:t>IEEE-SA</w:t>
      </w:r>
      <w:r>
        <w:rPr>
          <w:spacing w:val="-3"/>
        </w:rPr>
        <w:t xml:space="preserve"> </w:t>
      </w:r>
      <w:r>
        <w:rPr/>
        <w:t>has</w:t>
      </w:r>
      <w:r>
        <w:rPr>
          <w:spacing w:val="-3"/>
        </w:rPr>
        <w:t xml:space="preserve"> </w:t>
      </w:r>
      <w:r>
        <w:rPr/>
        <w:t>an</w:t>
      </w:r>
      <w:r>
        <w:rPr>
          <w:spacing w:val="-4"/>
        </w:rPr>
        <w:t xml:space="preserve"> </w:t>
      </w:r>
      <w:r>
        <w:rPr/>
        <w:t>important</w:t>
      </w:r>
      <w:r>
        <w:rPr>
          <w:spacing w:val="-5"/>
        </w:rPr>
        <w:t xml:space="preserve"> </w:t>
      </w:r>
      <w:r>
        <w:rPr/>
        <w:t>role</w:t>
      </w:r>
      <w:r>
        <w:rPr>
          <w:spacing w:val="-3"/>
        </w:rPr>
        <w:t xml:space="preserve"> </w:t>
      </w:r>
      <w:r>
        <w:rPr/>
        <w:t>to</w:t>
      </w:r>
      <w:r>
        <w:rPr>
          <w:spacing w:val="-3"/>
        </w:rPr>
        <w:t xml:space="preserve"> </w:t>
      </w:r>
      <w:r>
        <w:rPr/>
        <w:t>play</w:t>
      </w:r>
      <w:r>
        <w:rPr>
          <w:spacing w:val="-3"/>
        </w:rPr>
        <w:t xml:space="preserve"> </w:t>
      </w:r>
      <w:r>
        <w:rPr/>
        <w:t>in</w:t>
      </w:r>
      <w:r>
        <w:rPr>
          <w:spacing w:val="-3"/>
        </w:rPr>
        <w:t xml:space="preserve"> </w:t>
      </w:r>
      <w:r>
        <w:rPr/>
        <w:t>the</w:t>
      </w:r>
      <w:r>
        <w:rPr>
          <w:spacing w:val="-3"/>
        </w:rPr>
        <w:t xml:space="preserve"> </w:t>
      </w:r>
      <w:r>
        <w:rPr/>
        <w:t>development</w:t>
      </w:r>
      <w:r>
        <w:rPr>
          <w:spacing w:val="-4"/>
        </w:rPr>
        <w:t xml:space="preserve"> </w:t>
      </w:r>
      <w:r>
        <w:rPr/>
        <w:t>of</w:t>
      </w:r>
      <w:r>
        <w:rPr>
          <w:spacing w:val="-3"/>
        </w:rPr>
        <w:t xml:space="preserve"> </w:t>
      </w:r>
      <w:r>
        <w:rPr/>
        <w:t>intelligent</w:t>
      </w:r>
      <w:r>
        <w:rPr>
          <w:spacing w:val="-2"/>
        </w:rPr>
        <w:t xml:space="preserve"> </w:t>
      </w:r>
      <w:r>
        <w:rPr/>
        <w:t>spectrum</w:t>
      </w:r>
      <w:r>
        <w:rPr>
          <w:spacing w:val="-3"/>
        </w:rPr>
        <w:t xml:space="preserve"> </w:t>
      </w:r>
      <w:r>
        <w:rPr/>
        <w:t>allocation</w:t>
      </w:r>
      <w:r>
        <w:rPr>
          <w:spacing w:val="-4"/>
        </w:rPr>
        <w:t xml:space="preserve"> </w:t>
      </w:r>
      <w:r>
        <w:rPr/>
        <w:t>and management based upon transparent, standardized rules that also account for incumbent users.</w:t>
      </w:r>
    </w:p>
    <w:p>
      <w:pPr>
        <w:pStyle w:val="TextBody"/>
        <w:overflowPunct w:val="true"/>
        <w:spacing w:before="4" w:after="120"/>
        <w:rPr>
          <w:sz w:val="16"/>
          <w:szCs w:val="16"/>
        </w:rPr>
      </w:pPr>
      <w:r>
        <w:rPr>
          <w:sz w:val="16"/>
          <w:szCs w:val="16"/>
        </w:rPr>
      </w:r>
    </w:p>
    <w:p>
      <w:pPr>
        <w:pStyle w:val="TextBody"/>
        <w:overflowPunct w:val="true"/>
        <w:spacing w:lineRule="auto" w:line="276"/>
        <w:ind w:left="640" w:right="524" w:hanging="0"/>
        <w:rPr>
          <w:i/>
          <w:i/>
          <w:iCs/>
        </w:rPr>
      </w:pPr>
      <w:r>
        <w:rPr>
          <w:i/>
          <w:iCs/>
        </w:rPr>
        <w:t>This statement was developed by the IEEE Standards Association and represents the considered judgement</w:t>
      </w:r>
      <w:r>
        <w:rPr>
          <w:i/>
          <w:iCs/>
          <w:spacing w:val="-3"/>
        </w:rPr>
        <w:t xml:space="preserve"> </w:t>
      </w:r>
      <w:r>
        <w:rPr>
          <w:i/>
          <w:iCs/>
        </w:rPr>
        <w:t>of</w:t>
      </w:r>
      <w:r>
        <w:rPr>
          <w:i/>
          <w:iCs/>
          <w:spacing w:val="-3"/>
        </w:rPr>
        <w:t xml:space="preserve"> </w:t>
      </w:r>
      <w:r>
        <w:rPr>
          <w:i/>
          <w:iCs/>
        </w:rPr>
        <w:t>a</w:t>
      </w:r>
      <w:r>
        <w:rPr>
          <w:i/>
          <w:iCs/>
          <w:spacing w:val="-5"/>
        </w:rPr>
        <w:t xml:space="preserve"> </w:t>
      </w:r>
      <w:r>
        <w:rPr>
          <w:i/>
          <w:iCs/>
        </w:rPr>
        <w:t>group</w:t>
      </w:r>
      <w:r>
        <w:rPr>
          <w:i/>
          <w:iCs/>
          <w:spacing w:val="-4"/>
        </w:rPr>
        <w:t xml:space="preserve"> </w:t>
      </w:r>
      <w:r>
        <w:rPr>
          <w:i/>
          <w:iCs/>
        </w:rPr>
        <w:t>of</w:t>
      </w:r>
      <w:r>
        <w:rPr>
          <w:i/>
          <w:iCs/>
          <w:spacing w:val="-3"/>
        </w:rPr>
        <w:t xml:space="preserve"> </w:t>
      </w:r>
      <w:r>
        <w:rPr>
          <w:i/>
          <w:iCs/>
        </w:rPr>
        <w:t>IEEE</w:t>
      </w:r>
      <w:r>
        <w:rPr>
          <w:i/>
          <w:iCs/>
          <w:spacing w:val="-4"/>
        </w:rPr>
        <w:t xml:space="preserve"> </w:t>
      </w:r>
      <w:r>
        <w:rPr>
          <w:i/>
          <w:iCs/>
        </w:rPr>
        <w:t>standards</w:t>
      </w:r>
      <w:r>
        <w:rPr>
          <w:i/>
          <w:iCs/>
          <w:spacing w:val="-4"/>
        </w:rPr>
        <w:t xml:space="preserve"> </w:t>
      </w:r>
      <w:r>
        <w:rPr>
          <w:i/>
          <w:iCs/>
        </w:rPr>
        <w:t>participants</w:t>
      </w:r>
      <w:r>
        <w:rPr>
          <w:i/>
          <w:iCs/>
          <w:spacing w:val="-4"/>
        </w:rPr>
        <w:t xml:space="preserve"> </w:t>
      </w:r>
      <w:r>
        <w:rPr>
          <w:i/>
          <w:iCs/>
        </w:rPr>
        <w:t>with</w:t>
      </w:r>
      <w:r>
        <w:rPr>
          <w:i/>
          <w:iCs/>
          <w:spacing w:val="-3"/>
        </w:rPr>
        <w:t xml:space="preserve"> </w:t>
      </w:r>
      <w:r>
        <w:rPr>
          <w:i/>
          <w:iCs/>
        </w:rPr>
        <w:t>expertise</w:t>
      </w:r>
      <w:r>
        <w:rPr>
          <w:i/>
          <w:iCs/>
          <w:spacing w:val="-4"/>
        </w:rPr>
        <w:t xml:space="preserve"> </w:t>
      </w:r>
      <w:r>
        <w:rPr>
          <w:i/>
          <w:iCs/>
        </w:rPr>
        <w:t>in</w:t>
      </w:r>
      <w:r>
        <w:rPr>
          <w:i/>
          <w:iCs/>
          <w:spacing w:val="-3"/>
        </w:rPr>
        <w:t xml:space="preserve"> </w:t>
      </w:r>
      <w:r>
        <w:rPr>
          <w:i/>
          <w:iCs/>
        </w:rPr>
        <w:t>the</w:t>
      </w:r>
      <w:r>
        <w:rPr>
          <w:i/>
          <w:iCs/>
          <w:spacing w:val="-3"/>
        </w:rPr>
        <w:t xml:space="preserve"> </w:t>
      </w:r>
      <w:r>
        <w:rPr>
          <w:i/>
          <w:iCs/>
        </w:rPr>
        <w:t>subject</w:t>
      </w:r>
      <w:r>
        <w:rPr>
          <w:i/>
          <w:iCs/>
          <w:spacing w:val="-3"/>
        </w:rPr>
        <w:t xml:space="preserve"> </w:t>
      </w:r>
      <w:r>
        <w:rPr>
          <w:i/>
          <w:iCs/>
        </w:rPr>
        <w:t>field.</w:t>
      </w:r>
      <w:r>
        <w:rPr>
          <w:i/>
          <w:iCs/>
          <w:spacing w:val="-3"/>
        </w:rPr>
        <w:t xml:space="preserve"> </w:t>
      </w:r>
      <w:r>
        <w:rPr>
          <w:i/>
          <w:iCs/>
        </w:rPr>
        <w:t>The</w:t>
      </w:r>
      <w:r>
        <w:rPr>
          <w:i/>
          <w:iCs/>
          <w:spacing w:val="-3"/>
        </w:rPr>
        <w:t xml:space="preserve"> </w:t>
      </w:r>
      <w:r>
        <w:rPr>
          <w:i/>
          <w:iCs/>
        </w:rPr>
        <w:t>position taken by the IEEE Standards Association does not necessarily reflect the views of IEEE or its other Organizational Units.</w:t>
      </w:r>
    </w:p>
    <w:p>
      <w:pPr>
        <w:pStyle w:val="TextBody"/>
        <w:overflowPunct w:val="true"/>
        <w:spacing w:before="6" w:after="120"/>
        <w:rPr>
          <w:i/>
          <w:i/>
          <w:iCs/>
          <w:sz w:val="16"/>
          <w:szCs w:val="16"/>
        </w:rPr>
      </w:pPr>
      <w:r>
        <w:rPr>
          <w:i/>
          <w:iCs/>
          <w:sz w:val="16"/>
          <w:szCs w:val="16"/>
        </w:rPr>
      </w:r>
    </w:p>
    <w:p>
      <w:pPr>
        <w:pStyle w:val="TextBody"/>
        <w:overflowPunct w:val="true"/>
        <w:ind w:left="640" w:hanging="0"/>
        <w:rPr>
          <w:b/>
          <w:b/>
          <w:bCs/>
          <w:spacing w:val="-4"/>
        </w:rPr>
      </w:pPr>
      <w:r>
        <w:rPr>
          <w:b/>
          <w:bCs/>
        </w:rPr>
        <w:t>ABOUT</w:t>
      </w:r>
      <w:r>
        <w:rPr>
          <w:b/>
          <w:bCs/>
          <w:spacing w:val="-8"/>
        </w:rPr>
        <w:t xml:space="preserve"> </w:t>
      </w:r>
      <w:r>
        <w:rPr>
          <w:b/>
          <w:bCs/>
          <w:spacing w:val="-4"/>
        </w:rPr>
        <w:t>IEEE</w:t>
      </w:r>
    </w:p>
    <w:p>
      <w:pPr>
        <w:pStyle w:val="TextBody"/>
        <w:overflowPunct w:val="true"/>
        <w:spacing w:before="8" w:after="120"/>
        <w:rPr>
          <w:b/>
          <w:b/>
          <w:bCs/>
          <w:sz w:val="19"/>
          <w:szCs w:val="19"/>
        </w:rPr>
      </w:pPr>
      <w:r>
        <w:rPr>
          <w:b/>
          <w:bCs/>
          <w:sz w:val="19"/>
          <w:szCs w:val="19"/>
        </w:rPr>
      </w:r>
    </w:p>
    <w:p>
      <w:pPr>
        <w:pStyle w:val="TextBody"/>
        <w:overflowPunct w:val="true"/>
        <w:spacing w:lineRule="auto" w:line="276" w:before="1" w:after="120"/>
        <w:ind w:left="640" w:right="113" w:hanging="0"/>
        <w:rPr>
          <w:color w:val="000000"/>
          <w:spacing w:val="-2"/>
          <w:sz w:val="20"/>
        </w:rPr>
      </w:pPr>
      <w:r>
        <w:rPr/>
        <w:t>The IEEE is the world’s largest professional association advancing innovation and technological excellence</w:t>
      </w:r>
      <w:r>
        <w:rPr>
          <w:spacing w:val="-5"/>
        </w:rPr>
        <w:t xml:space="preserve"> </w:t>
      </w:r>
      <w:r>
        <w:rPr/>
        <w:t>for</w:t>
      </w:r>
      <w:r>
        <w:rPr>
          <w:spacing w:val="-3"/>
        </w:rPr>
        <w:t xml:space="preserve"> </w:t>
      </w:r>
      <w:r>
        <w:rPr/>
        <w:t>the</w:t>
      </w:r>
      <w:r>
        <w:rPr>
          <w:spacing w:val="-3"/>
        </w:rPr>
        <w:t xml:space="preserve"> </w:t>
      </w:r>
      <w:r>
        <w:rPr/>
        <w:t>benefit</w:t>
      </w:r>
      <w:r>
        <w:rPr>
          <w:spacing w:val="-2"/>
        </w:rPr>
        <w:t xml:space="preserve"> </w:t>
      </w:r>
      <w:r>
        <w:rPr/>
        <w:t>of</w:t>
      </w:r>
      <w:r>
        <w:rPr>
          <w:spacing w:val="-4"/>
        </w:rPr>
        <w:t xml:space="preserve"> </w:t>
      </w:r>
      <w:r>
        <w:rPr/>
        <w:t>humanity.</w:t>
      </w:r>
      <w:r>
        <w:rPr>
          <w:spacing w:val="-4"/>
        </w:rPr>
        <w:t xml:space="preserve"> </w:t>
      </w:r>
      <w:r>
        <w:rPr/>
        <w:t>IEEE</w:t>
      </w:r>
      <w:r>
        <w:rPr>
          <w:spacing w:val="-5"/>
        </w:rPr>
        <w:t xml:space="preserve"> </w:t>
      </w:r>
      <w:r>
        <w:rPr/>
        <w:t>and</w:t>
      </w:r>
      <w:r>
        <w:rPr>
          <w:spacing w:val="-4"/>
        </w:rPr>
        <w:t xml:space="preserve"> </w:t>
      </w:r>
      <w:r>
        <w:rPr/>
        <w:t>its</w:t>
      </w:r>
      <w:r>
        <w:rPr>
          <w:spacing w:val="-2"/>
        </w:rPr>
        <w:t xml:space="preserve"> </w:t>
      </w:r>
      <w:r>
        <w:rPr/>
        <w:t>members</w:t>
      </w:r>
      <w:r>
        <w:rPr>
          <w:spacing w:val="-3"/>
        </w:rPr>
        <w:t xml:space="preserve"> </w:t>
      </w:r>
      <w:r>
        <w:rPr/>
        <w:t>inspire</w:t>
      </w:r>
      <w:r>
        <w:rPr>
          <w:spacing w:val="-4"/>
        </w:rPr>
        <w:t xml:space="preserve"> </w:t>
      </w:r>
      <w:r>
        <w:rPr/>
        <w:t>a</w:t>
      </w:r>
      <w:r>
        <w:rPr>
          <w:spacing w:val="-4"/>
        </w:rPr>
        <w:t xml:space="preserve"> </w:t>
      </w:r>
      <w:r>
        <w:rPr/>
        <w:t>global</w:t>
      </w:r>
      <w:r>
        <w:rPr>
          <w:spacing w:val="-3"/>
        </w:rPr>
        <w:t xml:space="preserve"> </w:t>
      </w:r>
      <w:r>
        <w:rPr/>
        <w:t>community</w:t>
      </w:r>
      <w:r>
        <w:rPr>
          <w:spacing w:val="-3"/>
        </w:rPr>
        <w:t xml:space="preserve"> </w:t>
      </w:r>
      <w:r>
        <w:rPr/>
        <w:t>to</w:t>
      </w:r>
      <w:r>
        <w:rPr>
          <w:spacing w:val="-3"/>
        </w:rPr>
        <w:t xml:space="preserve"> </w:t>
      </w:r>
      <w:r>
        <w:rPr/>
        <w:t>innovate</w:t>
      </w:r>
      <w:r>
        <w:rPr>
          <w:spacing w:val="-4"/>
        </w:rPr>
        <w:t xml:space="preserve"> </w:t>
      </w:r>
      <w:r>
        <w:rPr/>
        <w:t>for a better tomorrow through its highly-cited publications, conferences, technology standards, and professional and educational activities. IEEE is the trusted “voice” for engineering, computing, and technology information around the globe.</w:t>
      </w:r>
    </w:p>
    <w:p>
      <w:pPr>
        <w:pStyle w:val="TextBody"/>
        <w:overflowPunct w:val="true"/>
        <w:spacing w:before="4" w:after="120"/>
        <w:rPr>
          <w:sz w:val="16"/>
          <w:szCs w:val="16"/>
        </w:rPr>
      </w:pPr>
      <w:r>
        <w:rPr>
          <w:sz w:val="16"/>
          <w:szCs w:val="16"/>
        </w:rPr>
      </w:r>
    </w:p>
    <w:p>
      <w:pPr>
        <w:pStyle w:val="TextBody"/>
        <w:overflowPunct w:val="true"/>
        <w:ind w:left="640" w:hanging="0"/>
        <w:rPr>
          <w:spacing w:val="-5"/>
        </w:rPr>
      </w:pPr>
      <w:r>
        <w:rPr/>
        <w:t>There</w:t>
      </w:r>
      <w:r>
        <w:rPr>
          <w:spacing w:val="-8"/>
        </w:rPr>
        <w:t xml:space="preserve"> </w:t>
      </w:r>
      <w:r>
        <w:rPr/>
        <w:t>are</w:t>
      </w:r>
      <w:r>
        <w:rPr>
          <w:spacing w:val="-6"/>
        </w:rPr>
        <w:t xml:space="preserve"> </w:t>
      </w:r>
      <w:r>
        <w:rPr/>
        <w:t>more</w:t>
      </w:r>
      <w:r>
        <w:rPr>
          <w:spacing w:val="-6"/>
        </w:rPr>
        <w:t xml:space="preserve"> </w:t>
      </w:r>
      <w:r>
        <w:rPr/>
        <w:t>than</w:t>
      </w:r>
      <w:r>
        <w:rPr>
          <w:spacing w:val="-5"/>
        </w:rPr>
        <w:t xml:space="preserve"> </w:t>
      </w:r>
      <w:r>
        <w:rPr/>
        <w:t>420,000</w:t>
      </w:r>
      <w:r>
        <w:rPr>
          <w:spacing w:val="-6"/>
        </w:rPr>
        <w:t xml:space="preserve"> </w:t>
      </w:r>
      <w:r>
        <w:rPr/>
        <w:t>IEEE</w:t>
      </w:r>
      <w:r>
        <w:rPr>
          <w:spacing w:val="-7"/>
        </w:rPr>
        <w:t xml:space="preserve"> </w:t>
      </w:r>
      <w:r>
        <w:rPr/>
        <w:t>members</w:t>
      </w:r>
      <w:r>
        <w:rPr>
          <w:spacing w:val="-7"/>
        </w:rPr>
        <w:t xml:space="preserve"> </w:t>
      </w:r>
      <w:r>
        <w:rPr/>
        <w:t>in</w:t>
      </w:r>
      <w:r>
        <w:rPr>
          <w:spacing w:val="-6"/>
        </w:rPr>
        <w:t xml:space="preserve"> </w:t>
      </w:r>
      <w:r>
        <w:rPr/>
        <w:t>more</w:t>
      </w:r>
      <w:r>
        <w:rPr>
          <w:spacing w:val="-6"/>
        </w:rPr>
        <w:t xml:space="preserve"> </w:t>
      </w:r>
      <w:r>
        <w:rPr/>
        <w:t>than</w:t>
      </w:r>
      <w:r>
        <w:rPr>
          <w:spacing w:val="-7"/>
        </w:rPr>
        <w:t xml:space="preserve"> </w:t>
      </w:r>
      <w:r>
        <w:rPr/>
        <w:t>160</w:t>
      </w:r>
      <w:r>
        <w:rPr>
          <w:spacing w:val="-6"/>
        </w:rPr>
        <w:t xml:space="preserve"> </w:t>
      </w:r>
      <w:r>
        <w:rPr/>
        <w:t>countries.</w:t>
      </w:r>
      <w:r>
        <w:rPr>
          <w:spacing w:val="-7"/>
        </w:rPr>
        <w:t xml:space="preserve"> </w:t>
      </w:r>
      <w:r>
        <w:rPr/>
        <w:t>IEEE</w:t>
      </w:r>
      <w:r>
        <w:rPr>
          <w:spacing w:val="-7"/>
        </w:rPr>
        <w:t xml:space="preserve"> </w:t>
      </w:r>
      <w:r>
        <w:rPr/>
        <w:t>publishes</w:t>
      </w:r>
      <w:r>
        <w:rPr>
          <w:spacing w:val="-7"/>
        </w:rPr>
        <w:t xml:space="preserve"> </w:t>
      </w:r>
      <w:r>
        <w:rPr/>
        <w:t>a</w:t>
      </w:r>
      <w:r>
        <w:rPr>
          <w:spacing w:val="-6"/>
        </w:rPr>
        <w:t xml:space="preserve"> </w:t>
      </w:r>
      <w:r>
        <w:rPr/>
        <w:t>third</w:t>
      </w:r>
      <w:r>
        <w:rPr>
          <w:spacing w:val="-7"/>
        </w:rPr>
        <w:t xml:space="preserve"> </w:t>
      </w:r>
      <w:r>
        <w:rPr/>
        <w:t>of</w:t>
      </w:r>
      <w:r>
        <w:rPr>
          <w:spacing w:val="-7"/>
        </w:rPr>
        <w:t xml:space="preserve"> </w:t>
      </w:r>
      <w:r>
        <w:rPr>
          <w:spacing w:val="-5"/>
        </w:rPr>
        <w:t xml:space="preserve">the </w:t>
      </w:r>
      <w:r>
        <w:rPr/>
        <w:t>world’s</w:t>
      </w:r>
      <w:r>
        <w:rPr>
          <w:spacing w:val="-3"/>
        </w:rPr>
        <w:t xml:space="preserve"> </w:t>
      </w:r>
      <w:r>
        <w:rPr/>
        <w:t>technical</w:t>
      </w:r>
      <w:r>
        <w:rPr>
          <w:spacing w:val="-4"/>
        </w:rPr>
        <w:t xml:space="preserve"> </w:t>
      </w:r>
      <w:r>
        <w:rPr/>
        <w:t>literature</w:t>
      </w:r>
      <w:r>
        <w:rPr>
          <w:spacing w:val="-3"/>
        </w:rPr>
        <w:t xml:space="preserve"> </w:t>
      </w:r>
      <w:r>
        <w:rPr/>
        <w:t>in</w:t>
      </w:r>
      <w:r>
        <w:rPr>
          <w:spacing w:val="-4"/>
        </w:rPr>
        <w:t xml:space="preserve"> </w:t>
      </w:r>
      <w:r>
        <w:rPr/>
        <w:t>electrical</w:t>
      </w:r>
      <w:r>
        <w:rPr>
          <w:spacing w:val="-2"/>
        </w:rPr>
        <w:t xml:space="preserve"> </w:t>
      </w:r>
      <w:r>
        <w:rPr/>
        <w:t>engineering,</w:t>
      </w:r>
      <w:r>
        <w:rPr>
          <w:spacing w:val="-3"/>
        </w:rPr>
        <w:t xml:space="preserve"> </w:t>
      </w:r>
      <w:r>
        <w:rPr/>
        <w:t>computer</w:t>
      </w:r>
      <w:r>
        <w:rPr>
          <w:spacing w:val="-4"/>
        </w:rPr>
        <w:t xml:space="preserve"> </w:t>
      </w:r>
      <w:r>
        <w:rPr/>
        <w:t>science,</w:t>
      </w:r>
      <w:r>
        <w:rPr>
          <w:spacing w:val="-3"/>
        </w:rPr>
        <w:t xml:space="preserve"> </w:t>
      </w:r>
      <w:r>
        <w:rPr/>
        <w:t>and</w:t>
      </w:r>
      <w:r>
        <w:rPr>
          <w:spacing w:val="-4"/>
        </w:rPr>
        <w:t xml:space="preserve"> </w:t>
      </w:r>
      <w:r>
        <w:rPr/>
        <w:t>electronics,</w:t>
      </w:r>
      <w:r>
        <w:rPr>
          <w:spacing w:val="-3"/>
        </w:rPr>
        <w:t xml:space="preserve"> </w:t>
      </w:r>
      <w:r>
        <w:rPr/>
        <w:t>and</w:t>
      </w:r>
      <w:r>
        <w:rPr>
          <w:spacing w:val="-3"/>
        </w:rPr>
        <w:t xml:space="preserve"> </w:t>
      </w:r>
      <w:r>
        <w:rPr/>
        <w:t>is</w:t>
      </w:r>
      <w:r>
        <w:rPr>
          <w:spacing w:val="-3"/>
        </w:rPr>
        <w:t xml:space="preserve"> </w:t>
      </w:r>
      <w:r>
        <w:rPr/>
        <w:t>a</w:t>
      </w:r>
      <w:r>
        <w:rPr>
          <w:spacing w:val="-4"/>
        </w:rPr>
        <w:t xml:space="preserve"> </w:t>
      </w:r>
      <w:r>
        <w:rPr/>
        <w:t>leading developer of international standards that underpin many of today’s telecommunications, information technology, and power generation products and services.</w:t>
      </w:r>
    </w:p>
    <w:p>
      <w:pPr>
        <w:pStyle w:val="TextBody"/>
        <w:overflowPunct w:val="true"/>
        <w:spacing w:before="4" w:after="120"/>
        <w:rPr>
          <w:sz w:val="16"/>
          <w:szCs w:val="16"/>
        </w:rPr>
      </w:pPr>
      <w:r>
        <w:rPr>
          <w:sz w:val="16"/>
          <w:szCs w:val="16"/>
        </w:rPr>
      </w:r>
    </w:p>
    <w:p>
      <w:pPr>
        <w:pStyle w:val="TextBody"/>
        <w:overflowPunct w:val="true"/>
        <w:spacing w:before="1" w:after="120"/>
        <w:ind w:left="640" w:hanging="0"/>
        <w:rPr>
          <w:b/>
          <w:b/>
          <w:bCs/>
          <w:i/>
          <w:i/>
          <w:iCs/>
          <w:spacing w:val="-2"/>
        </w:rPr>
      </w:pPr>
      <w:r>
        <w:rPr>
          <w:b/>
          <w:bCs/>
          <w:i/>
          <w:iCs/>
        </w:rPr>
        <w:t>ABOUT</w:t>
      </w:r>
      <w:r>
        <w:rPr>
          <w:b/>
          <w:bCs/>
          <w:i/>
          <w:iCs/>
          <w:spacing w:val="-9"/>
        </w:rPr>
        <w:t xml:space="preserve"> </w:t>
      </w:r>
      <w:r>
        <w:rPr>
          <w:b/>
          <w:bCs/>
          <w:i/>
          <w:iCs/>
        </w:rPr>
        <w:t>THE</w:t>
      </w:r>
      <w:r>
        <w:rPr>
          <w:b/>
          <w:bCs/>
          <w:i/>
          <w:iCs/>
          <w:spacing w:val="-8"/>
        </w:rPr>
        <w:t xml:space="preserve"> </w:t>
      </w:r>
      <w:r>
        <w:rPr>
          <w:b/>
          <w:bCs/>
          <w:i/>
          <w:iCs/>
        </w:rPr>
        <w:t>IEEE</w:t>
      </w:r>
      <w:r>
        <w:rPr>
          <w:b/>
          <w:bCs/>
          <w:i/>
          <w:iCs/>
          <w:spacing w:val="-8"/>
        </w:rPr>
        <w:t xml:space="preserve"> </w:t>
      </w:r>
      <w:r>
        <w:rPr>
          <w:b/>
          <w:bCs/>
          <w:i/>
          <w:iCs/>
        </w:rPr>
        <w:t>STANDARDS</w:t>
      </w:r>
      <w:r>
        <w:rPr>
          <w:b/>
          <w:bCs/>
          <w:i/>
          <w:iCs/>
          <w:spacing w:val="-8"/>
        </w:rPr>
        <w:t xml:space="preserve"> </w:t>
      </w:r>
      <w:r>
        <w:rPr>
          <w:b/>
          <w:bCs/>
          <w:i/>
          <w:iCs/>
          <w:spacing w:val="-2"/>
        </w:rPr>
        <w:t>ASSOCIATION</w:t>
      </w:r>
    </w:p>
    <w:p>
      <w:pPr>
        <w:pStyle w:val="TextBody"/>
        <w:overflowPunct w:val="true"/>
        <w:spacing w:before="7" w:after="120"/>
        <w:rPr>
          <w:b/>
          <w:b/>
          <w:bCs/>
          <w:i/>
          <w:i/>
          <w:iCs/>
          <w:sz w:val="28"/>
          <w:szCs w:val="28"/>
        </w:rPr>
      </w:pPr>
      <w:r>
        <w:rPr>
          <w:b/>
          <w:bCs/>
          <w:i/>
          <w:iCs/>
          <w:sz w:val="28"/>
          <w:szCs w:val="28"/>
        </w:rPr>
      </w:r>
    </w:p>
    <w:p>
      <w:pPr>
        <w:pStyle w:val="Normal"/>
        <w:ind w:left="630" w:hanging="0"/>
        <w:rPr>
          <w:color w:val="000000"/>
          <w:spacing w:val="-2"/>
          <w:sz w:val="20"/>
        </w:rPr>
      </w:pPr>
      <w:r>
        <w:rPr>
          <w:i/>
          <w:iCs/>
        </w:rPr>
        <w:t>The IEEE Standards Association, a globally recognized standards-setting body within IEEE, develops consensus standards through an open process that engages industry and brings together a broad stakeholder</w:t>
      </w:r>
      <w:r>
        <w:rPr>
          <w:i/>
          <w:iCs/>
          <w:spacing w:val="-3"/>
        </w:rPr>
        <w:t xml:space="preserve"> </w:t>
      </w:r>
      <w:r>
        <w:rPr>
          <w:i/>
          <w:iCs/>
        </w:rPr>
        <w:t>community.</w:t>
      </w:r>
      <w:r>
        <w:rPr>
          <w:i/>
          <w:iCs/>
          <w:spacing w:val="-3"/>
        </w:rPr>
        <w:t xml:space="preserve"> </w:t>
      </w:r>
      <w:r>
        <w:rPr>
          <w:i/>
          <w:iCs/>
        </w:rPr>
        <w:t>IEEE</w:t>
      </w:r>
      <w:r>
        <w:rPr>
          <w:i/>
          <w:iCs/>
          <w:spacing w:val="-3"/>
        </w:rPr>
        <w:t xml:space="preserve"> </w:t>
      </w:r>
      <w:r>
        <w:rPr>
          <w:i/>
          <w:iCs/>
        </w:rPr>
        <w:t>standards</w:t>
      </w:r>
      <w:r>
        <w:rPr>
          <w:i/>
          <w:iCs/>
          <w:spacing w:val="-4"/>
        </w:rPr>
        <w:t xml:space="preserve"> </w:t>
      </w:r>
      <w:r>
        <w:rPr>
          <w:i/>
          <w:iCs/>
        </w:rPr>
        <w:t>set</w:t>
      </w:r>
      <w:r>
        <w:rPr>
          <w:i/>
          <w:iCs/>
          <w:spacing w:val="-4"/>
        </w:rPr>
        <w:t xml:space="preserve"> </w:t>
      </w:r>
      <w:r>
        <w:rPr>
          <w:i/>
          <w:iCs/>
        </w:rPr>
        <w:t>specifications</w:t>
      </w:r>
      <w:r>
        <w:rPr>
          <w:i/>
          <w:iCs/>
          <w:spacing w:val="-4"/>
        </w:rPr>
        <w:t xml:space="preserve"> </w:t>
      </w:r>
      <w:r>
        <w:rPr>
          <w:i/>
          <w:iCs/>
        </w:rPr>
        <w:t>and</w:t>
      </w:r>
      <w:r>
        <w:rPr>
          <w:i/>
          <w:iCs/>
          <w:spacing w:val="-4"/>
        </w:rPr>
        <w:t xml:space="preserve"> </w:t>
      </w:r>
      <w:r>
        <w:rPr>
          <w:i/>
          <w:iCs/>
        </w:rPr>
        <w:t>best</w:t>
      </w:r>
      <w:r>
        <w:rPr>
          <w:i/>
          <w:iCs/>
          <w:spacing w:val="-4"/>
        </w:rPr>
        <w:t xml:space="preserve"> </w:t>
      </w:r>
      <w:r>
        <w:rPr>
          <w:i/>
          <w:iCs/>
        </w:rPr>
        <w:t>practices</w:t>
      </w:r>
      <w:r>
        <w:rPr>
          <w:i/>
          <w:iCs/>
          <w:spacing w:val="-3"/>
        </w:rPr>
        <w:t xml:space="preserve"> </w:t>
      </w:r>
      <w:r>
        <w:rPr>
          <w:i/>
          <w:iCs/>
        </w:rPr>
        <w:t>based</w:t>
      </w:r>
      <w:r>
        <w:rPr>
          <w:i/>
          <w:iCs/>
          <w:spacing w:val="-4"/>
        </w:rPr>
        <w:t xml:space="preserve"> </w:t>
      </w:r>
      <w:r>
        <w:rPr>
          <w:i/>
          <w:iCs/>
        </w:rPr>
        <w:t>on</w:t>
      </w:r>
      <w:r>
        <w:rPr>
          <w:i/>
          <w:iCs/>
          <w:spacing w:val="-4"/>
        </w:rPr>
        <w:t xml:space="preserve"> </w:t>
      </w:r>
      <w:r>
        <w:rPr>
          <w:i/>
          <w:iCs/>
        </w:rPr>
        <w:t>current</w:t>
      </w:r>
      <w:r>
        <w:rPr>
          <w:i/>
          <w:iCs/>
          <w:spacing w:val="-3"/>
        </w:rPr>
        <w:t xml:space="preserve"> </w:t>
      </w:r>
      <w:r>
        <w:rPr>
          <w:i/>
          <w:iCs/>
        </w:rPr>
        <w:t>scientific and technological knowledge. The IEEE-SA has a portfolio of over 1,250 active standards and over 650 tandards under development. For more information visit http://standards.ieee.org.</w:t>
      </w:r>
    </w:p>
    <w:sectPr>
      <w:headerReference w:type="default" r:id="rId4"/>
      <w:footerReference w:type="default" r:id="rId5"/>
      <w:footnotePr>
        <w:numFmt w:val="decimal"/>
      </w:footnotePr>
      <w:type w:val="nextPage"/>
      <w:pgSz w:w="12240" w:h="15840"/>
      <w:pgMar w:left="1080" w:right="1080" w:gutter="720" w:header="432" w:top="1080" w:footer="432" w:bottom="1080"/>
      <w:pgNumType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Amelia Andersdotter" w:date="2023-01-02T03:59:02Z" w:initials="AA">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en-GB" w:bidi="ar-SA"/>
        </w:rPr>
        <w:t>802.15 will look closer at this description, and we will start working on an annex which lists different industry consortia that work on specific use-cases or platforms based on .15 technologies.</w:t>
      </w:r>
    </w:p>
  </w:comment>
  <w:comment w:id="1" w:author="Amelia Andersdotter" w:date="2023-01-02T03:59:52Z" w:initials="AA">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en-GB" w:bidi="ar-SA"/>
        </w:rPr>
        <w:t>Hassan Yaghoobi will make a proposal for a “hierarchy of sharing”: sharing with incumbents, sharing between technologies and sharing between devices, so underline the different types of spectrum sharing which currently underlie IEEE 802 efforts.</w:t>
      </w:r>
    </w:p>
  </w:comment>
  <w:comment w:id="2" w:author="Amelia Andersdotter" w:date="2023-01-02T04:01:06Z" w:initials="AA">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en-GB" w:bidi="ar-SA"/>
        </w:rPr>
        <w:t>To be considered further.</w:t>
      </w:r>
    </w:p>
  </w:comment>
  <w:comment w:id="3" w:author="Amelia Andersdotter" w:date="2022-07-29T16:55:00Z" w:initials="AA">
    <w:p>
      <w:r>
        <w:rPr>
          <w:rFonts w:ascii="Liberation Serif" w:hAnsi="Liberation Serif" w:eastAsia="DejaVu Sans" w:cs="DejaVu Sans"/>
          <w:sz w:val="20"/>
          <w:szCs w:val="24"/>
          <w:lang w:val="en-US" w:eastAsia="en-GB" w:bidi="en-US"/>
        </w:rPr>
        <w:t>I want this to be “can”: this would express a technological fact rather than a political imperative.</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Liberation Sans">
    <w:altName w:val="Arial"/>
    <w:charset w:val="01"/>
    <w:family w:val="roman"/>
    <w:pitch w:val="variable"/>
  </w:font>
  <w:font w:name="serif">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80" w:leader="none"/>
        <w:tab w:val="right" w:pos="12960" w:leader="none"/>
      </w:tabs>
      <w:rPr/>
    </w:pPr>
    <w:r>
      <w:rPr/>
      <w:t>Submission</w:t>
      <w:tab/>
      <w:t xml:space="preserve">page </w:t>
    </w:r>
    <w:r>
      <w:rPr/>
      <w:fldChar w:fldCharType="begin"/>
    </w:r>
    <w:r>
      <w:rPr/>
      <w:instrText xml:space="preserve"> PAGE </w:instrText>
    </w:r>
    <w:r>
      <w:rPr/>
      <w:fldChar w:fldCharType="separate"/>
    </w:r>
    <w:r>
      <w:rPr/>
      <w:t>5</w:t>
    </w:r>
    <w:r>
      <w:rPr/>
      <w:fldChar w:fldCharType="end"/>
    </w:r>
    <w:r>
      <w:rPr/>
      <w:tab/>
      <w:t>Amelia Andersdotter (Sky Group/Comcast)</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9360" w:leader="none"/>
        <w:tab w:val="right" w:pos="12960" w:leader="none"/>
      </w:tabs>
      <w:rPr/>
    </w:pPr>
    <w:r>
      <w:rPr/>
      <w:t>Submission</w:t>
      <w:tab/>
      <w:t xml:space="preserve">page </w:t>
    </w:r>
    <w:r>
      <w:rPr/>
      <w:fldChar w:fldCharType="begin"/>
    </w:r>
    <w:r>
      <w:rPr/>
      <w:instrText xml:space="preserve"> PAGE </w:instrText>
    </w:r>
    <w:r>
      <w:rPr/>
      <w:fldChar w:fldCharType="separate"/>
    </w:r>
    <w:r>
      <w:rPr/>
      <w:t>6</w:t>
    </w:r>
    <w:r>
      <w:rPr/>
      <w:fldChar w:fldCharType="end"/>
    </w:r>
    <w:r>
      <w:rPr/>
      <w:tab/>
      <w:t>Rich Kennedy (Huawei Paris)</w:t>
    </w:r>
  </w:p>
  <w:p>
    <w:pPr>
      <w:pStyle w:val="Normal"/>
      <w:rPr/>
    </w:pPr>
    <w:r>
      <w:rPr/>
    </w:r>
  </w:p>
  <w:p>
    <w:pPr>
      <w:pStyle w:val="Normal"/>
      <w:rPr/>
    </w:pPr>
    <w:r>
      <w:rPr/>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tab/>
        <w:t xml:space="preserve">Wi-Fi Alliance: Value of Wi-Fi. </w:t>
      </w:r>
      <w:hyperlink r:id="rId1">
        <w:r>
          <w:rPr>
            <w:rStyle w:val="InternetLink"/>
          </w:rPr>
          <w:t>Available online</w:t>
        </w:r>
      </w:hyperlink>
      <w:r>
        <w:rPr/>
        <w:t xml:space="preserve"> [accessed: 12 December 2022]</w:t>
      </w:r>
    </w:p>
  </w:footnote>
  <w:footnote w:id="3">
    <w:p>
      <w:pPr>
        <w:pStyle w:val="Footnote"/>
        <w:rPr/>
      </w:pPr>
      <w:r>
        <w:rPr>
          <w:rStyle w:val="FootnoteCharacters"/>
        </w:rPr>
        <w:footnoteRef/>
      </w:r>
      <w:r>
        <w:rPr/>
        <w:tab/>
        <w:t xml:space="preserve">FiRa Consortium: Unleashing the Potential of UWB: Regulatory considerations, August 2022. </w:t>
      </w:r>
      <w:hyperlink r:id="rId2">
        <w:r>
          <w:rPr>
            <w:rStyle w:val="InternetLink"/>
          </w:rPr>
          <w:t>Available online</w:t>
        </w:r>
      </w:hyperlink>
      <w:r>
        <w:rPr/>
        <w:t xml:space="preserve"> [accessed: 12 December 2022]</w:t>
      </w:r>
    </w:p>
  </w:footnote>
  <w:footnote w:id="4">
    <w:p>
      <w:pPr>
        <w:pStyle w:val="Footnote"/>
        <w:rPr/>
      </w:pPr>
      <w:r>
        <w:rPr>
          <w:rStyle w:val="FootnoteCharacters"/>
        </w:rPr>
        <w:footnoteRef/>
      </w:r>
      <w:r>
        <w:rPr/>
        <w:tab/>
        <w:t>“</w:t>
      </w:r>
      <w:r>
        <w:rPr/>
        <w:t>IEEE Standard for Information Technology - Telecommunications and Information Exchange between Systems Local and Metropolitan Area Networks - Specific Requirements Part 11: Wireless LAN Medium Access Control (MAC) and Physical Layer (PHY) Specifications Amendment 1: Enhancements for High-Efficiency WLAN,” in IEEE Std 802.11ax-2021 (Amendment to IEEE Std 802.11-2020), vol., no., pp.1-767, 19 May 2021, doi: 10.1109/IEEESTD.2021.9442429.</w:t>
      </w:r>
    </w:p>
  </w:footnote>
  <w:footnote w:id="5">
    <w:p>
      <w:pPr>
        <w:pStyle w:val="Footnote"/>
        <w:rPr/>
      </w:pPr>
      <w:r>
        <w:rPr>
          <w:rStyle w:val="FootnoteCharacters"/>
        </w:rPr>
        <w:footnoteRef/>
      </w:r>
      <w:r>
        <w:rPr/>
        <w:tab/>
        <w:t xml:space="preserve">CEPT: Section 6.2.6, ECC Report 302 - Sharing and compatibility studies related to Wireless Access Systems including Radio Local Area Networks (WAS/RLAN) in the frequency band 5925-6425 MHz, May 2019. </w:t>
      </w:r>
      <w:hyperlink r:id="rId3">
        <w:r>
          <w:rPr>
            <w:rStyle w:val="InternetLink"/>
          </w:rPr>
          <w:t>Available online</w:t>
        </w:r>
      </w:hyperlink>
      <w:r>
        <w:rPr/>
        <w:t xml:space="preserve"> [accessed: 12 December 2022]</w:t>
      </w:r>
    </w:p>
  </w:footnote>
  <w:footnote w:id="6">
    <w:p>
      <w:pPr>
        <w:pStyle w:val="Footnote"/>
        <w:rPr/>
      </w:pPr>
      <w:r>
        <w:rPr>
          <w:rStyle w:val="FootnoteCharacters"/>
        </w:rPr>
        <w:footnoteRef/>
      </w:r>
      <w:r>
        <w:rPr/>
        <w:tab/>
        <w:t>“</w:t>
      </w:r>
      <w:r>
        <w:rPr/>
        <w:t>IEEE Standard for Low-Rate Wireless Networks--Amendment 1: Enhanced Ultra Wideband (UWB) Physical Layers (PHYs) and Associated Ranging Techniques,” in IEEE Std 802.15.4z-2020 (Amendment to IEEE Std 802.15.4-2020), vol., no., pp.1-174, 25 Aug. 2020, doi: 10.1109/IEEESTD.2020.9179124.</w:t>
      </w:r>
    </w:p>
  </w:footnote>
  <w:footnote w:id="7">
    <w:p>
      <w:pPr>
        <w:pStyle w:val="Footnote"/>
        <w:rPr/>
      </w:pPr>
      <w:r>
        <w:rPr>
          <w:rStyle w:val="FootnoteCharacters"/>
        </w:rPr>
        <w:footnoteRef/>
      </w:r>
      <w:r>
        <w:rPr/>
        <w:tab/>
        <w:t>“</w:t>
      </w:r>
      <w:r>
        <w:rPr/>
        <w:t>IEEE Standard for Local and metropolitan area networks - Part 15.6: Wireless Body Area Networks,” in IEEE Std 802.15.6-2012, vol., no., pp.1-271, 29 Feb. 2012, doi:10.1109/IEEESTD.2012.6161600.</w:t>
      </w:r>
    </w:p>
  </w:footnote>
  <w:footnote w:id="8">
    <w:p>
      <w:pPr>
        <w:pStyle w:val="Footnote"/>
        <w:rPr/>
      </w:pPr>
      <w:r>
        <w:rPr>
          <w:rStyle w:val="FootnoteCharacters"/>
        </w:rPr>
        <w:footnoteRef/>
      </w:r>
      <w:r>
        <w:rPr/>
        <w:tab/>
        <w:t>"IEEE Recommended Practice for Local and Metropolitan Area Networks--Part 19: Coexistence Methods for IEEE 802.11 and IEEE 802.15.4 Based Systems Operating in the Sub-1 GHz Frequency Bands," in IEEE Std 802.19.3-2021 , vol., no., pp.1-79, 26 April 2021, doi: 10.1109/IEEESTD.2021.9416944.</w:t>
      </w:r>
    </w:p>
  </w:footnote>
  <w:footnote w:id="9">
    <w:p>
      <w:pPr>
        <w:pStyle w:val="Footnote"/>
        <w:rPr/>
      </w:pPr>
      <w:r>
        <w:rPr>
          <w:rStyle w:val="FootnoteCharacters"/>
        </w:rPr>
        <w:footnoteRef/>
      </w:r>
      <w:r>
        <w:rPr/>
        <w:tab/>
        <w:t xml:space="preserve">Proceedings from Automotive Study Group in IEEE 802.19. </w:t>
      </w:r>
      <w:hyperlink r:id="rId4">
        <w:r>
          <w:rPr>
            <w:rStyle w:val="InternetLink"/>
          </w:rPr>
          <w:t>Available online</w:t>
        </w:r>
      </w:hyperlink>
      <w:r>
        <w:rPr/>
        <w:t xml:space="preserve"> [accessed: 2022-12-16]</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t>Jan 2023</w:t>
      <w:tab/>
      <w:t>doc.: IEEE 802.18-22/0087r</w:t>
    </w:r>
    <w:r>
      <w:rPr/>
      <w:t>5</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360" w:leader="none"/>
        <w:tab w:val="right" w:pos="12960" w:leader="none"/>
      </w:tabs>
      <w:rPr/>
    </w:pPr>
    <w:r>
      <w:rPr/>
      <w:fldChar w:fldCharType="begin"/>
    </w:r>
    <w:r>
      <w:rPr/>
      <w:instrText xml:space="preserve"> KEYWORDS </w:instrText>
    </w:r>
    <w:r>
      <w:rPr/>
      <w:fldChar w:fldCharType="separate"/>
    </w:r>
    <w:r>
      <w:rPr/>
      <w:t>July, July, July, 2022</w:t>
    </w:r>
    <w:r>
      <w:rPr/>
      <w:fldChar w:fldCharType="end"/>
    </w:r>
    <w:r>
      <w:rPr/>
      <w:tab/>
      <w:tab/>
    </w:r>
    <w:r>
      <w:rPr/>
      <w:fldChar w:fldCharType="begin"/>
    </w:r>
    <w:r>
      <w:rPr/>
      <w:instrText xml:space="preserve"> TITLE </w:instrText>
    </w:r>
    <w:r>
      <w:rPr/>
      <w:fldChar w:fldCharType="separate"/>
    </w:r>
    <w:r>
      <w:rPr/>
      <w:t>22/0074r0</w:t>
    </w:r>
    <w:r>
      <w:rPr/>
      <w:fldChar w:fldCharType="end"/>
    </w:r>
  </w:p>
</w:hdr>
</file>

<file path=word/settings.xml><?xml version="1.0" encoding="utf-8"?>
<w:settings xmlns:w="http://schemas.openxmlformats.org/wordprocessingml/2006/main">
  <w:zoom w:percent="150"/>
  <w:mirrorMargins/>
  <w:defaultTabStop w:val="720"/>
  <w:autoHyphenation w:val="true"/>
  <w:doNotHyphenateCaps/>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qFormat/>
    <w:rPr>
      <w:color w:val="0000FF"/>
      <w:u w:val="single"/>
    </w:rPr>
  </w:style>
  <w:style w:type="character" w:styleId="BodyTextChar" w:customStyle="1">
    <w:name w:val="Body Text Char"/>
    <w:basedOn w:val="DefaultParagraphFont"/>
    <w:qFormat/>
    <w:rsid w:val="00eb59de"/>
    <w:rPr>
      <w:sz w:val="22"/>
      <w:lang w:eastAsia="en-US"/>
    </w:rPr>
  </w:style>
  <w:style w:type="character" w:styleId="TitleChar" w:customStyle="1">
    <w:name w:val="Title Char"/>
    <w:basedOn w:val="DefaultParagraphFont"/>
    <w:link w:val="Title"/>
    <w:uiPriority w:val="1"/>
    <w:qFormat/>
    <w:rsid w:val="00eb59de"/>
    <w:rPr>
      <w:rFonts w:ascii="Calibri" w:hAnsi="Calibri" w:eastAsia="宋体" w:cs="Calibri" w:eastAsiaTheme="minorEastAsia"/>
      <w:b/>
      <w:bCs/>
      <w:sz w:val="44"/>
      <w:szCs w:val="44"/>
      <w:lang w:val="en-US" w:eastAsia="zh-CN"/>
    </w:rPr>
  </w:style>
  <w:style w:type="character" w:styleId="UnresolvedMention">
    <w:name w:val="Unresolved Mention"/>
    <w:basedOn w:val="DefaultParagraphFont"/>
    <w:uiPriority w:val="99"/>
    <w:semiHidden/>
    <w:unhideWhenUsed/>
    <w:qFormat/>
    <w:rsid w:val="008e0678"/>
    <w:rPr>
      <w:color w:val="605E5C"/>
      <w:shd w:fill="E1DFDD" w:val="clear"/>
    </w:rPr>
  </w:style>
  <w:style w:type="character" w:styleId="Radnumrering" w:customStyle="1">
    <w:name w:val="Radnumrering"/>
    <w:qFormat/>
    <w:rPr/>
  </w:style>
  <w:style w:type="character" w:styleId="LineNumbering" w:customStyle="1">
    <w:name w:val="Line Numbering"/>
    <w:rPr/>
  </w:style>
  <w:style w:type="character" w:styleId="FootnoteCharacters" w:customStyle="1">
    <w:name w:val="Footnote Characters"/>
    <w:qFormat/>
    <w:rPr/>
  </w:style>
  <w:style w:type="character" w:styleId="FootnoteAnchor" w:customStyle="1">
    <w:name w:val="Footnote Anchor"/>
    <w:rPr>
      <w:vertAlign w:val="superscript"/>
    </w:rPr>
  </w:style>
  <w:style w:type="character" w:styleId="InternetLink">
    <w:name w:val="Hyperlink"/>
    <w:rPr>
      <w:color w:val="000080"/>
      <w:u w:val="single"/>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CommentTextChar" w:customStyle="1">
    <w:name w:val="Comment Text Char"/>
    <w:basedOn w:val="DefaultParagraphFont"/>
    <w:link w:val="Annotationtext"/>
    <w:qFormat/>
    <w:rPr>
      <w:lang w:eastAsia="en-US"/>
    </w:rPr>
  </w:style>
  <w:style w:type="character" w:styleId="Annotationreference">
    <w:name w:val="annotation reference"/>
    <w:basedOn w:val="DefaultParagraphFont"/>
    <w:qFormat/>
    <w:rPr>
      <w:sz w:val="16"/>
      <w:szCs w:val="16"/>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rsid w:val="00eb59de"/>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Rubrik" w:customStyle="1">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customStyle="1">
    <w:name w:val="Förteckning"/>
    <w:basedOn w:val="Normal"/>
    <w:qFormat/>
    <w:pPr>
      <w:suppressLineNumbers/>
    </w:pPr>
    <w:rPr>
      <w:rFonts w:cs="Noto Sans Devanagari"/>
    </w:rPr>
  </w:style>
  <w:style w:type="paragraph" w:styleId="Sidhuvudochsidfot" w:customStyle="1">
    <w:name w:val="Sidhuvud och sidfot"/>
    <w:basedOn w:val="Normal"/>
    <w:qFormat/>
    <w:pPr/>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ListParagraph">
    <w:name w:val="List Paragraph"/>
    <w:basedOn w:val="Normal"/>
    <w:uiPriority w:val="34"/>
    <w:qFormat/>
    <w:rsid w:val="000c752d"/>
    <w:pPr>
      <w:overflowPunct w:val="true"/>
      <w:spacing w:before="0" w:after="0"/>
      <w:ind w:left="720" w:hanging="0"/>
      <w:contextualSpacing/>
      <w:textAlignment w:val="baseline"/>
    </w:pPr>
    <w:rPr>
      <w:sz w:val="20"/>
    </w:rPr>
  </w:style>
  <w:style w:type="paragraph" w:styleId="Title">
    <w:name w:val="Title"/>
    <w:basedOn w:val="Normal"/>
    <w:next w:val="Normal"/>
    <w:link w:val="TitleChar"/>
    <w:uiPriority w:val="1"/>
    <w:qFormat/>
    <w:rsid w:val="00eb59de"/>
    <w:pPr>
      <w:widowControl w:val="false"/>
      <w:ind w:left="811" w:right="251" w:hanging="0"/>
      <w:jc w:val="center"/>
    </w:pPr>
    <w:rPr>
      <w:rFonts w:ascii="Calibri" w:hAnsi="Calibri" w:eastAsia="宋体" w:cs="Calibri" w:eastAsiaTheme="minorEastAsia"/>
      <w:b/>
      <w:bCs/>
      <w:sz w:val="44"/>
      <w:szCs w:val="44"/>
      <w:lang w:val="en-US" w:eastAsia="zh-CN"/>
    </w:rPr>
  </w:style>
  <w:style w:type="paragraph" w:styleId="Revision">
    <w:name w:val="Revision"/>
    <w:uiPriority w:val="99"/>
    <w:semiHidden/>
    <w:qFormat/>
    <w:rsid w:val="003627ee"/>
    <w:pPr>
      <w:widowControl/>
      <w:suppressAutoHyphens w:val="true"/>
      <w:bidi w:val="0"/>
      <w:spacing w:before="0" w:after="0"/>
      <w:jc w:val="left"/>
    </w:pPr>
    <w:rPr>
      <w:rFonts w:ascii="Times New Roman" w:hAnsi="Times New Roman" w:eastAsia="Times New Roman" w:cs="Times New Roman"/>
      <w:color w:val="auto"/>
      <w:kern w:val="0"/>
      <w:sz w:val="22"/>
      <w:szCs w:val="20"/>
      <w:lang w:val="en-GB" w:eastAsia="en-US" w:bidi="ar-SA"/>
    </w:rPr>
  </w:style>
  <w:style w:type="paragraph" w:styleId="Raminnehll" w:customStyle="1">
    <w:name w:val="Raminnehåll"/>
    <w:basedOn w:val="Normal"/>
    <w:qFormat/>
    <w:pPr/>
    <w:rPr/>
  </w:style>
  <w:style w:type="paragraph" w:styleId="FrameContents" w:customStyle="1">
    <w:name w:val="Frame Contents"/>
    <w:basedOn w:val="Normal"/>
    <w:qFormat/>
    <w:pPr/>
    <w:rPr/>
  </w:style>
  <w:style w:type="paragraph" w:styleId="Footnote">
    <w:name w:val="Footnote Text"/>
    <w:basedOn w:val="Normal"/>
    <w:pPr>
      <w:suppressLineNumbers/>
      <w:ind w:left="340" w:hanging="340"/>
    </w:pPr>
    <w:rPr>
      <w:sz w:val="20"/>
    </w:rPr>
  </w:style>
  <w:style w:type="paragraph" w:styleId="Annotationtext">
    <w:name w:val="annotation text"/>
    <w:basedOn w:val="Normal"/>
    <w:link w:val="CommentTextChar"/>
    <w:qFormat/>
    <w:pPr/>
    <w:rPr>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a8341f"/>
    <w:rPr>
      <w:rFonts w:asciiTheme="minorHAnsi" w:hAnsiTheme="minorHAnsi" w:eastAsiaTheme="minorEastAsia" w:cstheme="minorBidi"/>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comments" Target="comments.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wi-fi.org/discover-wi-fi/value-of-wi-fi" TargetMode="External"/><Relationship Id="rId2" Type="http://schemas.openxmlformats.org/officeDocument/2006/relationships/hyperlink" Target="https://www.firaconsortium.org/sites/default/files/2022-08/Unleashing-the-Potential-of-UWB-Regulatory-Considerations.pdf" TargetMode="External"/><Relationship Id="rId3" Type="http://schemas.openxmlformats.org/officeDocument/2006/relationships/hyperlink" Target="https://docdb.cept.org/document/10170" TargetMode="External"/><Relationship Id="rId4" Type="http://schemas.openxmlformats.org/officeDocument/2006/relationships/hyperlink" Target="https://mentor.ieee.org/802.19/documents?is_group=Aut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320E8-146B-4A88-BC7F-CF6B0AA4B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LibreOffice/7.3.7.2$Linux_X86_64 LibreOffice_project/30$Build-2</Application>
  <AppVersion>15.0000</AppVersion>
  <Pages>6</Pages>
  <Words>1911</Words>
  <Characters>11804</Characters>
  <CharactersWithSpaces>13673</CharactersWithSpaces>
  <Paragraphs>71</Paragraphs>
  <Company>HP Enterprise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2022-12-27T00:08:00Z</dcterms:created>
  <dc:creator>Rich Kennedy</dc:creator>
  <dc:description>Draft IEEE Standards Association (SA) position statement on Intelligent Spectrum Allocation and Management</dc:description>
  <cp:keywords>July July July 2022</cp:keywords>
  <dc:language>sv-SE</dc:language>
  <cp:lastModifiedBy>Amelia Andersdotter</cp:lastModifiedBy>
  <cp:lastPrinted>2021-04-22T15:28:00Z</cp:lastPrinted>
  <dcterms:modified xsi:type="dcterms:W3CDTF">2023-01-09T10:47:24Z</dcterms:modified>
  <cp:revision>7</cp:revision>
  <dc:subject>Liaison</dc:subject>
  <dc:title>22/0074r0</dc:title>
</cp:coreProperties>
</file>

<file path=docProps/custom.xml><?xml version="1.0" encoding="utf-8"?>
<Properties xmlns="http://schemas.openxmlformats.org/officeDocument/2006/custom-properties" xmlns:vt="http://schemas.openxmlformats.org/officeDocument/2006/docPropsVTypes"/>
</file>