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r>
      <w:bookmarkStart w:id="0" w:name="_GoBack"/>
      <w:bookmarkEnd w:id="0"/>
      <w:r>
        <w:rPr/>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332"/>
        <w:gridCol w:w="2068"/>
        <w:gridCol w:w="2810"/>
        <w:gridCol w:w="1717"/>
        <w:gridCol w:w="1649"/>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Proposed Response to EC Consultation on Better Regulation Initiative</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2022-07-</w:t>
            </w:r>
            <w:r>
              <w:rPr>
                <w:b w:val="false"/>
                <w:sz w:val="20"/>
              </w:rPr>
              <w:t>20</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Sky</w:t>
            </w:r>
            <w:r>
              <w:rPr>
                <w:b w:val="false"/>
                <w:sz w:val="20"/>
              </w:rPr>
              <w:t xml:space="preserve"> </w:t>
            </w:r>
            <w:r>
              <w:rPr>
                <w:b w:val="false"/>
                <w:sz w:val="20"/>
              </w:rPr>
              <w:t>Group</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16"/>
              </w:rPr>
            </w:pPr>
            <w:hyperlink r:id="rId2">
              <w:r>
                <w:rPr>
                  <w:rStyle w:val="Internetlnk"/>
                  <w:b w:val="false"/>
                  <w:sz w:val="16"/>
                </w:rPr>
                <w:t>amelia.ieee@andersdotter.cc</w:t>
              </w:r>
            </w:hyperlink>
          </w:p>
        </w:tc>
      </w:tr>
      <w:tr>
        <w:trPr/>
        <w:tc>
          <w:tcPr>
            <w:tcW w:w="133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206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71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64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16"/>
              </w:rPr>
            </w:pPr>
            <w:hyperlink r:id="rId3">
              <w:r>
                <w:rPr/>
              </w:r>
            </w:hyperlink>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1F95B33F">
                <wp:simplePos x="0" y="0"/>
                <wp:positionH relativeFrom="column">
                  <wp:posOffset>-62865</wp:posOffset>
                </wp:positionH>
                <wp:positionV relativeFrom="paragraph">
                  <wp:posOffset>205740</wp:posOffset>
                </wp:positionV>
                <wp:extent cx="5946140" cy="2847340"/>
                <wp:effectExtent l="0" t="0" r="0" b="0"/>
                <wp:wrapNone/>
                <wp:docPr id="1" name="Ram1"/>
                <a:graphic xmlns:a="http://schemas.openxmlformats.org/drawingml/2006/main">
                  <a:graphicData uri="http://schemas.microsoft.com/office/word/2010/wordprocessingShape">
                    <wps:wsp>
                      <wps:cNvSpPr/>
                      <wps:spPr>
                        <a:xfrm>
                          <a:off x="0" y="0"/>
                          <a:ext cx="5945400" cy="2846880"/>
                        </a:xfrm>
                        <a:prstGeom prst="rect">
                          <a:avLst/>
                        </a:prstGeom>
                        <a:solidFill>
                          <a:srgbClr val="ffffff"/>
                        </a:solidFill>
                        <a:ln w="0">
                          <a:noFill/>
                        </a:ln>
                      </wps:spPr>
                      <wps:style>
                        <a:lnRef idx="0"/>
                        <a:fillRef idx="0"/>
                        <a:effectRef idx="0"/>
                        <a:fontRef idx="minor"/>
                      </wps:style>
                      <wps:txbx>
                        <w:txbxContent>
                          <w:p>
                            <w:pPr>
                              <w:pStyle w:val="Raminnehll"/>
                              <w:jc w:val="both"/>
                              <w:rPr>
                                <w:color w:val="000000"/>
                              </w:rPr>
                            </w:pPr>
                            <w:r>
                              <w:rPr>
                                <w:color w:val="000000"/>
                              </w:rPr>
                              <w:t>This contribution proposed a response to EU call for contribution on EU position on World Radiocommunication Conference 2023.</w:t>
                            </w:r>
                          </w:p>
                          <w:p>
                            <w:pPr>
                              <w:pStyle w:val="Raminnehll"/>
                              <w:jc w:val="both"/>
                              <w:rPr>
                                <w:color w:val="000000"/>
                              </w:rPr>
                            </w:pPr>
                            <w:r>
                              <w:rPr>
                                <w:color w:val="000000"/>
                              </w:rPr>
                            </w:r>
                          </w:p>
                          <w:p>
                            <w:pPr>
                              <w:pStyle w:val="Raminnehll"/>
                              <w:jc w:val="both"/>
                              <w:rPr>
                                <w:color w:val="000000"/>
                              </w:rPr>
                            </w:pPr>
                            <w:r>
                              <w:rPr>
                                <w:color w:val="000000"/>
                              </w:rPr>
                              <w:t>r1: editorial corrections in fifth paragraph.</w:t>
                            </w:r>
                          </w:p>
                        </w:txbxContent>
                      </wps:txbx>
                      <wps:bodyPr anchor="t">
                        <a:noAutofit/>
                      </wps:bodyPr>
                    </wps:wsp>
                  </a:graphicData>
                </a:graphic>
              </wp:anchor>
            </w:drawing>
          </mc:Choice>
          <mc:Fallback>
            <w:pict>
              <v:rect id="shape_0" ID="Ram1" path="m0,0l-2147483645,0l-2147483645,-2147483646l0,-2147483646xe" fillcolor="white" stroked="f" o:allowincell="f" style="position:absolute;margin-left:-4.95pt;margin-top:16.2pt;width:468.1pt;height:224.1pt;mso-wrap-style:square;v-text-anchor:top" wp14:anchorId="1F95B33F">
                <v:fill o:detectmouseclick="t" type="solid" color2="black"/>
                <v:stroke color="#3465a4" joinstyle="round" endcap="flat"/>
                <v:textbox>
                  <w:txbxContent>
                    <w:p>
                      <w:pPr>
                        <w:pStyle w:val="Raminnehll"/>
                        <w:jc w:val="both"/>
                        <w:rPr>
                          <w:color w:val="000000"/>
                        </w:rPr>
                      </w:pPr>
                      <w:r>
                        <w:rPr>
                          <w:color w:val="000000"/>
                        </w:rPr>
                        <w:t>This contribution proposed a response to EU call for contribution on EU position on World Radiocommunication Conference 2023.</w:t>
                      </w:r>
                    </w:p>
                    <w:p>
                      <w:pPr>
                        <w:pStyle w:val="Raminnehll"/>
                        <w:jc w:val="both"/>
                        <w:rPr>
                          <w:color w:val="000000"/>
                        </w:rPr>
                      </w:pPr>
                      <w:r>
                        <w:rPr>
                          <w:color w:val="000000"/>
                        </w:rPr>
                      </w:r>
                    </w:p>
                    <w:p>
                      <w:pPr>
                        <w:pStyle w:val="Raminnehll"/>
                        <w:jc w:val="both"/>
                        <w:rPr>
                          <w:color w:val="000000"/>
                        </w:rPr>
                      </w:pPr>
                      <w:r>
                        <w:rPr>
                          <w:color w:val="000000"/>
                        </w:rPr>
                        <w:t>r1: editorial corrections in fifth paragraph.</w:t>
                      </w:r>
                    </w:p>
                  </w:txbxContent>
                </v:textbox>
                <w10:wrap type="none"/>
              </v:rect>
            </w:pict>
          </mc:Fallback>
        </mc:AlternateContent>
      </w:r>
    </w:p>
    <w:p>
      <w:pPr>
        <w:pStyle w:val="Normal"/>
        <w:rPr>
          <w:sz w:val="24"/>
          <w:szCs w:val="24"/>
        </w:rPr>
      </w:pPr>
      <w:r>
        <w:rPr>
          <w:sz w:val="24"/>
          <w:szCs w:val="24"/>
        </w:rPr>
        <mc:AlternateContent>
          <mc:Choice Requires="wps">
            <w:drawing>
              <wp:anchor behindDoc="0" distT="0" distB="0" distL="0" distR="0" simplePos="0" locked="0" layoutInCell="0" allowOverlap="1" relativeHeight="4" wp14:anchorId="1D2DDDEE">
                <wp:simplePos x="0" y="0"/>
                <wp:positionH relativeFrom="page">
                  <wp:posOffset>1118235</wp:posOffset>
                </wp:positionH>
                <wp:positionV relativeFrom="page">
                  <wp:posOffset>8733155</wp:posOffset>
                </wp:positionV>
                <wp:extent cx="6060440" cy="574675"/>
                <wp:effectExtent l="0" t="0" r="0" b="0"/>
                <wp:wrapNone/>
                <wp:docPr id="3" name="Ram 2"/>
                <a:graphic xmlns:a="http://schemas.openxmlformats.org/drawingml/2006/main">
                  <a:graphicData uri="http://schemas.microsoft.com/office/word/2010/wordprocessingShape">
                    <wps:wsp>
                      <wps:cNvSpPr/>
                      <wps:spPr>
                        <a:xfrm>
                          <a:off x="0" y="0"/>
                          <a:ext cx="6059880" cy="574200"/>
                        </a:xfrm>
                        <a:prstGeom prst="rect">
                          <a:avLst/>
                        </a:prstGeom>
                        <a:solidFill>
                          <a:srgbClr val="ffffff"/>
                        </a:solidFill>
                        <a:ln w="635">
                          <a:solidFill>
                            <a:srgbClr val="000000"/>
                          </a:solidFill>
                          <a:round/>
                        </a:ln>
                      </wps:spPr>
                      <wps:style>
                        <a:lnRef idx="0"/>
                        <a:fillRef idx="0"/>
                        <a:effectRef idx="0"/>
                        <a:fontRef idx="minor"/>
                      </wps:style>
                      <wps:txb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wps:txbx>
                      <wps:bodyPr anchor="t">
                        <a:noAutofit/>
                      </wps:bodyPr>
                    </wps:wsp>
                  </a:graphicData>
                </a:graphic>
              </wp:anchor>
            </w:drawing>
          </mc:Choice>
          <mc:Fallback>
            <w:pict>
              <v:rect id="shape_0" ID="Ram 2" path="m0,0l-2147483645,0l-2147483645,-2147483646l0,-2147483646xe" fillcolor="white" stroked="t" o:allowincell="f" style="position:absolute;margin-left:88.05pt;margin-top:687.65pt;width:477.1pt;height:45.15pt;mso-wrap-style:square;v-text-anchor:top;mso-position-horizontal-relative:page;mso-position-vertical-relative:page" wp14:anchorId="1D2DDDEE">
                <v:fill o:detectmouseclick="t" type="solid" color2="black"/>
                <v:stroke color="black" weight="720" joinstyle="round" endcap="flat"/>
                <v:textbox>
                  <w:txbxContent>
                    <w:p>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Raminnehll"/>
                        <w:jc w:val="both"/>
                        <w:rPr>
                          <w:rFonts w:ascii="Arial Unicode MS" w:hAnsi="Arial Unicode MS" w:eastAsia="Arial Unicode MS"/>
                          <w:color w:val="000000"/>
                          <w:sz w:val="18"/>
                        </w:rPr>
                      </w:pPr>
                      <w:r>
                        <w:rPr/>
                      </w:r>
                    </w:p>
                  </w:txbxContent>
                </v:textbox>
                <w10:wrap type="none"/>
              </v:rect>
            </w:pict>
          </mc:Fallback>
        </mc:AlternateContent>
      </w:r>
      <w:r>
        <w:br w:type="page"/>
      </w:r>
    </w:p>
    <w:p>
      <w:pPr>
        <w:pStyle w:val="Normal"/>
        <w:rPr/>
      </w:pPr>
      <w:r>
        <w:rPr/>
      </w:r>
    </w:p>
    <w:p>
      <w:pPr>
        <w:pStyle w:val="Normal"/>
        <w:rPr>
          <w:sz w:val="24"/>
          <w:szCs w:val="24"/>
        </w:rPr>
      </w:pPr>
      <w:r>
        <w:rPr/>
        <w:t xml:space="preserve">Electronic Filing </w:t>
        <w:tab/>
        <w:tab/>
        <w:tab/>
        <w:tab/>
        <w:tab/>
        <w:tab/>
        <w:tab/>
        <w:tab/>
        <w:tab/>
      </w:r>
      <w:r>
        <w:rPr>
          <w:sz w:val="24"/>
          <w:szCs w:val="24"/>
        </w:rPr>
        <w:t>July 26, 2022</w:t>
      </w:r>
    </w:p>
    <w:p>
      <w:pPr>
        <w:pStyle w:val="Normal"/>
        <w:rPr>
          <w:color w:val="000000"/>
          <w:sz w:val="24"/>
          <w:szCs w:val="24"/>
        </w:rPr>
      </w:pPr>
      <w:r>
        <w:rPr>
          <w:color w:val="000000"/>
          <w:sz w:val="24"/>
          <w:szCs w:val="24"/>
        </w:rPr>
      </w:r>
    </w:p>
    <w:p>
      <w:pPr>
        <w:pStyle w:val="PlainText"/>
        <w:rPr>
          <w:rFonts w:ascii="Times New Roman" w:hAnsi="Times New Roman"/>
          <w:b/>
          <w:b/>
          <w:bCs/>
        </w:rPr>
      </w:pPr>
      <w:r>
        <w:rPr>
          <w:rFonts w:ascii="Times New Roman" w:hAnsi="Times New Roman"/>
          <w:b/>
          <w:bCs/>
        </w:rPr>
        <w:t>Dear European Commission,</w:t>
      </w:r>
    </w:p>
    <w:p>
      <w:pPr>
        <w:pStyle w:val="PlainText"/>
        <w:rPr/>
      </w:pPr>
      <w:r>
        <w:rPr/>
      </w:r>
    </w:p>
    <w:p>
      <w:pPr>
        <w:pStyle w:val="Normal"/>
        <w:jc w:val="both"/>
        <w:rPr/>
      </w:pPr>
      <w:r>
        <w:rPr/>
        <w:t xml:space="preserve">This response is provided in regards to the </w:t>
      </w:r>
      <w:r>
        <w:rPr/>
        <w:t>Radio Spectrum Policy Group (RSGP) consultation on its draft  "Opinion on the ITU-R World Radiocommunication Conference 2023"</w:t>
      </w:r>
      <w:r>
        <w:rPr/>
        <w:t>[1].</w:t>
      </w:r>
    </w:p>
    <w:p>
      <w:pPr>
        <w:pStyle w:val="Normal"/>
        <w:jc w:val="both"/>
        <w:rPr/>
      </w:pPr>
      <w:r>
        <w:rPr/>
      </w:r>
    </w:p>
    <w:p>
      <w:pPr>
        <w:pStyle w:val="Normal"/>
        <w:jc w:val="both"/>
        <w:rPr/>
      </w:pPr>
      <w:r>
        <w:rPr/>
        <w:t xml:space="preserve">IEEE 802 LAN/MAN Standards Committee (LMSC) is thankful for the opportunity to express its views on the </w:t>
      </w:r>
      <w:r>
        <w:rPr/>
        <w:t xml:space="preserve">RSPG's draft. </w:t>
      </w:r>
      <w:r>
        <w:rPr/>
        <w:t xml:space="preserve"> </w:t>
      </w:r>
    </w:p>
    <w:p>
      <w:pPr>
        <w:pStyle w:val="Normal"/>
        <w:jc w:val="both"/>
        <w:rPr/>
      </w:pPr>
      <w:r>
        <w:rPr/>
      </w:r>
    </w:p>
    <w:p>
      <w:pPr>
        <w:pStyle w:val="Normal"/>
        <w:jc w:val="both"/>
        <w:rPr/>
      </w:pPr>
      <w:r>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pPr>
        <w:pStyle w:val="Normal"/>
        <w:jc w:val="both"/>
        <w:rPr/>
      </w:pPr>
      <w:r>
        <w:rPr/>
      </w:r>
    </w:p>
    <w:p>
      <w:pPr>
        <w:pStyle w:val="Normal"/>
        <w:jc w:val="both"/>
        <w:rPr/>
      </w:pPr>
      <w:r>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p>
    <w:p>
      <w:pPr>
        <w:pStyle w:val="Normal"/>
        <w:jc w:val="both"/>
        <w:rPr/>
      </w:pPr>
      <w:r>
        <w:rPr/>
      </w:r>
    </w:p>
    <w:p>
      <w:pPr>
        <w:pStyle w:val="Normal"/>
        <w:jc w:val="both"/>
        <w:rPr/>
      </w:pPr>
      <w:r>
        <w:rPr/>
        <w:t xml:space="preserve">In the past ten years, the IEEE 802 LMSC has overseen the development of standards (including </w:t>
      </w:r>
      <w:bookmarkStart w:id="1" w:name="move108858579"/>
      <w:r>
        <w:rPr/>
        <w:t>both IEEE Std. 802.11ac-2014 and IEEE Std. 802.11ax-2021</w:t>
      </w:r>
      <w:bookmarkEnd w:id="1"/>
      <w:r>
        <w:rPr/>
        <w:t xml:space="preserve">) that operate in license-exempt bands and are capable of providing gigabit throughput, i.e., provide physical layer throughput over 1 Gb/s. These technologies have become an integral part of European citizens' lives, providing the basis of "the 5 GHz network". Next-generation technologies </w:t>
      </w:r>
      <w:r>
        <w:rPr/>
        <w:t xml:space="preserve">will </w:t>
      </w:r>
      <w:r>
        <w:rPr/>
        <w:t>utiliz</w:t>
      </w:r>
      <w:r>
        <w:rPr/>
        <w:t>e</w:t>
      </w:r>
      <w:r>
        <w:rPr/>
        <w:t xml:space="preserve"> both 5 GHz and 6 GHz bands to satisfy new requirements in internet of things or lower latency and jitter requirements for applications such as home video, video conferencing or video gaming</w:t>
      </w:r>
      <w:r>
        <w:rPr/>
        <w:t>. Further improvements</w:t>
      </w:r>
      <w:r>
        <w:rPr/>
        <w:t xml:space="preserve"> continue to be </w:t>
      </w:r>
      <w:r>
        <w:rPr/>
        <w:t>made to</w:t>
      </w:r>
      <w:r>
        <w:rPr/>
        <w:t xml:space="preserve"> our hundreds of standards development contributors. </w:t>
      </w:r>
    </w:p>
    <w:p>
      <w:pPr>
        <w:pStyle w:val="Normal"/>
        <w:jc w:val="both"/>
        <w:rPr/>
      </w:pPr>
      <w:r>
        <w:rPr/>
      </w:r>
    </w:p>
    <w:p>
      <w:pPr>
        <w:pStyle w:val="Normal"/>
        <w:jc w:val="both"/>
        <w:rPr/>
      </w:pPr>
      <w:r>
        <w:rPr/>
        <w:t>In light of the important role IEEE 802 technologies play in European network eco-systems</w:t>
      </w:r>
      <w:r>
        <w:rPr/>
        <w:t>,</w:t>
      </w:r>
      <w:r>
        <w:rPr/>
        <w:t xml:space="preserve">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4">
        <w:r>
          <w:rPr/>
          <w:t>2030 Digital Compass: the European way for the Digital Decade</w:t>
        </w:r>
      </w:hyperlink>
      <w:r>
        <w:rPr/>
        <w:t xml:space="preserve">” [2].  </w:t>
      </w:r>
      <w:r>
        <w:rPr/>
        <w:t>T</w:t>
      </w:r>
      <w:r>
        <w:rPr/>
        <w:t>he European digital transition will critically depend on opportunities for European industries and consumers to benefit from emerging technologies like high-precision positioning, object sensing, and many others already under development in IEEE 802.</w:t>
      </w:r>
    </w:p>
    <w:p>
      <w:pPr>
        <w:pStyle w:val="Normal"/>
        <w:jc w:val="both"/>
        <w:rPr/>
      </w:pPr>
      <w:r>
        <w:rPr/>
      </w:r>
    </w:p>
    <w:p>
      <w:pPr>
        <w:pStyle w:val="Normal"/>
        <w:jc w:val="both"/>
        <w:rPr/>
      </w:pPr>
      <w:r>
        <w:rPr/>
        <w:t xml:space="preserve">IEEE 802 respectfully urges the </w:t>
      </w:r>
      <w:r>
        <w:rPr/>
        <w:t>RSPG</w:t>
      </w:r>
      <w:r>
        <w:rPr/>
        <w:t xml:space="preserve"> to recognize the importance of WAS/RLAN in present member states with the option of not assigning the 6 GHz bands to IMT during WRC-23. </w:t>
      </w:r>
      <w:r>
        <w:rPr/>
        <w:t>Leaving the bands unassigned for now</w:t>
      </w:r>
      <w:r>
        <w:rPr/>
        <w:t xml:space="preserve"> still leave flexibility to later consider the band for licensed 5G use, </w:t>
      </w:r>
      <w:r>
        <w:rPr/>
        <w:t xml:space="preserve">should this be deemed necesssary. Indeed, </w:t>
      </w:r>
      <w:r>
        <w:rPr/>
        <w:t>Europe</w:t>
      </w:r>
      <w:r>
        <w:rPr/>
        <w:t>an countries</w:t>
      </w:r>
      <w:r>
        <w:rPr/>
        <w:t xml:space="preserve"> ha</w:t>
      </w:r>
      <w:r>
        <w:rPr/>
        <w:t>ve already</w:t>
      </w:r>
      <w:r>
        <w:rPr/>
        <w:t xml:space="preserve"> done</w:t>
      </w:r>
      <w:r>
        <w:rPr/>
        <w:t xml:space="preserve"> this</w:t>
      </w:r>
      <w:r>
        <w:rPr/>
        <w:t xml:space="preserve"> for many years in the 3.4-3.8 GHz band, since an IMT identification </w:t>
      </w:r>
      <w:r>
        <w:rPr/>
        <w:t>was</w:t>
      </w:r>
      <w:r>
        <w:rPr/>
        <w:t xml:space="preserve"> not </w:t>
      </w:r>
      <w:r>
        <w:rPr/>
        <w:t>made for Region 1 in these bands</w:t>
      </w:r>
      <w:r>
        <w:rPr/>
        <w:t>. An IMT identification on the contrary would pre-determine the future use of the band to be presumed licensed, as was the case for the many other bands that have been identified for IMT in the last 20 years.</w:t>
      </w:r>
    </w:p>
    <w:p>
      <w:pPr>
        <w:pStyle w:val="Normal"/>
        <w:rPr>
          <w:b/>
          <w:b/>
          <w:sz w:val="24"/>
        </w:rPr>
      </w:pPr>
      <w:r>
        <w:rPr>
          <w:b/>
          <w:sz w:val="24"/>
        </w:rPr>
      </w:r>
    </w:p>
    <w:p>
      <w:pPr>
        <w:pStyle w:val="Normal"/>
        <w:rPr>
          <w:b/>
          <w:b/>
          <w:sz w:val="24"/>
        </w:rPr>
      </w:pPr>
      <w:r>
        <w:rPr>
          <w:b/>
          <w:sz w:val="24"/>
        </w:rPr>
        <w:t>References:</w:t>
      </w:r>
    </w:p>
    <w:p>
      <w:pPr>
        <w:pStyle w:val="Normal"/>
        <w:rPr>
          <w:b/>
          <w:b/>
          <w:sz w:val="24"/>
        </w:rPr>
      </w:pPr>
      <w:r>
        <w:rPr>
          <w:b/>
          <w:sz w:val="24"/>
        </w:rPr>
      </w:r>
    </w:p>
    <w:p>
      <w:pPr>
        <w:pStyle w:val="Normal"/>
        <w:rPr>
          <w:szCs w:val="22"/>
        </w:rPr>
      </w:pPr>
      <w:r>
        <w:rPr>
          <w:szCs w:val="22"/>
        </w:rPr>
        <w:t xml:space="preserve">[1] </w:t>
      </w:r>
      <w:hyperlink r:id="rId5">
        <w:r>
          <w:rPr>
            <w:rStyle w:val="Internetlnk"/>
            <w:szCs w:val="22"/>
          </w:rPr>
          <w:t xml:space="preserve">https://rspg-spectrum.eu/wp-content/uploads/2022/06/RSPG22-014final-Draft_RSPG_Opinion_WRC23.pdf </w:t>
        </w:r>
      </w:hyperlink>
    </w:p>
    <w:p>
      <w:pPr>
        <w:pStyle w:val="Normal"/>
        <w:rPr>
          <w:szCs w:val="22"/>
        </w:rPr>
      </w:pPr>
      <w:r>
        <w:rPr>
          <w:szCs w:val="22"/>
        </w:rPr>
        <w:t>[2] COM/2021/118 final (</w:t>
      </w:r>
      <w:hyperlink r:id="rId6">
        <w:r>
          <w:rPr>
            <w:rStyle w:val="Internetlnk"/>
            <w:szCs w:val="22"/>
          </w:rPr>
          <w:t>2030 Digital Compass: the European way for the Digital Decade</w:t>
        </w:r>
      </w:hyperlink>
      <w:r>
        <w:rPr>
          <w:rStyle w:val="Internetlnk"/>
          <w:szCs w:val="22"/>
        </w:rPr>
        <w:t>)</w:t>
      </w:r>
      <w:r>
        <w:rPr>
          <w:szCs w:val="22"/>
        </w:rPr>
        <w:t xml:space="preserve"> </w:t>
      </w:r>
      <w:hyperlink r:id="rId7">
        <w:r>
          <w:rPr>
            <w:rStyle w:val="Internetlnk"/>
            <w:szCs w:val="22"/>
          </w:rPr>
          <w:t>https://eur-lex.europa.eu/legal-content/en/TXT/?uri=CELEX%3A52021DC0118</w:t>
        </w:r>
      </w:hyperlink>
      <w:r>
        <w:rPr>
          <w:szCs w:val="22"/>
        </w:rPr>
        <w:t xml:space="preserve"> </w:t>
      </w:r>
    </w:p>
    <w:p>
      <w:pPr>
        <w:pStyle w:val="Normal"/>
        <w:jc w:val="both"/>
        <w:rPr/>
      </w:pPr>
      <w:r>
        <w:rPr/>
      </w:r>
    </w:p>
    <w:p>
      <w:pPr>
        <w:pStyle w:val="Normal"/>
        <w:rPr/>
      </w:pPr>
      <w:r>
        <w:rPr/>
      </w:r>
    </w:p>
    <w:p>
      <w:pPr>
        <w:pStyle w:val="Normal"/>
        <w:rPr>
          <w:sz w:val="24"/>
          <w:szCs w:val="24"/>
        </w:rPr>
      </w:pPr>
      <w:r>
        <w:rPr>
          <w:sz w:val="24"/>
          <w:szCs w:val="24"/>
        </w:rPr>
        <w:t>Respectfully submitted</w:t>
      </w:r>
    </w:p>
    <w:p>
      <w:pPr>
        <w:pStyle w:val="Normal"/>
        <w:rPr>
          <w:sz w:val="24"/>
          <w:szCs w:val="24"/>
        </w:rPr>
      </w:pPr>
      <w:r>
        <w:rPr>
          <w:sz w:val="24"/>
          <w:szCs w:val="24"/>
        </w:rPr>
      </w:r>
    </w:p>
    <w:p>
      <w:pPr>
        <w:pStyle w:val="Normal"/>
        <w:rPr>
          <w:sz w:val="24"/>
          <w:szCs w:val="24"/>
        </w:rPr>
      </w:pPr>
      <w:r>
        <w:rPr>
          <w:sz w:val="24"/>
          <w:szCs w:val="24"/>
        </w:rPr>
        <w:t xml:space="preserve">By: /ss/. </w:t>
      </w:r>
    </w:p>
    <w:p>
      <w:pPr>
        <w:pStyle w:val="Normal"/>
        <w:rPr>
          <w:sz w:val="24"/>
          <w:szCs w:val="24"/>
        </w:rPr>
      </w:pPr>
      <w:r>
        <w:rPr>
          <w:sz w:val="24"/>
          <w:szCs w:val="24"/>
        </w:rPr>
        <w:t xml:space="preserve">Paul Nikolich </w:t>
      </w:r>
    </w:p>
    <w:p>
      <w:pPr>
        <w:pStyle w:val="Normal"/>
        <w:rPr>
          <w:sz w:val="24"/>
          <w:szCs w:val="24"/>
        </w:rPr>
      </w:pPr>
      <w:r>
        <w:rPr>
          <w:sz w:val="24"/>
          <w:szCs w:val="24"/>
        </w:rPr>
        <w:t xml:space="preserve">IEEE 802 LAN/MAN Standards Committee Chairman </w:t>
      </w:r>
    </w:p>
    <w:p>
      <w:pPr>
        <w:pStyle w:val="Normal"/>
        <w:rPr>
          <w:sz w:val="24"/>
          <w:szCs w:val="24"/>
        </w:rPr>
      </w:pPr>
      <w:r>
        <w:rPr>
          <w:sz w:val="24"/>
          <w:szCs w:val="24"/>
        </w:rPr>
        <w:t xml:space="preserve">em: </w:t>
      </w:r>
      <w:hyperlink r:id="rId8">
        <w:r>
          <w:rPr>
            <w:rStyle w:val="Internetlnk"/>
            <w:sz w:val="24"/>
            <w:szCs w:val="24"/>
          </w:rPr>
          <w:t>p.nikolich@ieee.org</w:t>
        </w:r>
      </w:hyperlink>
      <w:r>
        <w:rPr>
          <w:sz w:val="24"/>
          <w:szCs w:val="24"/>
        </w:rPr>
        <w:t xml:space="preserve"> </w:t>
      </w:r>
    </w:p>
    <w:p>
      <w:pPr>
        <w:pStyle w:val="PlainText"/>
        <w:rPr/>
      </w:pPr>
      <w:r>
        <w:rPr/>
      </w:r>
    </w:p>
    <w:p>
      <w:pPr>
        <w:pStyle w:val="Normal"/>
        <w:rPr>
          <w:b/>
          <w:b/>
          <w:sz w:val="24"/>
        </w:rPr>
      </w:pPr>
      <w:r>
        <w:rPr>
          <w:b/>
          <w:sz w:val="24"/>
        </w:rPr>
      </w:r>
    </w:p>
    <w:p>
      <w:pPr>
        <w:pStyle w:val="Normal"/>
        <w:rPr/>
      </w:pPr>
      <w:r>
        <w:rPr/>
      </w:r>
    </w:p>
    <w:sectPr>
      <w:headerReference w:type="default" r:id="rId9"/>
      <w:footerReference w:type="default" r:id="rId10"/>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3</w:t>
    </w:r>
    <w:r>
      <w:rPr/>
      <w:fldChar w:fldCharType="end"/>
    </w:r>
    <w:r>
      <w:rPr/>
      <w:tab/>
      <w:t>Amelia Andersdotter, Sky UK Group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 xml:space="preserve">July 2022 </w:t>
      <w:tab/>
      <w:tab/>
      <w:t>doc.: IEEE 802.18-22/007</w:t>
    </w:r>
    <w:r>
      <w:rPr/>
      <w:t>7</w:t>
    </w:r>
    <w:r>
      <w:rPr/>
      <w:t>r</w:t>
    </w:r>
    <w:r>
      <w:rPr/>
      <w:t>0</w:t>
    </w:r>
  </w:p>
</w:hdr>
</file>

<file path=word/settings.xml><?xml version="1.0" encoding="utf-8"?>
<w:settings xmlns:w="http://schemas.openxmlformats.org/wordprocessingml/2006/main">
  <w:zoom w:percent="110"/>
  <w:mirrorMargin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unhideWhenUsed/>
    <w:rsid w:val="00307408"/>
    <w:rPr>
      <w:color w:val="0563C1" w:themeColor="hyperlink"/>
      <w:u w:val="single"/>
    </w:rPr>
  </w:style>
  <w:style w:type="character" w:styleId="UnresolvedMention1" w:customStyle="1">
    <w:name w:val="Unresolved Mention1"/>
    <w:uiPriority w:val="99"/>
    <w:semiHidden/>
    <w:unhideWhenUsed/>
    <w:qFormat/>
    <w:rsid w:val="00364cc2"/>
    <w:rPr>
      <w:color w:val="605E5C"/>
      <w:shd w:fill="E1DFDD" w:val="clear"/>
    </w:rPr>
  </w:style>
  <w:style w:type="character" w:styleId="PlainTextChar" w:customStyle="1">
    <w:name w:val="Plain Text Char"/>
    <w:link w:val="PlainText"/>
    <w:uiPriority w:val="99"/>
    <w:qFormat/>
    <w:rsid w:val="00e052b4"/>
    <w:rPr>
      <w:rFonts w:ascii="Calibri" w:hAnsi="Calibri" w:eastAsia="Calibri"/>
      <w:sz w:val="22"/>
      <w:szCs w:val="21"/>
    </w:rPr>
  </w:style>
  <w:style w:type="character" w:styleId="AnvndInternetlnk">
    <w:name w:val="Använd Internetlänk"/>
    <w:basedOn w:val="DefaultParagraphFont"/>
    <w:uiPriority w:val="99"/>
    <w:semiHidden/>
    <w:unhideWhenUsed/>
    <w:rsid w:val="00817a0d"/>
    <w:rPr>
      <w:color w:val="954F72" w:themeColor="followedHyperlink"/>
      <w:u w:val="single"/>
    </w:rPr>
  </w:style>
  <w:style w:type="character" w:styleId="Annotationreference">
    <w:name w:val="annotation reference"/>
    <w:uiPriority w:val="99"/>
    <w:semiHidden/>
    <w:unhideWhenUsed/>
    <w:qFormat/>
    <w:rsid w:val="00bb362e"/>
    <w:rPr>
      <w:sz w:val="16"/>
      <w:szCs w:val="16"/>
    </w:rPr>
  </w:style>
  <w:style w:type="character" w:styleId="CommentTextChar" w:customStyle="1">
    <w:name w:val="Comment Text Char"/>
    <w:basedOn w:val="DefaultParagraphFont"/>
    <w:link w:val="CommentText"/>
    <w:uiPriority w:val="99"/>
    <w:semiHidden/>
    <w:qFormat/>
    <w:rsid w:val="00bb362e"/>
    <w:rPr/>
  </w:style>
  <w:style w:type="character" w:styleId="CommentSubjectChar" w:customStyle="1">
    <w:name w:val="Comment Subject Char"/>
    <w:link w:val="CommentSubject"/>
    <w:uiPriority w:val="99"/>
    <w:semiHidden/>
    <w:qFormat/>
    <w:rsid w:val="00bb362e"/>
    <w:rPr>
      <w:b/>
      <w:bCs/>
    </w:rPr>
  </w:style>
  <w:style w:type="character" w:styleId="UnresolvedMention2" w:customStyle="1">
    <w:name w:val="Unresolved Mention2"/>
    <w:basedOn w:val="DefaultParagraphFont"/>
    <w:uiPriority w:val="99"/>
    <w:semiHidden/>
    <w:unhideWhenUsed/>
    <w:qFormat/>
    <w:rsid w:val="00e35406"/>
    <w:rPr>
      <w:color w:val="605E5C"/>
      <w:shd w:fill="E1DFDD" w:val="clear"/>
    </w:rPr>
  </w:style>
  <w:style w:type="character" w:styleId="Radnumrering" w:customStyle="1">
    <w:name w:val="Radnumrering"/>
    <w:rPr/>
  </w:style>
  <w:style w:type="character" w:styleId="BalloonTextChar" w:customStyle="1">
    <w:name w:val="Balloon Text Char"/>
    <w:basedOn w:val="DefaultParagraphFont"/>
    <w:link w:val="BalloonText"/>
    <w:uiPriority w:val="99"/>
    <w:semiHidden/>
    <w:qFormat/>
    <w:rsid w:val="00307408"/>
    <w:rPr>
      <w:rFonts w:ascii="Segoe UI" w:hAnsi="Segoe UI" w:cs="Segoe UI"/>
      <w:sz w:val="18"/>
      <w:szCs w:val="18"/>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PlainText">
    <w:name w:val="Plain Text"/>
    <w:basedOn w:val="Normal"/>
    <w:link w:val="PlainTextChar"/>
    <w:uiPriority w:val="99"/>
    <w:unhideWhenUsed/>
    <w:qFormat/>
    <w:rsid w:val="00e052b4"/>
    <w:pPr/>
    <w:rPr>
      <w:rFonts w:ascii="Calibri" w:hAnsi="Calibri" w:eastAsia="Calibri"/>
      <w:szCs w:val="21"/>
    </w:rPr>
  </w:style>
  <w:style w:type="paragraph" w:styleId="Annotationtext">
    <w:name w:val="annotation text"/>
    <w:basedOn w:val="Normal"/>
    <w:link w:val="CommentTextChar"/>
    <w:uiPriority w:val="99"/>
    <w:semiHidden/>
    <w:unhideWhenUsed/>
    <w:qFormat/>
    <w:rsid w:val="00bb362e"/>
    <w:pPr/>
    <w:rPr>
      <w:sz w:val="20"/>
    </w:rPr>
  </w:style>
  <w:style w:type="paragraph" w:styleId="Annotationsubject">
    <w:name w:val="annotation subject"/>
    <w:basedOn w:val="Annotationtext"/>
    <w:next w:val="Annotationtext"/>
    <w:link w:val="CommentSubjectChar"/>
    <w:uiPriority w:val="99"/>
    <w:semiHidden/>
    <w:unhideWhenUsed/>
    <w:qFormat/>
    <w:rsid w:val="00bb362e"/>
    <w:pPr/>
    <w:rPr>
      <w:b/>
      <w:bCs/>
    </w:rPr>
  </w:style>
  <w:style w:type="paragraph" w:styleId="Raminnehll" w:customStyle="1">
    <w:name w:val="Raminnehåll"/>
    <w:basedOn w:val="Normal"/>
    <w:qFormat/>
    <w:pPr/>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Revision">
    <w:name w:val="Revision"/>
    <w:uiPriority w:val="99"/>
    <w:semiHidden/>
    <w:qFormat/>
    <w:rsid w:val="00734708"/>
    <w:pPr>
      <w:widowControl/>
      <w:suppressAutoHyphens w:val="false"/>
      <w:bidi w:val="0"/>
      <w:spacing w:before="0" w:after="0"/>
      <w:jc w:val="left"/>
    </w:pPr>
    <w:rPr>
      <w:rFonts w:ascii="Times New Roman" w:hAnsi="Times New Roman" w:eastAsia="Times New Roman" w:cs="Times New Roman"/>
      <w:color w:val="auto"/>
      <w:kern w:val="0"/>
      <w:sz w:val="22"/>
      <w:szCs w:val="20"/>
      <w:lang w:val="en-US" w:eastAsia="en-US" w:bidi="ar-SA"/>
    </w:rPr>
  </w:style>
  <w:style w:type="paragraph" w:styleId="NormalWeb">
    <w:name w:val="Normal (Web)"/>
    <w:basedOn w:val="Normal"/>
    <w:uiPriority w:val="99"/>
    <w:semiHidden/>
    <w:unhideWhenUsed/>
    <w:qFormat/>
    <w:rsid w:val="00982994"/>
    <w:pPr/>
    <w:rPr>
      <w:sz w:val="24"/>
      <w:szCs w:val="24"/>
    </w:rPr>
  </w:style>
  <w:style w:type="paragraph" w:styleId="BalloonText">
    <w:name w:val="Balloon Text"/>
    <w:basedOn w:val="Normal"/>
    <w:link w:val="BalloonTextChar"/>
    <w:uiPriority w:val="99"/>
    <w:semiHidden/>
    <w:unhideWhenUsed/>
    <w:qFormat/>
    <w:rsid w:val="00307408"/>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elia.ieee@andersdotter.cc" TargetMode="External"/><Relationship Id="rId3" Type="http://schemas.openxmlformats.org/officeDocument/2006/relationships/hyperlink" Target="mailto:hassan.yaghoobi@intel.com" TargetMode="External"/><Relationship Id="rId4" Type="http://schemas.openxmlformats.org/officeDocument/2006/relationships/hyperlink" Target="https://eur-lex.europa.eu/resource.html?uri=cellar:12e835e2-81af-11eb-9ac9-01aa75ed71a1.0001.02/DOC_1&amp;format=PDF" TargetMode="External"/><Relationship Id="rId5" Type="http://schemas.openxmlformats.org/officeDocument/2006/relationships/hyperlink" Target="https://rspg-spectrum.eu/wp-content/uploads/2022/06/RSPG22-014final-Draft_RSPG_Opinion_WRC23.pdf" TargetMode="External"/><Relationship Id="rId6" Type="http://schemas.openxmlformats.org/officeDocument/2006/relationships/hyperlink" Target="https://eur-lex.europa.eu/resource.html?uri=cellar:12e835e2-81af-11eb-9ac9-01aa75ed71a1.0001.02/DOC_1&amp;format=PDF" TargetMode="External"/><Relationship Id="rId7" Type="http://schemas.openxmlformats.org/officeDocument/2006/relationships/hyperlink" Target="https://eur-lex.europa.eu/legal-content/en/TXT/?uri=CELEX%3A52021DC0118" TargetMode="External"/><Relationship Id="rId8" Type="http://schemas.openxmlformats.org/officeDocument/2006/relationships/hyperlink" Target="mailto:p.nikolich@ieee.or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1D7C-8E3C-4739-987F-601778BC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LibreOffice/7.2.7.2$Linux_X86_64 LibreOffice_project/20$Build-2</Application>
  <AppVersion>15.0000</AppVersion>
  <Pages>3</Pages>
  <Words>706</Words>
  <Characters>4237</Characters>
  <CharactersWithSpaces>4933</CharactersWithSpaces>
  <Paragraphs>34</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2022-07-18T20:52:00Z</dcterms:created>
  <dc:creator>Editor</dc:creator>
  <dc:description/>
  <dc:language>sv-SE</dc:language>
  <cp:lastModifiedBy>Amelia Andersdotter</cp:lastModifiedBy>
  <cp:lastPrinted>1900-01-01T08:00:00Z</cp:lastPrinted>
  <dcterms:modified xsi:type="dcterms:W3CDTF">2022-07-20T19:48:26Z</dcterms:modified>
  <cp:revision>6</cp:revision>
  <dc:subject>Submission</dc:subject>
  <dc:title>22/0073r6</dc:title>
</cp:coreProperties>
</file>

<file path=docProps/custom.xml><?xml version="1.0" encoding="utf-8"?>
<Properties xmlns="http://schemas.openxmlformats.org/officeDocument/2006/custom-properties" xmlns:vt="http://schemas.openxmlformats.org/officeDocument/2006/docPropsVTypes"/>
</file>