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342"/>
        <w:gridCol w:w="1271"/>
        <w:gridCol w:w="2142"/>
        <w:gridCol w:w="1283"/>
        <w:gridCol w:w="2538"/>
      </w:tblGrid>
      <w:tr>
        <w:trPr>
          <w:trHeight w:val="485"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rPr/>
            </w:pPr>
            <w:r>
              <w:rPr/>
              <w:t>Radio Regulatory Technical Advisory Group Minutes</w:t>
            </w:r>
          </w:p>
          <w:p>
            <w:pPr>
              <w:pStyle w:val="T2"/>
              <w:widowControl w:val="false"/>
              <w:spacing w:before="0" w:after="120"/>
              <w:rPr/>
            </w:pPr>
            <w:r>
              <w:rPr/>
              <w:t>7 July 2022</w:t>
            </w:r>
          </w:p>
        </w:tc>
      </w:tr>
      <w:tr>
        <w:trPr>
          <w:trHeight w:val="359"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sz w:val="20"/>
              </w:rPr>
            </w:pPr>
            <w:r>
              <w:rPr>
                <w:sz w:val="20"/>
              </w:rPr>
              <w:t>Date:</w:t>
            </w:r>
            <w:r>
              <w:rPr>
                <w:b w:val="false"/>
                <w:sz w:val="20"/>
              </w:rPr>
              <w:t xml:space="preserve">  9 July 2022</w:t>
            </w:r>
          </w:p>
        </w:tc>
      </w:tr>
      <w:tr>
        <w:trPr>
          <w:cantSplit w:val="true"/>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Company</w:t>
            </w:r>
          </w:p>
        </w:tc>
        <w:tc>
          <w:tcPr>
            <w:tcW w:w="21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SkyUK</w:t>
            </w:r>
          </w:p>
        </w:tc>
        <w:tc>
          <w:tcPr>
            <w:tcW w:w="21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amelia.ieee@andersdotter.cc</w:t>
            </w:r>
          </w:p>
        </w:tc>
      </w:tr>
      <w:tr>
        <w:trPr/>
        <w:tc>
          <w:tcPr>
            <w:tcW w:w="234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14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bl>
    <w:p>
      <w:pPr>
        <w:pStyle w:val="T1"/>
        <w:rPr>
          <w:b w:val="false"/>
          <w:b w:val="false"/>
          <w:bCs/>
          <w:sz w:val="24"/>
          <w:szCs w:val="24"/>
        </w:rPr>
      </w:pPr>
      <w:r>
        <w:rPr>
          <w:b w:val="false"/>
          <w:bCs/>
          <w:sz w:val="24"/>
          <w:szCs w:val="24"/>
        </w:rPr>
      </w:r>
    </w:p>
    <w:p>
      <w:pPr>
        <w:pStyle w:val="Normal"/>
        <w:rPr>
          <w:bCs/>
          <w:sz w:val="24"/>
          <w:szCs w:val="24"/>
        </w:rPr>
      </w:pPr>
      <w:r>
        <w:rPr>
          <w:bCs/>
          <w:sz w:val="24"/>
          <w:szCs w:val="24"/>
        </w:rPr>
        <mc:AlternateContent>
          <mc:Choice Requires="wps">
            <w:drawing>
              <wp:anchor behindDoc="0" distT="0" distB="0" distL="0" distR="0" simplePos="0" locked="0" layoutInCell="0" allowOverlap="1" relativeHeight="2" wp14:anchorId="3245203A">
                <wp:simplePos x="0" y="0"/>
                <wp:positionH relativeFrom="column">
                  <wp:posOffset>165735</wp:posOffset>
                </wp:positionH>
                <wp:positionV relativeFrom="paragraph">
                  <wp:posOffset>27305</wp:posOffset>
                </wp:positionV>
                <wp:extent cx="6087745" cy="2849880"/>
                <wp:effectExtent l="0" t="0" r="0" b="0"/>
                <wp:wrapNone/>
                <wp:docPr id="1" name="Text Box 3"/>
                <a:graphic xmlns:a="http://schemas.openxmlformats.org/drawingml/2006/main">
                  <a:graphicData uri="http://schemas.microsoft.com/office/word/2010/wordprocessingShape">
                    <wps:wsp>
                      <wps:cNvSpPr/>
                      <wps:spPr>
                        <a:xfrm>
                          <a:off x="0" y="0"/>
                          <a:ext cx="6087240" cy="284940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color w:val="000000"/>
                              </w:rPr>
                            </w:pPr>
                            <w:r>
                              <w:rPr>
                                <w:color w:val="000000"/>
                              </w:rPr>
                              <w:t>This document constitutes the minutes of the IEEE 802.18 Technical Advisory Group for the weekly teleconference call on 7 July 2022.</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color w:val="000000"/>
                              </w:rPr>
                            </w:pPr>
                            <w:r>
                              <w:rPr>
                                <w:b/>
                                <w:bCs/>
                              </w:rPr>
                              <w:t>C:</w:t>
                            </w:r>
                            <w:r>
                              <w:rPr/>
                              <w:t xml:space="preserve"> means question from participant.</w:t>
                            </w:r>
                          </w:p>
                          <w:p>
                            <w:pPr>
                              <w:pStyle w:val="Raminnehll"/>
                              <w:rPr>
                                <w:color w:val="000000"/>
                              </w:rPr>
                            </w:pPr>
                            <w:r>
                              <w:rPr>
                                <w:b/>
                                <w:bCs/>
                              </w:rPr>
                              <w:t>Chair:</w:t>
                            </w:r>
                            <w:r>
                              <w:rPr/>
                              <w:t xml:space="preserve"> means statement by the chair as chair.</w:t>
                              <w:br/>
                            </w:r>
                            <w:r>
                              <w:rPr>
                                <w:shd w:fill="FFFF00" w:val="clear"/>
                              </w:rPr>
                              <w:t>Highlight</w:t>
                            </w:r>
                            <w:r>
                              <w:rPr/>
                              <w:t xml:space="preserve"> means action point.</w:t>
                            </w:r>
                          </w:p>
                        </w:txbxContent>
                      </wps:txbx>
                      <wps:bodyPr anchor="t" upright="1">
                        <a:noAutofit/>
                      </wps:bodyPr>
                    </wps:wsp>
                  </a:graphicData>
                </a:graphic>
              </wp:anchor>
            </w:drawing>
          </mc:Choice>
          <mc:Fallback>
            <w:pict>
              <v:rect id="shape_0" ID="Text Box 3" path="m0,0l-2147483645,0l-2147483645,-2147483646l0,-2147483646xe" fillcolor="white" stroked="f" o:allowincell="f" style="position:absolute;margin-left:13.05pt;margin-top:2.15pt;width:479.25pt;height:224.3pt;mso-wrap-style:square;v-text-anchor:top" wp14:anchorId="3245203A">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color w:val="000000"/>
                        </w:rPr>
                      </w:pPr>
                      <w:r>
                        <w:rPr>
                          <w:color w:val="000000"/>
                        </w:rPr>
                        <w:t>This document constitutes the minutes of the IEEE 802.18 Technical Advisory Group for the weekly teleconference call on 7 July 2022.</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color w:val="000000"/>
                        </w:rPr>
                      </w:pPr>
                      <w:r>
                        <w:rPr>
                          <w:b/>
                          <w:bCs/>
                        </w:rPr>
                        <w:t>C:</w:t>
                      </w:r>
                      <w:r>
                        <w:rPr/>
                        <w:t xml:space="preserve"> means question from participant.</w:t>
                      </w:r>
                    </w:p>
                    <w:p>
                      <w:pPr>
                        <w:pStyle w:val="Raminnehll"/>
                        <w:rPr>
                          <w:color w:val="000000"/>
                        </w:rPr>
                      </w:pPr>
                      <w:r>
                        <w:rPr>
                          <w:b/>
                          <w:bCs/>
                        </w:rPr>
                        <w:t>Chair:</w:t>
                      </w:r>
                      <w:r>
                        <w:rPr/>
                        <w:t xml:space="preserve"> means statement by the chair as chair.</w:t>
                        <w:br/>
                      </w:r>
                      <w:r>
                        <w:rPr>
                          <w:shd w:fill="FFFF00" w:val="clear"/>
                        </w:rPr>
                        <w:t>Highlight</w:t>
                      </w:r>
                      <w:r>
                        <w:rPr/>
                        <w:t xml:space="preserve"> means action point.</w:t>
                      </w:r>
                    </w:p>
                  </w:txbxContent>
                </v:textbox>
                <w10:wrap type="none"/>
              </v:rect>
            </w:pict>
          </mc:Fallback>
        </mc:AlternateContent>
      </w:r>
      <w:r>
        <w:br w:type="page"/>
      </w:r>
    </w:p>
    <w:p>
      <w:pPr>
        <w:pStyle w:val="T1"/>
        <w:spacing w:before="0" w:after="120"/>
        <w:rPr/>
      </w:pPr>
      <w:r>
        <w:rPr>
          <w:b w:val="false"/>
          <w:bCs/>
          <w:sz w:val="24"/>
          <w:szCs w:val="24"/>
        </w:rPr>
        <w:t>Chair:  Edward Au (Huawei)</w:t>
      </w:r>
    </w:p>
    <w:p>
      <w:pPr>
        <w:pStyle w:val="T1"/>
        <w:spacing w:before="0" w:after="120"/>
        <w:rPr>
          <w:rStyle w:val="Internetlnk"/>
          <w:b w:val="false"/>
          <w:b w:val="false"/>
          <w:bCs/>
          <w:color w:val="000000"/>
          <w:sz w:val="24"/>
          <w:szCs w:val="24"/>
          <w:u w:val="none"/>
        </w:rPr>
      </w:pPr>
      <w:r>
        <w:rPr>
          <w:b w:val="false"/>
          <w:bCs/>
          <w:color w:val="000000"/>
          <w:sz w:val="24"/>
          <w:szCs w:val="24"/>
        </w:rPr>
        <w:t xml:space="preserve">Co-Vice-chairs:  </w:t>
      </w:r>
      <w:r>
        <w:rPr>
          <w:rStyle w:val="Internetlnk"/>
          <w:b w:val="false"/>
          <w:bCs/>
          <w:color w:val="000000"/>
          <w:sz w:val="24"/>
          <w:szCs w:val="24"/>
          <w:u w:val="none"/>
        </w:rPr>
        <w:t>Stuart Kerry (OK-Brit/Self)</w:t>
      </w:r>
      <w:r>
        <w:rPr>
          <w:b w:val="false"/>
          <w:bCs/>
          <w:color w:val="000000"/>
          <w:sz w:val="24"/>
          <w:szCs w:val="24"/>
        </w:rPr>
        <w:t xml:space="preserve"> and </w:t>
      </w:r>
      <w:r>
        <w:rPr>
          <w:rStyle w:val="Internetlnk"/>
          <w:b w:val="false"/>
          <w:bCs/>
          <w:color w:val="000000"/>
          <w:sz w:val="24"/>
          <w:szCs w:val="24"/>
          <w:u w:val="none"/>
        </w:rPr>
        <w:t xml:space="preserve">Al Petrick (Skyworks Solutions) </w:t>
      </w:r>
    </w:p>
    <w:p>
      <w:pPr>
        <w:pStyle w:val="T1"/>
        <w:spacing w:before="0" w:after="120"/>
        <w:rPr/>
      </w:pPr>
      <w:r>
        <w:rPr>
          <w:rStyle w:val="Internetlnk"/>
          <w:b w:val="false"/>
          <w:color w:val="000000"/>
          <w:sz w:val="24"/>
          <w:szCs w:val="24"/>
          <w:u w:val="none"/>
        </w:rPr>
        <w:t>Secretary: Amelia Andersdotter (Sky)</w:t>
      </w:r>
    </w:p>
    <w:p>
      <w:pPr>
        <w:pStyle w:val="T1"/>
        <w:spacing w:before="0" w:after="120"/>
        <w:rPr>
          <w:b w:val="false"/>
          <w:b w:val="false"/>
          <w:sz w:val="24"/>
          <w:szCs w:val="24"/>
        </w:rPr>
      </w:pPr>
      <w:r>
        <w:rPr>
          <w:b w:val="false"/>
          <w:sz w:val="24"/>
          <w:szCs w:val="24"/>
        </w:rPr>
        <w:t>IEEE SA Program Manager:  Jodi Hassz (IEEE SA)</w:t>
      </w:r>
    </w:p>
    <w:p>
      <w:pPr>
        <w:pStyle w:val="T1"/>
        <w:numPr>
          <w:ilvl w:val="0"/>
          <w:numId w:val="2"/>
        </w:numPr>
        <w:spacing w:before="0" w:after="120"/>
        <w:rPr/>
      </w:pPr>
      <w:r>
        <w:rPr>
          <w:b w:val="false"/>
          <w:sz w:val="24"/>
          <w:szCs w:val="24"/>
        </w:rPr>
        <w:t xml:space="preserve">IEEE 802.18, RR-TAG website:  </w:t>
      </w:r>
      <w:hyperlink r:id="rId2">
        <w:r>
          <w:rPr>
            <w:rStyle w:val="Internetlnk"/>
            <w:b w:val="false"/>
            <w:sz w:val="24"/>
            <w:szCs w:val="24"/>
          </w:rPr>
          <w:t>https://www.ieee802.org/18/</w:t>
        </w:r>
      </w:hyperlink>
      <w:r>
        <w:rPr>
          <w:b w:val="false"/>
          <w:sz w:val="24"/>
          <w:szCs w:val="24"/>
        </w:rPr>
        <w:t xml:space="preserve"> </w:t>
      </w:r>
    </w:p>
    <w:p>
      <w:pPr>
        <w:pStyle w:val="T1"/>
        <w:rPr>
          <w:b w:val="false"/>
          <w:b w:val="false"/>
          <w:sz w:val="24"/>
          <w:szCs w:val="24"/>
        </w:rPr>
      </w:pPr>
      <w:r>
        <w:rPr>
          <w:b w:val="false"/>
          <w:sz w:val="24"/>
          <w:szCs w:val="24"/>
        </w:rPr>
      </w:r>
    </w:p>
    <w:p>
      <w:pPr>
        <w:pStyle w:val="Normal"/>
        <w:rPr/>
      </w:pPr>
      <w:r>
        <w:rPr>
          <w:sz w:val="24"/>
          <w:szCs w:val="24"/>
        </w:rPr>
        <w:t>These are the minutes of the IEEE 802 RR-TAG teleconference on Thursday, 30 June 2022.</w:t>
        <w:br/>
      </w:r>
    </w:p>
    <w:p>
      <w:pPr>
        <w:pStyle w:val="Normal"/>
        <w:numPr>
          <w:ilvl w:val="0"/>
          <w:numId w:val="1"/>
        </w:numPr>
        <w:spacing w:before="0" w:after="0"/>
        <w:contextualSpacing/>
        <w:rPr/>
      </w:pPr>
      <w:r>
        <w:rPr>
          <w:sz w:val="24"/>
          <w:szCs w:val="24"/>
        </w:rPr>
        <w:t>Chair calls the meeting to order at 15:02 ET.</w:t>
      </w:r>
    </w:p>
    <w:p>
      <w:pPr>
        <w:pStyle w:val="Normal"/>
        <w:spacing w:before="0" w:after="0"/>
        <w:ind w:left="360" w:hanging="0"/>
        <w:contextualSpacing/>
        <w:rPr>
          <w:sz w:val="24"/>
          <w:szCs w:val="24"/>
        </w:rPr>
      </w:pPr>
      <w:r>
        <w:rPr>
          <w:sz w:val="24"/>
          <w:szCs w:val="24"/>
        </w:rPr>
      </w:r>
    </w:p>
    <w:p>
      <w:pPr>
        <w:pStyle w:val="Normal"/>
        <w:spacing w:before="0" w:after="0"/>
        <w:contextualSpacing/>
        <w:rPr/>
      </w:pPr>
      <w:r>
        <w:rPr>
          <w:sz w:val="24"/>
          <w:szCs w:val="24"/>
        </w:rPr>
        <w:t xml:space="preserve">Agenda slide deck </w:t>
      </w:r>
      <w:hyperlink r:id="rId3">
        <w:r>
          <w:rPr>
            <w:rStyle w:val="Internetlnk"/>
            <w:sz w:val="24"/>
            <w:szCs w:val="24"/>
          </w:rPr>
          <w:t>18/22-0069r0</w:t>
        </w:r>
      </w:hyperlink>
      <w:r>
        <w:rPr>
          <w:rStyle w:val="Internetlnk"/>
          <w:sz w:val="24"/>
          <w:szCs w:val="24"/>
        </w:rPr>
        <w:t xml:space="preserve">  </w:t>
      </w:r>
      <w:r>
        <w:rPr>
          <w:sz w:val="24"/>
          <w:szCs w:val="24"/>
        </w:rPr>
        <w:br/>
      </w:r>
    </w:p>
    <w:p>
      <w:pPr>
        <w:pStyle w:val="Normal"/>
        <w:numPr>
          <w:ilvl w:val="0"/>
          <w:numId w:val="1"/>
        </w:numPr>
        <w:spacing w:before="0" w:after="0"/>
        <w:contextualSpacing/>
        <w:rPr/>
      </w:pPr>
      <w:r>
        <w:rPr>
          <w:sz w:val="24"/>
          <w:szCs w:val="24"/>
        </w:rPr>
        <w:t>Chair presents administrative items</w:t>
      </w:r>
    </w:p>
    <w:p>
      <w:pPr>
        <w:pStyle w:val="Normal"/>
        <w:numPr>
          <w:ilvl w:val="1"/>
          <w:numId w:val="1"/>
        </w:numPr>
        <w:spacing w:before="0" w:after="0"/>
        <w:contextualSpacing/>
        <w:rPr/>
      </w:pPr>
      <w:r>
        <w:rPr>
          <w:bCs/>
          <w:sz w:val="24"/>
          <w:szCs w:val="24"/>
        </w:rPr>
        <w:t>Group officers and voting membership</w:t>
      </w:r>
    </w:p>
    <w:p>
      <w:pPr>
        <w:pStyle w:val="Normal"/>
        <w:numPr>
          <w:ilvl w:val="2"/>
          <w:numId w:val="1"/>
        </w:numPr>
        <w:spacing w:before="0" w:after="0"/>
        <w:contextualSpacing/>
        <w:rPr/>
      </w:pPr>
      <w:r>
        <w:rPr/>
        <w:t xml:space="preserve">  </w:t>
      </w:r>
      <w:r>
        <w:rPr/>
        <w:t xml:space="preserve">Voters:  44 (8 on LMSC) </w:t>
      </w:r>
    </w:p>
    <w:p>
      <w:pPr>
        <w:pStyle w:val="Normal"/>
        <w:numPr>
          <w:ilvl w:val="2"/>
          <w:numId w:val="1"/>
        </w:numPr>
        <w:spacing w:before="0" w:after="0"/>
        <w:contextualSpacing/>
        <w:rPr/>
      </w:pPr>
      <w:r>
        <w:rPr/>
        <w:t xml:space="preserve">  </w:t>
      </w:r>
      <w:r>
        <w:rPr/>
        <w:t>Nearly Voters:  3</w:t>
      </w:r>
    </w:p>
    <w:p>
      <w:pPr>
        <w:pStyle w:val="Normal"/>
        <w:numPr>
          <w:ilvl w:val="2"/>
          <w:numId w:val="1"/>
        </w:numPr>
        <w:spacing w:before="0" w:after="0"/>
        <w:contextualSpacing/>
        <w:rPr/>
      </w:pPr>
      <w:r>
        <w:rPr/>
        <w:t xml:space="preserve">  </w:t>
      </w:r>
      <w:r>
        <w:rPr/>
        <w:t>Aspirant members:  5</w:t>
      </w:r>
    </w:p>
    <w:p>
      <w:pPr>
        <w:pStyle w:val="Normal"/>
        <w:numPr>
          <w:ilvl w:val="2"/>
          <w:numId w:val="1"/>
        </w:numPr>
        <w:spacing w:before="0" w:after="0"/>
        <w:contextualSpacing/>
        <w:rPr/>
      </w:pPr>
      <w:r>
        <w:rPr/>
        <w:t xml:space="preserve">  </w:t>
      </w:r>
      <w:hyperlink r:id="rId4">
        <w:r>
          <w:rPr>
            <w:rStyle w:val="Internetlnk"/>
          </w:rPr>
          <w:t>802.18 Voters List</w:t>
        </w:r>
      </w:hyperlink>
    </w:p>
    <w:p>
      <w:pPr>
        <w:pStyle w:val="Normal"/>
        <w:numPr>
          <w:ilvl w:val="1"/>
          <w:numId w:val="1"/>
        </w:numPr>
        <w:spacing w:before="0" w:after="0"/>
        <w:contextualSpacing/>
        <w:rPr>
          <w:sz w:val="24"/>
          <w:szCs w:val="24"/>
        </w:rPr>
      </w:pPr>
      <w:r>
        <w:rPr>
          <w:sz w:val="24"/>
          <w:szCs w:val="24"/>
        </w:rPr>
        <w:t>RR-TAG Policies &amp; Procedures [</w:t>
      </w:r>
      <w:r>
        <w:rPr>
          <w:rStyle w:val="Internetlnk"/>
        </w:rPr>
        <w:t xml:space="preserve">  </w:t>
      </w:r>
      <w:hyperlink r:id="rId5">
        <w:r>
          <w:rPr>
            <w:rStyle w:val="Internetlnk"/>
            <w:sz w:val="24"/>
            <w:szCs w:val="24"/>
            <w:lang w:val="nl-NL"/>
          </w:rPr>
          <w:t>8</w:t>
        </w:r>
        <w:r>
          <w:rPr>
            <w:rStyle w:val="Internetlnk"/>
            <w:szCs w:val="22"/>
            <w:lang w:val="nl-NL"/>
          </w:rPr>
          <w:t>02 LMSC WG P&amp;P</w:t>
        </w:r>
      </w:hyperlink>
      <w:r>
        <w:rPr>
          <w:szCs w:val="22"/>
          <w:lang w:val="nl-NL"/>
        </w:rPr>
        <w:t>]</w:t>
      </w:r>
    </w:p>
    <w:p>
      <w:pPr>
        <w:pStyle w:val="Normal"/>
        <w:numPr>
          <w:ilvl w:val="1"/>
          <w:numId w:val="1"/>
        </w:numPr>
        <w:spacing w:before="60" w:after="60"/>
        <w:contextualSpacing/>
        <w:rPr/>
      </w:pPr>
      <w:r>
        <w:rPr>
          <w:bCs/>
          <w:sz w:val="24"/>
          <w:szCs w:val="24"/>
        </w:rPr>
        <w:t>IEEE 802 meeting and participant’s guidelines and requirements [</w:t>
      </w:r>
      <w:hyperlink r:id="rId6">
        <w:r>
          <w:rPr>
            <w:rStyle w:val="Internetlnk"/>
            <w:bCs/>
            <w:sz w:val="24"/>
            <w:szCs w:val="24"/>
          </w:rPr>
          <w:t>link</w:t>
        </w:r>
      </w:hyperlink>
      <w:r>
        <w:rPr>
          <w:bCs/>
          <w:sz w:val="24"/>
          <w:szCs w:val="24"/>
        </w:rPr>
        <w:t>]</w:t>
      </w:r>
    </w:p>
    <w:p>
      <w:pPr>
        <w:pStyle w:val="Normal"/>
        <w:numPr>
          <w:ilvl w:val="1"/>
          <w:numId w:val="1"/>
        </w:numPr>
        <w:spacing w:before="60" w:after="60"/>
        <w:contextualSpacing/>
        <w:rPr/>
      </w:pPr>
      <w:r>
        <w:rPr>
          <w:bCs/>
          <w:sz w:val="24"/>
          <w:szCs w:val="24"/>
        </w:rPr>
        <w:t>IEEE policies and procedures [</w:t>
      </w:r>
      <w:hyperlink r:id="rId7">
        <w:r>
          <w:rPr>
            <w:rStyle w:val="Internetlnk"/>
            <w:bCs/>
            <w:sz w:val="24"/>
            <w:szCs w:val="24"/>
          </w:rPr>
          <w:t>link</w:t>
        </w:r>
      </w:hyperlink>
      <w:r>
        <w:rPr>
          <w:bCs/>
          <w:sz w:val="24"/>
          <w:szCs w:val="24"/>
        </w:rPr>
        <w:t>]</w:t>
      </w:r>
    </w:p>
    <w:p>
      <w:pPr>
        <w:pStyle w:val="Normal"/>
        <w:numPr>
          <w:ilvl w:val="1"/>
          <w:numId w:val="1"/>
        </w:numPr>
        <w:spacing w:before="60" w:after="60"/>
        <w:contextualSpacing/>
        <w:rPr/>
      </w:pPr>
      <w:r>
        <w:rPr>
          <w:bCs/>
          <w:sz w:val="24"/>
          <w:szCs w:val="24"/>
        </w:rPr>
        <w:t>The IEEE SA Individual method participant behavior slide set was presented</w:t>
      </w:r>
    </w:p>
    <w:p>
      <w:pPr>
        <w:pStyle w:val="Normal"/>
        <w:numPr>
          <w:ilvl w:val="1"/>
          <w:numId w:val="1"/>
        </w:numPr>
        <w:spacing w:before="60" w:after="60"/>
        <w:contextualSpacing/>
        <w:rPr/>
      </w:pPr>
      <w:r>
        <w:rPr>
          <w:bCs/>
          <w:sz w:val="24"/>
          <w:szCs w:val="24"/>
        </w:rPr>
        <w:t xml:space="preserve">Reminder that IMAT is </w:t>
      </w:r>
      <w:r>
        <w:rPr>
          <w:b/>
          <w:bCs/>
          <w:sz w:val="24"/>
          <w:szCs w:val="24"/>
        </w:rPr>
        <w:t>not</w:t>
      </w:r>
      <w:r>
        <w:rPr>
          <w:bCs/>
          <w:sz w:val="24"/>
          <w:szCs w:val="24"/>
        </w:rPr>
        <w:t xml:space="preserve"> being used for attendance</w:t>
      </w:r>
    </w:p>
    <w:p>
      <w:pPr>
        <w:pStyle w:val="Normal"/>
        <w:numPr>
          <w:ilvl w:val="1"/>
          <w:numId w:val="1"/>
        </w:numPr>
        <w:spacing w:before="0" w:after="0"/>
        <w:contextualSpacing/>
        <w:rPr/>
      </w:pPr>
      <w:r>
        <w:rPr>
          <w:bCs/>
          <w:sz w:val="24"/>
          <w:szCs w:val="24"/>
        </w:rPr>
        <w:t>Online meeting procedures reminder</w:t>
        <w:br/>
        <w:t xml:space="preserve"> </w:t>
      </w:r>
    </w:p>
    <w:p>
      <w:pPr>
        <w:pStyle w:val="Normal"/>
        <w:spacing w:before="0" w:after="0"/>
        <w:contextualSpacing/>
        <w:rPr/>
      </w:pPr>
      <w:r>
        <w:rPr>
          <w:bCs/>
          <w:sz w:val="24"/>
          <w:szCs w:val="24"/>
        </w:rPr>
        <w:t xml:space="preserve">Chair as group if there are any questions with IEEE policies.  No response, No comments on WebEx Chat window.  </w:t>
      </w:r>
    </w:p>
    <w:p>
      <w:pPr>
        <w:pStyle w:val="Normal"/>
        <w:spacing w:before="0" w:after="0"/>
        <w:contextualSpacing/>
        <w:rPr>
          <w:bCs/>
          <w:sz w:val="24"/>
          <w:szCs w:val="24"/>
        </w:rPr>
      </w:pPr>
      <w:r>
        <w:rPr>
          <w:bCs/>
          <w:sz w:val="24"/>
          <w:szCs w:val="24"/>
        </w:rPr>
      </w:r>
    </w:p>
    <w:p>
      <w:pPr>
        <w:pStyle w:val="Normal"/>
        <w:numPr>
          <w:ilvl w:val="0"/>
          <w:numId w:val="1"/>
        </w:numPr>
        <w:spacing w:before="0" w:after="0"/>
        <w:contextualSpacing/>
        <w:rPr/>
      </w:pPr>
      <w:r>
        <w:rPr>
          <w:sz w:val="24"/>
          <w:szCs w:val="24"/>
        </w:rPr>
        <w:t>Chair presents the agenda (slide #9).  No modification to the agenda.</w:t>
      </w:r>
    </w:p>
    <w:p>
      <w:pPr>
        <w:pStyle w:val="Normal"/>
        <w:spacing w:before="0" w:after="0"/>
        <w:contextualSpacing/>
        <w:rPr>
          <w:sz w:val="24"/>
          <w:szCs w:val="24"/>
        </w:rPr>
      </w:pPr>
      <w:r>
        <w:rPr>
          <w:sz w:val="24"/>
          <w:szCs w:val="24"/>
        </w:rPr>
      </w:r>
    </w:p>
    <w:p>
      <w:pPr>
        <w:pStyle w:val="Normal"/>
        <w:numPr>
          <w:ilvl w:val="0"/>
          <w:numId w:val="1"/>
        </w:numPr>
        <w:spacing w:before="0" w:after="0"/>
        <w:contextualSpacing/>
        <w:rPr/>
      </w:pPr>
      <w:r>
        <w:rPr>
          <w:sz w:val="24"/>
          <w:szCs w:val="24"/>
        </w:rPr>
        <w:t>Administrative:</w:t>
      </w:r>
    </w:p>
    <w:p>
      <w:pPr>
        <w:pStyle w:val="Normal"/>
        <w:numPr>
          <w:ilvl w:val="1"/>
          <w:numId w:val="1"/>
        </w:numPr>
        <w:tabs>
          <w:tab w:val="left" w:pos="720" w:leader="none"/>
        </w:tabs>
        <w:spacing w:before="0" w:after="0"/>
        <w:contextualSpacing/>
        <w:rPr/>
      </w:pPr>
      <w:r>
        <w:rPr>
          <w:b/>
          <w:bCs/>
          <w:sz w:val="24"/>
          <w:szCs w:val="24"/>
        </w:rPr>
        <w:t xml:space="preserve">Motion #1: </w:t>
      </w:r>
      <w:r>
        <w:rPr>
          <w:sz w:val="24"/>
          <w:szCs w:val="24"/>
        </w:rPr>
        <w:t>To approve the agenda as presented on previous slide</w:t>
      </w:r>
    </w:p>
    <w:p>
      <w:pPr>
        <w:pStyle w:val="Normal"/>
        <w:spacing w:before="0" w:after="0"/>
        <w:ind w:left="1440" w:hanging="0"/>
        <w:contextualSpacing/>
        <w:rPr/>
      </w:pPr>
      <w:r>
        <w:rPr>
          <w:sz w:val="24"/>
          <w:szCs w:val="24"/>
        </w:rPr>
        <w:t xml:space="preserve">Moved by: </w:t>
        <w:tab/>
        <w:t>Stuart Kerry (OK-Brit, Self)</w:t>
      </w:r>
    </w:p>
    <w:p>
      <w:pPr>
        <w:pStyle w:val="Normal"/>
        <w:spacing w:before="0" w:after="0"/>
        <w:ind w:left="1440" w:hanging="0"/>
        <w:contextualSpacing/>
        <w:rPr/>
      </w:pPr>
      <w:r>
        <w:rPr>
          <w:sz w:val="24"/>
          <w:szCs w:val="24"/>
        </w:rPr>
        <w:t xml:space="preserve">Seconded by: </w:t>
        <w:tab/>
        <w:t>Jay Holcomb (Itron)</w:t>
      </w:r>
    </w:p>
    <w:p>
      <w:pPr>
        <w:pStyle w:val="Normal"/>
        <w:spacing w:before="0" w:after="0"/>
        <w:ind w:left="1440" w:hanging="0"/>
        <w:contextualSpacing/>
        <w:rPr/>
      </w:pPr>
      <w:r>
        <w:rPr>
          <w:sz w:val="24"/>
          <w:szCs w:val="24"/>
        </w:rPr>
        <w:t xml:space="preserve">Discussion?  </w:t>
        <w:tab/>
        <w:t>None</w:t>
      </w:r>
    </w:p>
    <w:p>
      <w:pPr>
        <w:pStyle w:val="Normal"/>
        <w:spacing w:before="0" w:after="0"/>
        <w:ind w:left="1440" w:hanging="0"/>
        <w:contextualSpacing/>
        <w:rPr/>
      </w:pPr>
      <w:r>
        <w:rPr>
          <w:sz w:val="24"/>
          <w:szCs w:val="24"/>
        </w:rPr>
        <w:t>Vote:  Passed with unanimous consent</w:t>
      </w:r>
    </w:p>
    <w:p>
      <w:pPr>
        <w:pStyle w:val="Normal"/>
        <w:spacing w:before="0" w:after="0"/>
        <w:ind w:left="1440" w:hanging="0"/>
        <w:contextualSpacing/>
        <w:rPr/>
      </w:pPr>
      <w:r>
        <w:rPr/>
      </w:r>
    </w:p>
    <w:p>
      <w:pPr>
        <w:pStyle w:val="Normal"/>
        <w:numPr>
          <w:ilvl w:val="1"/>
          <w:numId w:val="1"/>
        </w:numPr>
        <w:rPr/>
      </w:pPr>
      <w:r>
        <w:rPr>
          <w:sz w:val="24"/>
          <w:szCs w:val="24"/>
        </w:rPr>
        <w:t>Chair presented meeting minutes from 30 June 2022 RR-TAG weekly teleconference. No comments.</w:t>
      </w:r>
      <w:r>
        <w:rPr>
          <w:b/>
          <w:bCs/>
          <w:sz w:val="24"/>
          <w:szCs w:val="24"/>
        </w:rPr>
        <w:br/>
        <w:br/>
        <w:t>Motion #2:</w:t>
      </w:r>
      <w:r>
        <w:rPr>
          <w:sz w:val="24"/>
          <w:szCs w:val="24"/>
        </w:rPr>
        <w:t xml:space="preserve"> To approve the weekly meeting minutes of the 30 June 2022 RR-TAG call as shown in the document </w:t>
      </w:r>
      <w:hyperlink r:id="rId8">
        <w:r>
          <w:rPr>
            <w:rStyle w:val="Internetlnk"/>
            <w:sz w:val="24"/>
            <w:szCs w:val="24"/>
          </w:rPr>
          <w:t>18-22/0070r0</w:t>
        </w:r>
      </w:hyperlink>
      <w:r>
        <w:rPr>
          <w:sz w:val="24"/>
          <w:szCs w:val="24"/>
        </w:rPr>
        <w:t>, with editorial privilege for the 802.18 Chair.</w:t>
      </w:r>
    </w:p>
    <w:p>
      <w:pPr>
        <w:pStyle w:val="Normal"/>
        <w:spacing w:before="0" w:after="0"/>
        <w:ind w:left="1440" w:hanging="0"/>
        <w:contextualSpacing/>
        <w:rPr/>
      </w:pPr>
      <w:r>
        <w:rPr>
          <w:sz w:val="24"/>
          <w:szCs w:val="24"/>
        </w:rPr>
        <w:t xml:space="preserve">Moved by: </w:t>
        <w:tab/>
        <w:t>Al Petrick (Skyworks Solutions)</w:t>
      </w:r>
    </w:p>
    <w:p>
      <w:pPr>
        <w:pStyle w:val="Normal"/>
        <w:spacing w:before="0" w:after="0"/>
        <w:ind w:left="1440" w:hanging="0"/>
        <w:contextualSpacing/>
        <w:rPr/>
      </w:pPr>
      <w:r>
        <w:rPr>
          <w:sz w:val="24"/>
          <w:szCs w:val="24"/>
        </w:rPr>
        <w:t xml:space="preserve">Seconded by: </w:t>
        <w:tab/>
        <w:t>Andy Scott  (NCTA)</w:t>
      </w:r>
    </w:p>
    <w:p>
      <w:pPr>
        <w:pStyle w:val="Normal"/>
        <w:spacing w:before="0" w:after="0"/>
        <w:ind w:left="1440" w:hanging="0"/>
        <w:contextualSpacing/>
        <w:rPr/>
      </w:pPr>
      <w:r>
        <w:rPr>
          <w:sz w:val="24"/>
          <w:szCs w:val="24"/>
        </w:rPr>
        <w:t>Discussion?  None</w:t>
      </w:r>
    </w:p>
    <w:p>
      <w:pPr>
        <w:pStyle w:val="Normal"/>
        <w:spacing w:before="0" w:after="0"/>
        <w:ind w:left="1440" w:hanging="0"/>
        <w:contextualSpacing/>
        <w:rPr/>
      </w:pPr>
      <w:r>
        <w:rPr>
          <w:sz w:val="24"/>
          <w:szCs w:val="24"/>
        </w:rPr>
        <w:t>Vote:  Passed with unanimous consent</w:t>
        <w:br/>
      </w:r>
      <w:r>
        <w:br w:type="page"/>
      </w:r>
    </w:p>
    <w:p>
      <w:pPr>
        <w:pStyle w:val="ListParagraph"/>
        <w:numPr>
          <w:ilvl w:val="0"/>
          <w:numId w:val="1"/>
        </w:numPr>
        <w:spacing w:before="0" w:after="0"/>
        <w:contextualSpacing/>
        <w:rPr/>
      </w:pPr>
      <w:r>
        <w:rPr>
          <w:b/>
          <w:bCs/>
          <w:sz w:val="24"/>
          <w:szCs w:val="24"/>
        </w:rPr>
        <w:t>Status of ongoing consultations (</w:t>
      </w:r>
      <w:hyperlink r:id="rId9">
        <w:r>
          <w:rPr>
            <w:rStyle w:val="Internetlnk"/>
            <w:b/>
            <w:bCs/>
            <w:sz w:val="24"/>
            <w:szCs w:val="24"/>
          </w:rPr>
          <w:t>18-22/0035r24</w:t>
        </w:r>
      </w:hyperlink>
      <w:r>
        <w:rPr>
          <w:b/>
          <w:bCs/>
          <w:sz w:val="24"/>
          <w:szCs w:val="24"/>
        </w:rPr>
        <w:t>)</w:t>
      </w:r>
      <w:r>
        <w:rPr>
          <w:sz w:val="24"/>
          <w:szCs w:val="24"/>
        </w:rPr>
        <w:t xml:space="preserve"> contains the status of ongoing consultations along with internal deadlines for EC approval and external approval. </w:t>
        <w:br/>
        <w:br/>
        <w:t>Chair presented consultations with internal deadlines in July.</w:t>
        <w:br/>
        <w:br/>
        <w:t xml:space="preserve">Two consultations from the European Commission have deadlines on 26 July and 12 August respectively. In order to provide the EC with appropriate time for reviewing IEEE 802 contributions, initial draft of the first consultation must be available by 12 July (first meeting slot during IEEE 802 July Plenary). </w:t>
      </w:r>
      <w:r>
        <w:rPr>
          <w:sz w:val="24"/>
          <w:szCs w:val="24"/>
          <w:shd w:fill="FFFF00" w:val="clear"/>
        </w:rPr>
        <w:t>Two members agree to create a draft.</w:t>
      </w:r>
    </w:p>
    <w:p>
      <w:pPr>
        <w:pStyle w:val="Normal"/>
        <w:spacing w:before="0" w:after="0"/>
        <w:ind w:left="360" w:hanging="0"/>
        <w:contextualSpacing/>
        <w:rPr/>
      </w:pPr>
      <w:r>
        <w:rPr/>
        <w:tab/>
      </w:r>
    </w:p>
    <w:p>
      <w:pPr>
        <w:pStyle w:val="Normal"/>
        <w:spacing w:before="0" w:after="0"/>
        <w:ind w:left="360" w:hanging="0"/>
        <w:contextualSpacing/>
        <w:rPr>
          <w:sz w:val="24"/>
          <w:szCs w:val="24"/>
        </w:rPr>
      </w:pPr>
      <w:r>
        <w:rPr>
          <w:sz w:val="24"/>
          <w:szCs w:val="24"/>
        </w:rPr>
        <w:t>Two consultations from the French regulatory authority ARCEP cover the future of mobile networks broadly, and a series of allocations in the 5 GHz bands that follow on previous European level decisions. Chair presents the consultations and internal deadlines. No further comments received.</w:t>
      </w:r>
    </w:p>
    <w:p>
      <w:pPr>
        <w:pStyle w:val="Normal"/>
        <w:spacing w:before="0" w:after="0"/>
        <w:contextualSpacing/>
        <w:rPr>
          <w:sz w:val="24"/>
          <w:szCs w:val="24"/>
        </w:rPr>
      </w:pPr>
      <w:r>
        <w:rPr>
          <w:sz w:val="24"/>
          <w:szCs w:val="24"/>
        </w:rPr>
      </w:r>
    </w:p>
    <w:p>
      <w:pPr>
        <w:pStyle w:val="ListParagraph"/>
        <w:numPr>
          <w:ilvl w:val="0"/>
          <w:numId w:val="1"/>
        </w:numPr>
        <w:spacing w:before="0" w:after="0"/>
        <w:contextualSpacing/>
        <w:rPr/>
      </w:pPr>
      <w:r>
        <w:rPr>
          <w:b/>
          <w:bCs/>
          <w:sz w:val="24"/>
          <w:szCs w:val="24"/>
        </w:rPr>
        <w:t>IEEE Standards Association Position Statement on Intelligent Spectrum Allocation and Management</w:t>
        <w:br/>
        <w:br/>
        <w:t>Chair:</w:t>
      </w:r>
      <w:r>
        <w:rPr>
          <w:sz w:val="24"/>
          <w:szCs w:val="24"/>
        </w:rPr>
        <w:t xml:space="preserve"> Together with IEEE Policy Affairs Team we have reviewed two options (chair slide deck #13, above under point 1) for a review time-line for the position statement. Coordination within the IEEE 802 EC is scheduled for 11 July. Option 2 is the zone with the more protracted timeline and is preferred by everyone consulted ahead of this call.</w:t>
        <w:br/>
        <w:br/>
        <w:t>No one in the call objects to option 2.</w:t>
      </w:r>
    </w:p>
    <w:p>
      <w:pPr>
        <w:pStyle w:val="ListParagraph"/>
        <w:spacing w:before="0" w:after="0"/>
        <w:ind w:left="360" w:hanging="0"/>
        <w:contextualSpacing/>
        <w:rPr>
          <w:sz w:val="24"/>
          <w:szCs w:val="24"/>
        </w:rPr>
      </w:pPr>
      <w:r>
        <w:rPr>
          <w:sz w:val="24"/>
          <w:szCs w:val="24"/>
        </w:rPr>
      </w:r>
    </w:p>
    <w:p>
      <w:pPr>
        <w:pStyle w:val="ListParagraph"/>
        <w:spacing w:before="0" w:after="0"/>
        <w:ind w:left="360" w:hanging="0"/>
        <w:contextualSpacing/>
        <w:rPr/>
      </w:pPr>
      <w:r>
        <w:rPr>
          <w:b/>
          <w:bCs/>
          <w:sz w:val="24"/>
          <w:szCs w:val="24"/>
        </w:rPr>
        <w:t>Chair:</w:t>
      </w:r>
      <w:r>
        <w:rPr>
          <w:sz w:val="24"/>
          <w:szCs w:val="24"/>
        </w:rPr>
        <w:t xml:space="preserve"> Will inform EC that option 2 is preferable.</w:t>
      </w:r>
    </w:p>
    <w:p>
      <w:pPr>
        <w:pStyle w:val="ListParagraph"/>
        <w:spacing w:before="0" w:after="0"/>
        <w:ind w:left="360" w:hanging="0"/>
        <w:contextualSpacing/>
        <w:rPr>
          <w:sz w:val="24"/>
          <w:szCs w:val="24"/>
        </w:rPr>
      </w:pPr>
      <w:r>
        <w:rPr>
          <w:sz w:val="24"/>
          <w:szCs w:val="24"/>
        </w:rPr>
      </w:r>
    </w:p>
    <w:p>
      <w:pPr>
        <w:pStyle w:val="ListParagraph"/>
        <w:spacing w:before="0" w:after="0"/>
        <w:ind w:left="360" w:hanging="0"/>
        <w:contextualSpacing/>
        <w:rPr/>
      </w:pPr>
      <w:r>
        <w:rPr>
          <w:b/>
          <w:bCs/>
          <w:sz w:val="24"/>
          <w:szCs w:val="24"/>
        </w:rPr>
        <w:t>Chair:</w:t>
      </w:r>
      <w:r>
        <w:rPr>
          <w:sz w:val="24"/>
          <w:szCs w:val="24"/>
        </w:rPr>
        <w:t xml:space="preserve"> The IEEE 802 Chair believes that IEEE 802.18 should be responsible for this effort. It may also be suitable to have an ad-hoc group for revising this statement. </w:t>
      </w:r>
    </w:p>
    <w:p>
      <w:pPr>
        <w:pStyle w:val="ListParagraph"/>
        <w:spacing w:before="0" w:after="0"/>
        <w:ind w:left="360" w:hanging="0"/>
        <w:contextualSpacing/>
        <w:rPr>
          <w:sz w:val="24"/>
          <w:szCs w:val="24"/>
        </w:rPr>
      </w:pPr>
      <w:r>
        <w:rPr>
          <w:sz w:val="24"/>
          <w:szCs w:val="24"/>
        </w:rPr>
      </w:r>
    </w:p>
    <w:p>
      <w:pPr>
        <w:pStyle w:val="ListParagraph"/>
        <w:spacing w:before="0" w:after="0"/>
        <w:ind w:left="360" w:hanging="0"/>
        <w:contextualSpacing/>
        <w:rPr/>
      </w:pPr>
      <w:r>
        <w:rPr>
          <w:b/>
          <w:bCs/>
          <w:sz w:val="24"/>
          <w:szCs w:val="24"/>
        </w:rPr>
        <w:t>C:</w:t>
      </w:r>
      <w:r>
        <w:rPr>
          <w:sz w:val="24"/>
          <w:szCs w:val="24"/>
        </w:rPr>
        <w:t xml:space="preserve"> I want to lend my support to option 2 and to forming an ad-hoc group. I would like know who would be the chair of the ad-hoc and whether it is possible to adjust ad-hoc meeting hours. Who would be the chair?</w:t>
      </w:r>
    </w:p>
    <w:p>
      <w:pPr>
        <w:pStyle w:val="ListParagraph"/>
        <w:spacing w:before="0" w:after="0"/>
        <w:ind w:left="360" w:hanging="0"/>
        <w:contextualSpacing/>
        <w:rPr>
          <w:sz w:val="24"/>
          <w:szCs w:val="24"/>
        </w:rPr>
      </w:pPr>
      <w:r>
        <w:rPr>
          <w:sz w:val="24"/>
          <w:szCs w:val="24"/>
        </w:rPr>
      </w:r>
    </w:p>
    <w:p>
      <w:pPr>
        <w:pStyle w:val="ListParagraph"/>
        <w:spacing w:before="0" w:after="0"/>
        <w:ind w:left="360" w:hanging="0"/>
        <w:contextualSpacing/>
        <w:rPr/>
      </w:pPr>
      <w:r>
        <w:rPr>
          <w:b/>
          <w:bCs/>
          <w:sz w:val="24"/>
          <w:szCs w:val="24"/>
        </w:rPr>
        <w:t>Chair:</w:t>
      </w:r>
      <w:r>
        <w:rPr>
          <w:sz w:val="24"/>
          <w:szCs w:val="24"/>
        </w:rPr>
        <w:t xml:space="preserve"> Amelia Andersdotter (Sky UK Group) has kindly accepted to chair the ad-hoc group. Further logistical support will be provided, including a new sub-category on mentor.</w:t>
      </w:r>
    </w:p>
    <w:p>
      <w:pPr>
        <w:pStyle w:val="ListParagraph"/>
        <w:spacing w:before="0" w:after="0"/>
        <w:ind w:left="360" w:hanging="0"/>
        <w:contextualSpacing/>
        <w:rPr>
          <w:sz w:val="24"/>
          <w:szCs w:val="24"/>
        </w:rPr>
      </w:pPr>
      <w:r>
        <w:rPr>
          <w:sz w:val="24"/>
          <w:szCs w:val="24"/>
        </w:rPr>
      </w:r>
    </w:p>
    <w:p>
      <w:pPr>
        <w:pStyle w:val="ListParagraph"/>
        <w:spacing w:before="0" w:after="0"/>
        <w:ind w:left="360" w:hanging="0"/>
        <w:contextualSpacing/>
        <w:rPr/>
      </w:pPr>
      <w:r>
        <w:rPr>
          <w:b/>
          <w:bCs/>
          <w:sz w:val="24"/>
          <w:szCs w:val="24"/>
        </w:rPr>
        <w:t>C:</w:t>
      </w:r>
      <w:r>
        <w:rPr>
          <w:sz w:val="24"/>
          <w:szCs w:val="24"/>
        </w:rPr>
        <w:t xml:space="preserve"> We will need to coordinate inputs from many different parties in .11, .15, and perhaps .19 and other groups as well. </w:t>
        <w:br/>
      </w:r>
    </w:p>
    <w:p>
      <w:pPr>
        <w:pStyle w:val="Normal"/>
        <w:numPr>
          <w:ilvl w:val="0"/>
          <w:numId w:val="1"/>
        </w:numPr>
        <w:spacing w:before="0" w:after="0"/>
        <w:contextualSpacing/>
        <w:rPr/>
      </w:pPr>
      <w:r>
        <w:rPr>
          <w:b/>
          <w:bCs/>
          <w:sz w:val="24"/>
          <w:szCs w:val="24"/>
        </w:rPr>
        <w:t>Reminder about IEEE 802 Plenary meeting 10-15 July 2022.</w:t>
      </w:r>
      <w:r>
        <w:rPr>
          <w:sz w:val="24"/>
          <w:szCs w:val="24"/>
        </w:rPr>
        <w:br/>
      </w:r>
    </w:p>
    <w:p>
      <w:pPr>
        <w:pStyle w:val="Normal"/>
        <w:numPr>
          <w:ilvl w:val="1"/>
          <w:numId w:val="1"/>
        </w:numPr>
        <w:spacing w:before="0" w:after="0"/>
        <w:contextualSpacing/>
        <w:rPr/>
      </w:pPr>
      <w:r>
        <w:rPr>
          <w:sz w:val="24"/>
          <w:szCs w:val="24"/>
        </w:rPr>
        <w:t xml:space="preserve">Preliminary agenda posted in document </w:t>
      </w:r>
      <w:hyperlink r:id="rId10">
        <w:r>
          <w:rPr>
            <w:rStyle w:val="Internetlnk"/>
            <w:sz w:val="24"/>
            <w:szCs w:val="24"/>
          </w:rPr>
          <w:t>18-22-0062r0</w:t>
        </w:r>
      </w:hyperlink>
      <w:r>
        <w:rPr>
          <w:sz w:val="24"/>
          <w:szCs w:val="24"/>
        </w:rPr>
        <w:t xml:space="preserve">. (see also opening report </w:t>
      </w:r>
      <w:hyperlink r:id="rId11">
        <w:r>
          <w:rPr>
            <w:rStyle w:val="Internetlnk"/>
            <w:sz w:val="24"/>
            <w:szCs w:val="24"/>
          </w:rPr>
          <w:t>18-22-0063r0</w:t>
        </w:r>
      </w:hyperlink>
      <w:r>
        <w:rPr>
          <w:sz w:val="24"/>
          <w:szCs w:val="24"/>
        </w:rPr>
        <w:t>)</w:t>
      </w:r>
    </w:p>
    <w:p>
      <w:pPr>
        <w:pStyle w:val="Normal"/>
        <w:spacing w:before="0" w:after="0"/>
        <w:ind w:left="360" w:hanging="0"/>
        <w:contextualSpacing/>
        <w:rPr>
          <w:sz w:val="24"/>
          <w:szCs w:val="24"/>
        </w:rPr>
      </w:pPr>
      <w:r>
        <w:rPr>
          <w:sz w:val="24"/>
          <w:szCs w:val="24"/>
        </w:rPr>
      </w:r>
    </w:p>
    <w:p>
      <w:pPr>
        <w:pStyle w:val="Normal"/>
        <w:numPr>
          <w:ilvl w:val="1"/>
          <w:numId w:val="1"/>
        </w:numPr>
        <w:spacing w:before="0" w:after="0"/>
        <w:contextualSpacing/>
        <w:rPr/>
      </w:pPr>
      <w:r>
        <w:rPr>
          <w:sz w:val="24"/>
          <w:szCs w:val="24"/>
        </w:rPr>
        <w:t xml:space="preserve">RR-TAG meeting slots are Tuesday AM2 and Thursday AM1.  </w:t>
        <w:br/>
        <w:br/>
      </w:r>
      <w:r>
        <w:rPr>
          <w:b/>
          <w:bCs/>
          <w:sz w:val="24"/>
          <w:szCs w:val="24"/>
        </w:rPr>
        <w:t>C:</w:t>
      </w:r>
      <w:r>
        <w:rPr>
          <w:sz w:val="24"/>
          <w:szCs w:val="24"/>
        </w:rPr>
        <w:t xml:space="preserve"> The current scheduling overlaps with IEEE 802.11 WNG session on Tuesday. Because this is typically a well-visited session with the new topics for the .11 working group this will make it difficult for a lot of people who would be interested in .18 topics to attend. Is it possible to reconsider this meeting slot?</w:t>
        <w:br/>
      </w:r>
      <w:r>
        <w:rPr>
          <w:b/>
          <w:bCs/>
          <w:sz w:val="24"/>
          <w:szCs w:val="24"/>
        </w:rPr>
        <w:t>Chair:</w:t>
      </w:r>
      <w:r>
        <w:rPr>
          <w:sz w:val="24"/>
          <w:szCs w:val="24"/>
        </w:rPr>
        <w:t xml:space="preserve"> At the moment, I deem it too late. </w:t>
      </w:r>
      <w:r>
        <w:rPr>
          <w:sz w:val="24"/>
          <w:szCs w:val="24"/>
          <w:shd w:fill="FFFF00" w:val="clear"/>
        </w:rPr>
        <w:t>But I will contact the .11 and .15 chairs and discuss how we can schedule sessions more appropriately starting with the September interim session.</w:t>
      </w:r>
      <w:r>
        <w:rPr>
          <w:sz w:val="24"/>
          <w:szCs w:val="24"/>
        </w:rPr>
        <w:t xml:space="preserve"> The point is well-taken.</w:t>
      </w:r>
    </w:p>
    <w:p>
      <w:pPr>
        <w:pStyle w:val="Normal"/>
        <w:spacing w:before="0" w:after="0"/>
        <w:ind w:left="720" w:hanging="0"/>
        <w:contextualSpacing/>
        <w:jc w:val="both"/>
        <w:rPr>
          <w:sz w:val="24"/>
          <w:szCs w:val="24"/>
        </w:rPr>
      </w:pPr>
      <w:r>
        <w:rPr>
          <w:sz w:val="24"/>
          <w:szCs w:val="24"/>
        </w:rPr>
      </w:r>
    </w:p>
    <w:p>
      <w:pPr>
        <w:pStyle w:val="Normal"/>
        <w:numPr>
          <w:ilvl w:val="1"/>
          <w:numId w:val="1"/>
        </w:numPr>
        <w:spacing w:before="0" w:after="0"/>
        <w:contextualSpacing/>
        <w:rPr/>
      </w:pPr>
      <w:r>
        <w:rPr>
          <w:sz w:val="24"/>
          <w:szCs w:val="24"/>
        </w:rPr>
        <w:t>Reminder to register attendance not only by being registered for the plenary meeting, but also to register attendance for the individual session. IMAT is being used during the July plenary!</w:t>
        <w:br/>
      </w:r>
    </w:p>
    <w:p>
      <w:pPr>
        <w:pStyle w:val="Normal"/>
        <w:numPr>
          <w:ilvl w:val="1"/>
          <w:numId w:val="1"/>
        </w:numPr>
        <w:spacing w:before="0" w:after="0"/>
        <w:contextualSpacing/>
        <w:rPr/>
      </w:pPr>
      <w:r>
        <w:rPr>
          <w:sz w:val="24"/>
          <w:szCs w:val="24"/>
        </w:rPr>
        <w:t xml:space="preserve">Slide #15 in chair slide deck (above under para. 1): general reminder of meeting logistics for mixed-mode. Remote participants asked to turn off video. The webex chat will be used for queue management whether participant is remote or on-site. Straw-polls and motions will also be managed through webex. Call-in info can be found in doc. </w:t>
      </w:r>
      <w:hyperlink r:id="rId12">
        <w:r>
          <w:rPr>
            <w:rStyle w:val="Internetlnk"/>
            <w:sz w:val="24"/>
            <w:szCs w:val="24"/>
          </w:rPr>
          <w:t>18-16-0038r22</w:t>
        </w:r>
      </w:hyperlink>
      <w:r>
        <w:rPr>
          <w:sz w:val="24"/>
          <w:szCs w:val="24"/>
        </w:rPr>
        <w:t xml:space="preserve"> or the </w:t>
      </w:r>
      <w:hyperlink r:id="rId13">
        <w:r>
          <w:rPr>
            <w:rStyle w:val="Internetlnk"/>
            <w:sz w:val="24"/>
            <w:szCs w:val="24"/>
          </w:rPr>
          <w:t>IEEE 802.18 RR-TAG calendar</w:t>
        </w:r>
      </w:hyperlink>
      <w:r>
        <w:rPr>
          <w:sz w:val="24"/>
          <w:szCs w:val="24"/>
        </w:rPr>
        <w:t>.</w:t>
        <w:br/>
      </w:r>
    </w:p>
    <w:p>
      <w:pPr>
        <w:pStyle w:val="Normal"/>
        <w:numPr>
          <w:ilvl w:val="1"/>
          <w:numId w:val="1"/>
        </w:numPr>
        <w:spacing w:before="0" w:after="0"/>
        <w:contextualSpacing/>
        <w:rPr/>
      </w:pPr>
      <w:r>
        <w:rPr>
          <w:sz w:val="24"/>
          <w:szCs w:val="24"/>
        </w:rPr>
        <w:t xml:space="preserve">Reminder to print your own badge. </w:t>
        <w:br/>
      </w:r>
    </w:p>
    <w:p>
      <w:pPr>
        <w:pStyle w:val="Normal"/>
        <w:numPr>
          <w:ilvl w:val="1"/>
          <w:numId w:val="1"/>
        </w:numPr>
        <w:spacing w:before="0" w:after="0"/>
        <w:contextualSpacing/>
        <w:rPr/>
      </w:pPr>
      <w:r>
        <w:rPr>
          <w:sz w:val="24"/>
          <w:szCs w:val="24"/>
        </w:rPr>
        <w:t>Reminder to do pre-registration using ArriveCAN ahead of arrival in Canada.</w:t>
      </w:r>
      <w:r>
        <w:rPr>
          <w:b/>
          <w:bCs/>
          <w:sz w:val="24"/>
          <w:szCs w:val="24"/>
        </w:rPr>
        <w:br/>
      </w:r>
    </w:p>
    <w:p>
      <w:pPr>
        <w:pStyle w:val="Normal"/>
        <w:numPr>
          <w:ilvl w:val="0"/>
          <w:numId w:val="1"/>
        </w:numPr>
        <w:spacing w:before="0" w:after="0"/>
        <w:contextualSpacing/>
        <w:rPr/>
      </w:pPr>
      <w:r>
        <w:rPr>
          <w:b/>
          <w:bCs/>
          <w:sz w:val="24"/>
          <w:szCs w:val="24"/>
        </w:rPr>
        <w:t>General topics.</w:t>
      </w:r>
      <w:r>
        <w:rPr>
          <w:sz w:val="24"/>
          <w:szCs w:val="24"/>
        </w:rPr>
        <w:br/>
      </w:r>
    </w:p>
    <w:p>
      <w:pPr>
        <w:pStyle w:val="Normal"/>
        <w:numPr>
          <w:ilvl w:val="1"/>
          <w:numId w:val="1"/>
        </w:numPr>
        <w:spacing w:before="0" w:after="0"/>
        <w:contextualSpacing/>
        <w:rPr/>
      </w:pPr>
      <w:r>
        <w:rPr>
          <w:b/>
          <w:bCs/>
          <w:sz w:val="24"/>
          <w:szCs w:val="24"/>
        </w:rPr>
        <w:t>Europe</w:t>
      </w:r>
      <w:r>
        <w:rPr>
          <w:sz w:val="24"/>
          <w:szCs w:val="24"/>
        </w:rPr>
        <w:br/>
        <w:br/>
        <w:t>Ofcom has decided not to allocate the upper 6 GHz bands to a shared access framework license for now. This was in line with the contribution to Ofcoms consultation made by the IEEE 802. Chair thanks members for contributions.</w:t>
        <w:br/>
        <w:br/>
        <w:t>No other new comments or information to share (refer to previous minutes for ongoing topics).</w:t>
      </w:r>
    </w:p>
    <w:p>
      <w:pPr>
        <w:pStyle w:val="Normal"/>
        <w:spacing w:before="0" w:after="0"/>
        <w:ind w:left="360" w:hanging="0"/>
        <w:contextualSpacing/>
        <w:rPr/>
      </w:pPr>
      <w:r>
        <w:rPr/>
      </w:r>
    </w:p>
    <w:p>
      <w:pPr>
        <w:pStyle w:val="Normal"/>
        <w:numPr>
          <w:ilvl w:val="1"/>
          <w:numId w:val="1"/>
        </w:numPr>
        <w:spacing w:before="0" w:after="0"/>
        <w:contextualSpacing/>
        <w:rPr/>
      </w:pPr>
      <w:r>
        <w:rPr>
          <w:b/>
          <w:bCs/>
          <w:sz w:val="24"/>
          <w:szCs w:val="24"/>
        </w:rPr>
        <w:t>Americas</w:t>
      </w:r>
      <w:r>
        <w:rPr>
          <w:sz w:val="24"/>
          <w:szCs w:val="24"/>
        </w:rPr>
        <w:br/>
        <w:br/>
        <w:t>Refer to previous minutes for information on upcoming FCC minutes.</w:t>
        <w:br/>
        <w:br/>
        <w:t>The Wireless Telecommunications Bureau (WTB) and Public Safety and Homeland Security Bureau (PSHSB) issued a Public Notice seeking comments on a request to waiver the FCCs rules on Intelligent Transport Systems (ITS). Some automakers, authorities and equipment manufacturers want to start operating Cellular Vehicle-to-Everything (C-V2X) technology immediately in the upper 30 megahertz (5.895-5.925 GHz) portion of the 5.850-5.925 GHz Band (5.9 GHz Band). Final rules are still to be determined by FCC.</w:t>
      </w:r>
    </w:p>
    <w:p>
      <w:pPr>
        <w:pStyle w:val="Normal"/>
        <w:spacing w:before="0" w:after="0"/>
        <w:ind w:left="720" w:hanging="0"/>
        <w:contextualSpacing/>
        <w:rPr/>
      </w:pPr>
      <w:r>
        <w:rPr/>
      </w:r>
    </w:p>
    <w:p>
      <w:pPr>
        <w:pStyle w:val="Normal"/>
        <w:numPr>
          <w:ilvl w:val="1"/>
          <w:numId w:val="1"/>
        </w:numPr>
        <w:spacing w:before="0" w:after="0"/>
        <w:contextualSpacing/>
        <w:rPr/>
      </w:pPr>
      <w:r>
        <w:rPr>
          <w:b/>
          <w:bCs/>
          <w:sz w:val="24"/>
          <w:szCs w:val="24"/>
        </w:rPr>
        <w:t>Asia/Pacific</w:t>
        <w:br/>
      </w:r>
      <w:r>
        <w:rPr>
          <w:sz w:val="24"/>
          <w:szCs w:val="24"/>
        </w:rPr>
        <w:br/>
        <w:t>No new comments or information to share (refer to previous minutes for ongoing topics).</w:t>
        <w:br/>
      </w:r>
    </w:p>
    <w:p>
      <w:pPr>
        <w:pStyle w:val="Normal"/>
        <w:numPr>
          <w:ilvl w:val="1"/>
          <w:numId w:val="1"/>
        </w:numPr>
        <w:spacing w:before="0" w:after="0"/>
        <w:contextualSpacing/>
        <w:rPr/>
      </w:pPr>
      <w:r>
        <w:rPr>
          <w:b/>
          <w:bCs/>
          <w:sz w:val="24"/>
          <w:szCs w:val="24"/>
        </w:rPr>
        <w:t>Other/ITU-R</w:t>
      </w:r>
    </w:p>
    <w:p>
      <w:pPr>
        <w:pStyle w:val="Normal"/>
        <w:ind w:left="720" w:hanging="0"/>
        <w:rPr>
          <w:highlight w:val="yellow"/>
        </w:rPr>
      </w:pPr>
      <w:r>
        <w:rPr>
          <w:b/>
          <w:bCs/>
        </w:rPr>
        <w:br/>
      </w:r>
      <w:r>
        <w:rPr/>
        <w:t>N</w:t>
      </w:r>
      <w:r>
        <w:rPr>
          <w:sz w:val="24"/>
          <w:szCs w:val="24"/>
        </w:rPr>
        <w:t>o new comments or information to share</w:t>
      </w:r>
      <w:r>
        <w:rPr>
          <w:sz w:val="24"/>
          <w:szCs w:val="24"/>
          <w:highlight w:val="yellow"/>
        </w:rPr>
        <w:br/>
      </w:r>
      <w:r>
        <w:rPr>
          <w:sz w:val="24"/>
          <w:szCs w:val="24"/>
        </w:rPr>
        <w:br/>
      </w:r>
    </w:p>
    <w:p>
      <w:pPr>
        <w:pStyle w:val="Normal"/>
        <w:numPr>
          <w:ilvl w:val="0"/>
          <w:numId w:val="1"/>
        </w:numPr>
        <w:spacing w:before="0" w:after="0"/>
        <w:contextualSpacing/>
        <w:rPr/>
      </w:pPr>
      <w:r>
        <w:rPr>
          <w:b/>
          <w:bCs/>
          <w:sz w:val="24"/>
          <w:szCs w:val="24"/>
        </w:rPr>
        <w:t>Reminder about the IEEE 802 Interim meeting in Waikoloa, Hawaii in September 2022</w:t>
        <w:br/>
      </w:r>
    </w:p>
    <w:p>
      <w:pPr>
        <w:pStyle w:val="Normal"/>
        <w:numPr>
          <w:ilvl w:val="1"/>
          <w:numId w:val="1"/>
        </w:numPr>
        <w:spacing w:before="0" w:after="0"/>
        <w:contextualSpacing/>
        <w:jc w:val="both"/>
        <w:rPr/>
      </w:pPr>
      <w:r>
        <w:rPr>
          <w:sz w:val="24"/>
          <w:szCs w:val="24"/>
        </w:rPr>
        <w:t>Standard registration closes on 15 August 2022</w:t>
      </w:r>
    </w:p>
    <w:p>
      <w:pPr>
        <w:pStyle w:val="Normal"/>
        <w:numPr>
          <w:ilvl w:val="1"/>
          <w:numId w:val="1"/>
        </w:numPr>
        <w:spacing w:before="0" w:after="0"/>
        <w:contextualSpacing/>
        <w:jc w:val="both"/>
        <w:rPr/>
      </w:pPr>
      <w:r>
        <w:rPr>
          <w:sz w:val="24"/>
          <w:szCs w:val="24"/>
        </w:rPr>
        <w:t>Standard Group rate hotel room bookings will close on 15 August 2022.</w:t>
      </w:r>
    </w:p>
    <w:p>
      <w:pPr>
        <w:pStyle w:val="Normal"/>
        <w:numPr>
          <w:ilvl w:val="1"/>
          <w:numId w:val="1"/>
        </w:numPr>
        <w:spacing w:before="0" w:after="0"/>
        <w:contextualSpacing/>
        <w:jc w:val="both"/>
        <w:rPr/>
      </w:pPr>
      <w:r>
        <w:rPr>
          <w:sz w:val="24"/>
          <w:szCs w:val="24"/>
        </w:rPr>
        <w:t>Non-Group rate hotel room bookings is US$459 per night</w:t>
      </w:r>
    </w:p>
    <w:p>
      <w:pPr>
        <w:pStyle w:val="Normal"/>
        <w:numPr>
          <w:ilvl w:val="1"/>
          <w:numId w:val="1"/>
        </w:numPr>
        <w:spacing w:before="0" w:after="0"/>
        <w:contextualSpacing/>
        <w:rPr>
          <w:highlight w:val="yellow"/>
        </w:rPr>
      </w:pPr>
      <w:r>
        <w:rPr>
          <w:sz w:val="24"/>
          <w:szCs w:val="24"/>
        </w:rPr>
        <w:t>RR-TAG meeting slots are Tuesday AM2 and Thursday AM1</w:t>
        <w:br/>
        <w:br/>
      </w:r>
      <w:r>
        <w:rPr>
          <w:b/>
          <w:bCs/>
          <w:sz w:val="24"/>
          <w:szCs w:val="24"/>
        </w:rPr>
        <w:t xml:space="preserve">C: </w:t>
      </w:r>
      <w:r>
        <w:rPr>
          <w:sz w:val="24"/>
          <w:szCs w:val="24"/>
        </w:rPr>
        <w:t>Will it be possible to change an on-site registration to an online registration?</w:t>
        <w:br/>
      </w:r>
      <w:bookmarkStart w:id="0" w:name="_GoBack"/>
      <w:bookmarkEnd w:id="0"/>
      <w:r>
        <w:rPr>
          <w:b/>
          <w:bCs/>
          <w:sz w:val="24"/>
          <w:szCs w:val="24"/>
          <w:highlight w:val="yellow"/>
        </w:rPr>
        <w:t>Chair:</w:t>
      </w:r>
      <w:r>
        <w:rPr>
          <w:sz w:val="24"/>
          <w:szCs w:val="24"/>
          <w:highlight w:val="yellow"/>
        </w:rPr>
        <w:t xml:space="preserve"> Yes and I will reconfirm it with the leadership of the Wireless Chairs Standing Committee. </w:t>
      </w:r>
    </w:p>
    <w:p>
      <w:pPr>
        <w:pStyle w:val="Normal"/>
        <w:spacing w:before="0" w:after="0"/>
        <w:ind w:left="720" w:hanging="0"/>
        <w:contextualSpacing/>
        <w:jc w:val="both"/>
        <w:rPr>
          <w:sz w:val="24"/>
          <w:szCs w:val="24"/>
        </w:rPr>
      </w:pPr>
      <w:r>
        <w:rPr>
          <w:sz w:val="24"/>
          <w:szCs w:val="24"/>
        </w:rPr>
      </w:r>
    </w:p>
    <w:p>
      <w:pPr>
        <w:pStyle w:val="Normal"/>
        <w:numPr>
          <w:ilvl w:val="0"/>
          <w:numId w:val="1"/>
        </w:numPr>
        <w:spacing w:before="0" w:after="0"/>
        <w:contextualSpacing/>
        <w:rPr>
          <w:sz w:val="24"/>
          <w:szCs w:val="24"/>
        </w:rPr>
      </w:pPr>
      <w:r>
        <w:rPr>
          <w:b/>
          <w:sz w:val="24"/>
          <w:szCs w:val="24"/>
        </w:rPr>
        <w:t>Any other business</w:t>
      </w:r>
    </w:p>
    <w:p>
      <w:pPr>
        <w:pStyle w:val="Normal"/>
        <w:numPr>
          <w:ilvl w:val="1"/>
          <w:numId w:val="1"/>
        </w:numPr>
        <w:spacing w:before="0" w:after="0"/>
        <w:contextualSpacing/>
        <w:rPr/>
      </w:pPr>
      <w:r>
        <w:rPr>
          <w:sz w:val="24"/>
          <w:szCs w:val="24"/>
        </w:rPr>
        <w:t>No one raises other issues.</w:t>
      </w:r>
    </w:p>
    <w:p>
      <w:pPr>
        <w:pStyle w:val="Normal"/>
        <w:spacing w:before="0" w:after="0"/>
        <w:ind w:left="720" w:hanging="0"/>
        <w:contextualSpacing/>
        <w:rPr>
          <w:sz w:val="24"/>
          <w:szCs w:val="24"/>
        </w:rPr>
      </w:pPr>
      <w:r>
        <w:rPr>
          <w:sz w:val="24"/>
          <w:szCs w:val="24"/>
        </w:rPr>
      </w:r>
    </w:p>
    <w:p>
      <w:pPr>
        <w:pStyle w:val="Normal"/>
        <w:numPr>
          <w:ilvl w:val="0"/>
          <w:numId w:val="1"/>
        </w:numPr>
        <w:spacing w:before="0" w:after="0"/>
        <w:contextualSpacing/>
        <w:rPr>
          <w:sz w:val="24"/>
          <w:szCs w:val="24"/>
        </w:rPr>
      </w:pPr>
      <w:r>
        <w:rPr>
          <w:b/>
          <w:sz w:val="24"/>
          <w:szCs w:val="24"/>
        </w:rPr>
        <w:t>Final administrative items</w:t>
      </w:r>
    </w:p>
    <w:p>
      <w:pPr>
        <w:pStyle w:val="Normal"/>
        <w:spacing w:before="0" w:after="0"/>
        <w:ind w:left="720" w:hanging="0"/>
        <w:contextualSpacing/>
        <w:rPr/>
      </w:pPr>
      <w:r>
        <w:rPr>
          <w:sz w:val="24"/>
          <w:szCs w:val="24"/>
        </w:rPr>
        <w:t xml:space="preserve">13 participants and 9 voters (including the chair) [Report by Stuart Kerry]. </w:t>
      </w:r>
    </w:p>
    <w:p>
      <w:pPr>
        <w:pStyle w:val="Normal"/>
        <w:numPr>
          <w:ilvl w:val="1"/>
          <w:numId w:val="1"/>
        </w:numPr>
        <w:spacing w:before="0" w:after="0"/>
        <w:contextualSpacing/>
        <w:rPr/>
      </w:pPr>
      <w:r>
        <w:rPr>
          <w:b/>
          <w:bCs/>
          <w:sz w:val="24"/>
          <w:szCs w:val="24"/>
        </w:rPr>
        <w:t xml:space="preserve">Next weekly teleconference call scheduled for: 21 July 2022, 15h00 ET. </w:t>
      </w:r>
    </w:p>
    <w:p>
      <w:pPr>
        <w:pStyle w:val="Normal"/>
        <w:numPr>
          <w:ilvl w:val="3"/>
          <w:numId w:val="1"/>
        </w:numPr>
        <w:spacing w:before="0" w:after="0"/>
        <w:contextualSpacing/>
        <w:rPr/>
      </w:pPr>
      <w:r>
        <w:rPr>
          <w:sz w:val="24"/>
          <w:szCs w:val="24"/>
        </w:rPr>
        <w:t xml:space="preserve">Call in info: </w:t>
      </w:r>
      <w:hyperlink r:id="rId14">
        <w:r>
          <w:rPr>
            <w:rStyle w:val="Internetlnk"/>
            <w:sz w:val="24"/>
            <w:szCs w:val="24"/>
          </w:rPr>
          <w:t>https://mentor.ieee.org/802.18/dcn/16/18-16-0038-22-0000-teleconference-call-in-info.pptx</w:t>
        </w:r>
      </w:hyperlink>
    </w:p>
    <w:p>
      <w:pPr>
        <w:pStyle w:val="Normal"/>
        <w:numPr>
          <w:ilvl w:val="3"/>
          <w:numId w:val="1"/>
        </w:numPr>
        <w:spacing w:before="0" w:after="0"/>
        <w:contextualSpacing/>
        <w:rPr/>
      </w:pPr>
      <w:r>
        <w:rPr>
          <w:sz w:val="24"/>
          <w:szCs w:val="24"/>
        </w:rPr>
        <w:t xml:space="preserve">IEEE 802 Plenary is 10-15 July in Montreal.  </w:t>
      </w:r>
    </w:p>
    <w:p>
      <w:pPr>
        <w:pStyle w:val="Normal"/>
        <w:numPr>
          <w:ilvl w:val="3"/>
          <w:numId w:val="1"/>
        </w:numPr>
        <w:spacing w:before="0" w:after="0"/>
        <w:contextualSpacing/>
        <w:rPr/>
      </w:pPr>
      <w:r>
        <w:rPr>
          <w:sz w:val="24"/>
          <w:szCs w:val="24"/>
        </w:rPr>
        <w:t xml:space="preserve">Currently, weekly teleconferences are scheduled until 22 September 2022. </w:t>
      </w:r>
    </w:p>
    <w:p>
      <w:pPr>
        <w:pStyle w:val="Normal"/>
        <w:numPr>
          <w:ilvl w:val="3"/>
          <w:numId w:val="1"/>
        </w:numPr>
        <w:spacing w:before="0" w:after="0"/>
        <w:contextualSpacing/>
        <w:rPr/>
      </w:pPr>
      <w:r>
        <w:rPr>
          <w:sz w:val="24"/>
          <w:szCs w:val="24"/>
        </w:rPr>
        <w:t xml:space="preserve">All late changes/cancellations will be sent out to the 802.18 list server. </w:t>
      </w:r>
    </w:p>
    <w:p>
      <w:pPr>
        <w:pStyle w:val="Normal"/>
        <w:numPr>
          <w:ilvl w:val="3"/>
          <w:numId w:val="1"/>
        </w:numPr>
        <w:spacing w:before="0" w:after="0"/>
        <w:contextualSpacing/>
        <w:rPr/>
      </w:pPr>
      <w:r>
        <w:rPr>
          <w:sz w:val="24"/>
          <w:szCs w:val="24"/>
        </w:rPr>
        <w:t xml:space="preserve">Overall IEEE 802 schedule: </w:t>
      </w:r>
      <w:hyperlink r:id="rId15">
        <w:r>
          <w:rPr>
            <w:rStyle w:val="Internetlnk"/>
            <w:sz w:val="24"/>
            <w:szCs w:val="24"/>
          </w:rPr>
          <w:t>http://ieee802.org/802tele_calendar.html</w:t>
        </w:r>
      </w:hyperlink>
      <w:r>
        <w:rPr>
          <w:sz w:val="24"/>
          <w:szCs w:val="24"/>
        </w:rPr>
        <w:t xml:space="preserve"> or only 802.18:  </w:t>
      </w:r>
      <w:hyperlink r:id="rId16">
        <w:r>
          <w:rPr>
            <w:rStyle w:val="Internetlnk"/>
            <w:sz w:val="24"/>
            <w:szCs w:val="24"/>
          </w:rPr>
          <w:t>IEEE 802.18 TAG Calendar</w:t>
        </w:r>
      </w:hyperlink>
    </w:p>
    <w:p>
      <w:pPr>
        <w:pStyle w:val="Normal"/>
        <w:numPr>
          <w:ilvl w:val="1"/>
          <w:numId w:val="1"/>
        </w:numPr>
        <w:spacing w:before="0" w:after="0"/>
        <w:contextualSpacing/>
        <w:rPr/>
      </w:pPr>
      <w:r>
        <w:rPr>
          <w:bCs/>
          <w:sz w:val="24"/>
          <w:szCs w:val="24"/>
        </w:rPr>
        <w:t xml:space="preserve">Adjourn: </w:t>
        <w:tab/>
        <w:t xml:space="preserve"> </w:t>
      </w:r>
    </w:p>
    <w:p>
      <w:pPr>
        <w:pStyle w:val="ListParagraph"/>
        <w:numPr>
          <w:ilvl w:val="0"/>
          <w:numId w:val="3"/>
        </w:numPr>
        <w:spacing w:before="0" w:after="0"/>
        <w:ind w:left="720" w:hanging="0"/>
        <w:contextualSpacing/>
        <w:rPr/>
      </w:pPr>
      <w:r>
        <w:rPr>
          <w:sz w:val="24"/>
          <w:szCs w:val="24"/>
        </w:rPr>
        <w:t>Any objection to Adjourn?  None heard.</w:t>
      </w:r>
    </w:p>
    <w:p>
      <w:pPr>
        <w:pStyle w:val="ListParagraph"/>
        <w:numPr>
          <w:ilvl w:val="0"/>
          <w:numId w:val="3"/>
        </w:numPr>
        <w:spacing w:before="0" w:after="0"/>
        <w:ind w:left="720" w:hanging="0"/>
        <w:contextualSpacing/>
        <w:rPr/>
      </w:pPr>
      <w:r>
        <w:rPr>
          <w:sz w:val="24"/>
          <w:szCs w:val="24"/>
        </w:rPr>
        <w:t>Adjourn at 15:57 ET</w:t>
      </w:r>
    </w:p>
    <w:p>
      <w:pPr>
        <w:pStyle w:val="Normal"/>
        <w:rPr>
          <w:sz w:val="24"/>
          <w:szCs w:val="24"/>
        </w:rPr>
      </w:pPr>
      <w:r>
        <w:rPr>
          <w:sz w:val="24"/>
          <w:szCs w:val="24"/>
        </w:rPr>
      </w:r>
    </w:p>
    <w:p>
      <w:pPr>
        <w:pStyle w:val="Normal"/>
        <w:rPr>
          <w:sz w:val="24"/>
          <w:szCs w:val="24"/>
        </w:rPr>
      </w:pPr>
      <w:r>
        <w:rPr>
          <w:sz w:val="24"/>
          <w:szCs w:val="24"/>
        </w:rPr>
      </w:r>
    </w:p>
    <w:p>
      <w:pPr>
        <w:pStyle w:val="ListParagraph"/>
        <w:ind w:left="0" w:hanging="0"/>
        <w:rPr>
          <w:b/>
          <w:b/>
          <w:sz w:val="24"/>
          <w:szCs w:val="24"/>
        </w:rPr>
      </w:pPr>
      <w:r>
        <w:rPr>
          <w:b/>
          <w:sz w:val="24"/>
          <w:szCs w:val="24"/>
        </w:rPr>
        <w:t>ATTENDANCE (</w:t>
      </w:r>
      <w:r>
        <w:rPr>
          <w:rFonts w:eastAsia="Times New Roman"/>
          <w:b/>
          <w:bCs/>
          <w:sz w:val="24"/>
          <w:szCs w:val="24"/>
        </w:rPr>
        <w:t>Weekly Meeting Attendance Names and Affiliations):</w:t>
      </w:r>
      <w:r>
        <w:rPr>
          <w:rFonts w:eastAsia="Times New Roman" w:cs="Arial" w:ascii="Arial" w:hAnsi="Arial"/>
          <w:b/>
          <w:bCs/>
          <w:sz w:val="20"/>
          <w:szCs w:val="24"/>
        </w:rPr>
        <w:br/>
      </w:r>
    </w:p>
    <w:p>
      <w:pPr>
        <w:pStyle w:val="ListParagraph"/>
        <w:ind w:left="0" w:hanging="0"/>
        <w:rPr>
          <w:b/>
          <w:b/>
          <w:sz w:val="24"/>
          <w:szCs w:val="24"/>
        </w:rPr>
      </w:pPr>
      <w:r>
        <w:rPr>
          <w:b/>
          <w:sz w:val="24"/>
          <w:szCs w:val="24"/>
        </w:rPr>
      </w:r>
    </w:p>
    <w:tbl>
      <w:tblPr>
        <w:tblW w:w="8171" w:type="dxa"/>
        <w:jc w:val="left"/>
        <w:tblInd w:w="0" w:type="dxa"/>
        <w:tblLayout w:type="fixed"/>
        <w:tblCellMar>
          <w:top w:w="0" w:type="dxa"/>
          <w:left w:w="0" w:type="dxa"/>
          <w:bottom w:w="0" w:type="dxa"/>
          <w:right w:w="0" w:type="dxa"/>
        </w:tblCellMar>
        <w:tblLook w:val="04a0" w:noHBand="0" w:noVBand="1" w:firstColumn="1" w:lastRow="0" w:lastColumn="0" w:firstRow="1"/>
      </w:tblPr>
      <w:tblGrid>
        <w:gridCol w:w="153"/>
        <w:gridCol w:w="1554"/>
        <w:gridCol w:w="1928"/>
        <w:gridCol w:w="4063"/>
        <w:gridCol w:w="473"/>
      </w:tblGrid>
      <w:tr>
        <w:trPr/>
        <w:tc>
          <w:tcPr>
            <w:tcW w:w="1707" w:type="dxa"/>
            <w:gridSpan w:val="2"/>
            <w:tcBorders/>
            <w:vAlign w:val="center"/>
          </w:tcPr>
          <w:p>
            <w:pPr>
              <w:pStyle w:val="Tabellinnehll"/>
              <w:widowControl w:val="false"/>
              <w:rPr>
                <w:rFonts w:ascii="Arial;sans-serif" w:hAnsi="Arial;sans-serif"/>
                <w:b/>
                <w:b/>
                <w:sz w:val="20"/>
              </w:rPr>
            </w:pPr>
            <w:r>
              <w:rPr>
                <w:rFonts w:ascii="Arial;sans-serif" w:hAnsi="Arial;sans-serif"/>
                <w:b/>
                <w:sz w:val="20"/>
              </w:rPr>
              <w:t>Voting Attendees:</w:t>
            </w:r>
          </w:p>
        </w:tc>
        <w:tc>
          <w:tcPr>
            <w:tcW w:w="1928" w:type="dxa"/>
            <w:tcBorders/>
            <w:vAlign w:val="center"/>
          </w:tcPr>
          <w:p>
            <w:pPr>
              <w:pStyle w:val="Tabellinnehll"/>
              <w:widowControl w:val="false"/>
              <w:rPr>
                <w:sz w:val="4"/>
                <w:szCs w:val="4"/>
              </w:rPr>
            </w:pPr>
            <w:r>
              <w:rPr>
                <w:sz w:val="4"/>
                <w:szCs w:val="4"/>
              </w:rPr>
            </w:r>
          </w:p>
        </w:tc>
        <w:tc>
          <w:tcPr>
            <w:tcW w:w="4063" w:type="dxa"/>
            <w:tcBorders/>
            <w:vAlign w:val="center"/>
          </w:tcPr>
          <w:p>
            <w:pPr>
              <w:pStyle w:val="Tabellinnehll"/>
              <w:widowControl w:val="false"/>
              <w:rPr>
                <w:sz w:val="4"/>
                <w:szCs w:val="4"/>
              </w:rPr>
            </w:pPr>
            <w:r>
              <w:rPr>
                <w:sz w:val="4"/>
                <w:szCs w:val="4"/>
              </w:rPr>
            </w:r>
          </w:p>
        </w:tc>
        <w:tc>
          <w:tcPr>
            <w:tcW w:w="473" w:type="dxa"/>
            <w:tcBorders/>
            <w:vAlign w:val="center"/>
          </w:tcPr>
          <w:p>
            <w:pPr>
              <w:pStyle w:val="Tabellinnehll"/>
              <w:widowControl w:val="false"/>
              <w:jc w:val="center"/>
              <w:rPr>
                <w:rFonts w:ascii="Arial;sans-serif" w:hAnsi="Arial;sans-serif"/>
                <w:b/>
                <w:b/>
                <w:sz w:val="20"/>
              </w:rPr>
            </w:pPr>
            <w:r>
              <w:rPr>
                <w:rFonts w:ascii="Arial;sans-serif" w:hAnsi="Arial;sans-serif"/>
                <w:b/>
                <w:sz w:val="20"/>
              </w:rPr>
              <w:t>7-Jul</w:t>
            </w:r>
          </w:p>
        </w:tc>
      </w:tr>
      <w:tr>
        <w:trPr/>
        <w:tc>
          <w:tcPr>
            <w:tcW w:w="153" w:type="dxa"/>
            <w:tcBorders/>
            <w:vAlign w:val="center"/>
          </w:tcPr>
          <w:p>
            <w:pPr>
              <w:pStyle w:val="Tabellinnehll"/>
              <w:widowControl w:val="false"/>
              <w:jc w:val="center"/>
              <w:rPr>
                <w:rFonts w:ascii="Arial;sans-serif" w:hAnsi="Arial;sans-serif"/>
                <w:sz w:val="20"/>
              </w:rPr>
            </w:pPr>
            <w:r>
              <w:rPr>
                <w:rFonts w:ascii="Arial;sans-serif" w:hAnsi="Arial;sans-serif"/>
                <w:sz w:val="20"/>
              </w:rPr>
              <w:t>1</w:t>
            </w:r>
          </w:p>
        </w:tc>
        <w:tc>
          <w:tcPr>
            <w:tcW w:w="1554" w:type="dxa"/>
            <w:tcBorders/>
            <w:vAlign w:val="center"/>
          </w:tcPr>
          <w:p>
            <w:pPr>
              <w:pStyle w:val="Tabellinnehll"/>
              <w:widowControl w:val="false"/>
              <w:rPr>
                <w:rFonts w:ascii="Arial;sans-serif" w:hAnsi="Arial;sans-serif"/>
                <w:b/>
                <w:b/>
                <w:sz w:val="20"/>
              </w:rPr>
            </w:pPr>
            <w:r>
              <w:rPr>
                <w:rFonts w:ascii="Arial;sans-serif" w:hAnsi="Arial;sans-serif"/>
                <w:b/>
                <w:sz w:val="20"/>
              </w:rPr>
              <w:t>Au</w:t>
            </w:r>
          </w:p>
        </w:tc>
        <w:tc>
          <w:tcPr>
            <w:tcW w:w="1928" w:type="dxa"/>
            <w:tcBorders/>
            <w:vAlign w:val="center"/>
          </w:tcPr>
          <w:p>
            <w:pPr>
              <w:pStyle w:val="Tabellinnehll"/>
              <w:widowControl w:val="false"/>
              <w:rPr>
                <w:rFonts w:ascii="Arial;sans-serif" w:hAnsi="Arial;sans-serif"/>
                <w:sz w:val="20"/>
              </w:rPr>
            </w:pPr>
            <w:r>
              <w:rPr>
                <w:rFonts w:ascii="Arial;sans-serif" w:hAnsi="Arial;sans-serif"/>
                <w:sz w:val="20"/>
              </w:rPr>
              <w:t>Edward (Kwok Shum)</w:t>
            </w:r>
          </w:p>
        </w:tc>
        <w:tc>
          <w:tcPr>
            <w:tcW w:w="4063" w:type="dxa"/>
            <w:tcBorders/>
            <w:vAlign w:val="center"/>
          </w:tcPr>
          <w:p>
            <w:pPr>
              <w:pStyle w:val="Tabellinnehll"/>
              <w:widowControl w:val="false"/>
              <w:rPr>
                <w:rFonts w:ascii="Arial;sans-serif" w:hAnsi="Arial;sans-serif"/>
                <w:sz w:val="20"/>
              </w:rPr>
            </w:pPr>
            <w:r>
              <w:rPr>
                <w:rFonts w:ascii="Arial;sans-serif" w:hAnsi="Arial;sans-serif"/>
                <w:sz w:val="20"/>
              </w:rPr>
              <w:t>Huawei Technologies Co., Ltd</w:t>
            </w:r>
          </w:p>
        </w:tc>
        <w:tc>
          <w:tcPr>
            <w:tcW w:w="473"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153" w:type="dxa"/>
            <w:tcBorders/>
            <w:vAlign w:val="center"/>
          </w:tcPr>
          <w:p>
            <w:pPr>
              <w:pStyle w:val="Tabellinnehll"/>
              <w:widowControl w:val="false"/>
              <w:jc w:val="center"/>
              <w:rPr>
                <w:rFonts w:ascii="Arial;sans-serif" w:hAnsi="Arial;sans-serif"/>
                <w:sz w:val="20"/>
              </w:rPr>
            </w:pPr>
            <w:r>
              <w:rPr>
                <w:rFonts w:ascii="Arial;sans-serif" w:hAnsi="Arial;sans-serif"/>
                <w:sz w:val="20"/>
              </w:rPr>
              <w:t>2</w:t>
            </w:r>
          </w:p>
        </w:tc>
        <w:tc>
          <w:tcPr>
            <w:tcW w:w="1554" w:type="dxa"/>
            <w:tcBorders/>
            <w:vAlign w:val="center"/>
          </w:tcPr>
          <w:p>
            <w:pPr>
              <w:pStyle w:val="Tabellinnehll"/>
              <w:widowControl w:val="false"/>
              <w:rPr>
                <w:rFonts w:ascii="Arial;sans-serif" w:hAnsi="Arial;sans-serif"/>
                <w:b/>
                <w:b/>
                <w:sz w:val="20"/>
              </w:rPr>
            </w:pPr>
            <w:r>
              <w:rPr>
                <w:rFonts w:ascii="Arial;sans-serif" w:hAnsi="Arial;sans-serif"/>
                <w:b/>
                <w:sz w:val="20"/>
              </w:rPr>
              <w:t>Holcomb</w:t>
            </w:r>
          </w:p>
        </w:tc>
        <w:tc>
          <w:tcPr>
            <w:tcW w:w="1928" w:type="dxa"/>
            <w:tcBorders/>
            <w:vAlign w:val="center"/>
          </w:tcPr>
          <w:p>
            <w:pPr>
              <w:pStyle w:val="Tabellinnehll"/>
              <w:widowControl w:val="false"/>
              <w:rPr>
                <w:rFonts w:ascii="Arial;sans-serif" w:hAnsi="Arial;sans-serif"/>
                <w:sz w:val="20"/>
              </w:rPr>
            </w:pPr>
            <w:r>
              <w:rPr>
                <w:rFonts w:ascii="Arial;sans-serif" w:hAnsi="Arial;sans-serif"/>
                <w:sz w:val="20"/>
              </w:rPr>
              <w:t>Jay</w:t>
            </w:r>
          </w:p>
        </w:tc>
        <w:tc>
          <w:tcPr>
            <w:tcW w:w="4063" w:type="dxa"/>
            <w:tcBorders/>
            <w:vAlign w:val="center"/>
          </w:tcPr>
          <w:p>
            <w:pPr>
              <w:pStyle w:val="Tabellinnehll"/>
              <w:widowControl w:val="false"/>
              <w:rPr>
                <w:rFonts w:ascii="Arial;sans-serif" w:hAnsi="Arial;sans-serif"/>
                <w:sz w:val="20"/>
              </w:rPr>
            </w:pPr>
            <w:r>
              <w:rPr>
                <w:rFonts w:ascii="Arial;sans-serif" w:hAnsi="Arial;sans-serif"/>
                <w:sz w:val="20"/>
              </w:rPr>
              <w:t>Itron Inc.</w:t>
            </w:r>
          </w:p>
        </w:tc>
        <w:tc>
          <w:tcPr>
            <w:tcW w:w="473"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153" w:type="dxa"/>
            <w:tcBorders/>
            <w:vAlign w:val="center"/>
          </w:tcPr>
          <w:p>
            <w:pPr>
              <w:pStyle w:val="Tabellinnehll"/>
              <w:widowControl w:val="false"/>
              <w:jc w:val="center"/>
              <w:rPr>
                <w:rFonts w:ascii="Arial;sans-serif" w:hAnsi="Arial;sans-serif"/>
                <w:sz w:val="20"/>
              </w:rPr>
            </w:pPr>
            <w:r>
              <w:rPr>
                <w:rFonts w:ascii="Arial;sans-serif" w:hAnsi="Arial;sans-serif"/>
                <w:sz w:val="20"/>
              </w:rPr>
              <w:t>3</w:t>
            </w:r>
          </w:p>
        </w:tc>
        <w:tc>
          <w:tcPr>
            <w:tcW w:w="1554" w:type="dxa"/>
            <w:tcBorders/>
            <w:vAlign w:val="center"/>
          </w:tcPr>
          <w:p>
            <w:pPr>
              <w:pStyle w:val="Tabellinnehll"/>
              <w:widowControl w:val="false"/>
              <w:rPr>
                <w:rFonts w:ascii="Arial;sans-serif" w:hAnsi="Arial;sans-serif"/>
                <w:b/>
                <w:b/>
                <w:sz w:val="20"/>
              </w:rPr>
            </w:pPr>
            <w:r>
              <w:rPr>
                <w:rFonts w:ascii="Arial;sans-serif" w:hAnsi="Arial;sans-serif"/>
                <w:b/>
                <w:sz w:val="20"/>
              </w:rPr>
              <w:t>Kain</w:t>
            </w:r>
          </w:p>
        </w:tc>
        <w:tc>
          <w:tcPr>
            <w:tcW w:w="1928" w:type="dxa"/>
            <w:tcBorders/>
            <w:vAlign w:val="center"/>
          </w:tcPr>
          <w:p>
            <w:pPr>
              <w:pStyle w:val="Tabellinnehll"/>
              <w:widowControl w:val="false"/>
              <w:rPr>
                <w:rFonts w:ascii="Arial;sans-serif" w:hAnsi="Arial;sans-serif"/>
                <w:sz w:val="20"/>
              </w:rPr>
            </w:pPr>
            <w:r>
              <w:rPr>
                <w:rFonts w:ascii="Arial;sans-serif" w:hAnsi="Arial;sans-serif"/>
                <w:sz w:val="20"/>
              </w:rPr>
              <w:t>Carl</w:t>
            </w:r>
          </w:p>
        </w:tc>
        <w:tc>
          <w:tcPr>
            <w:tcW w:w="4063" w:type="dxa"/>
            <w:tcBorders/>
            <w:vAlign w:val="center"/>
          </w:tcPr>
          <w:p>
            <w:pPr>
              <w:pStyle w:val="Tabellinnehll"/>
              <w:widowControl w:val="false"/>
              <w:rPr>
                <w:rFonts w:ascii="Arial;sans-serif" w:hAnsi="Arial;sans-serif"/>
                <w:sz w:val="20"/>
              </w:rPr>
            </w:pPr>
            <w:r>
              <w:rPr>
                <w:rFonts w:ascii="Arial;sans-serif" w:hAnsi="Arial;sans-serif"/>
                <w:sz w:val="20"/>
              </w:rPr>
              <w:t>USDOT, Noblis, Inc.</w:t>
            </w:r>
          </w:p>
        </w:tc>
        <w:tc>
          <w:tcPr>
            <w:tcW w:w="473"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153" w:type="dxa"/>
            <w:tcBorders/>
            <w:vAlign w:val="center"/>
          </w:tcPr>
          <w:p>
            <w:pPr>
              <w:pStyle w:val="Tabellinnehll"/>
              <w:widowControl w:val="false"/>
              <w:jc w:val="center"/>
              <w:rPr>
                <w:rFonts w:ascii="Arial;sans-serif" w:hAnsi="Arial;sans-serif"/>
                <w:sz w:val="20"/>
              </w:rPr>
            </w:pPr>
            <w:r>
              <w:rPr>
                <w:rFonts w:ascii="Arial;sans-serif" w:hAnsi="Arial;sans-serif"/>
                <w:sz w:val="20"/>
              </w:rPr>
              <w:t>4</w:t>
            </w:r>
          </w:p>
        </w:tc>
        <w:tc>
          <w:tcPr>
            <w:tcW w:w="1554" w:type="dxa"/>
            <w:tcBorders/>
            <w:vAlign w:val="center"/>
          </w:tcPr>
          <w:p>
            <w:pPr>
              <w:pStyle w:val="Tabellinnehll"/>
              <w:widowControl w:val="false"/>
              <w:rPr>
                <w:rFonts w:ascii="Arial;sans-serif" w:hAnsi="Arial;sans-serif"/>
                <w:b/>
                <w:b/>
                <w:sz w:val="20"/>
              </w:rPr>
            </w:pPr>
            <w:r>
              <w:rPr>
                <w:rFonts w:ascii="Arial;sans-serif" w:hAnsi="Arial;sans-serif"/>
                <w:b/>
                <w:sz w:val="20"/>
              </w:rPr>
              <w:t>Kerry</w:t>
            </w:r>
          </w:p>
        </w:tc>
        <w:tc>
          <w:tcPr>
            <w:tcW w:w="1928" w:type="dxa"/>
            <w:tcBorders/>
            <w:vAlign w:val="center"/>
          </w:tcPr>
          <w:p>
            <w:pPr>
              <w:pStyle w:val="Tabellinnehll"/>
              <w:widowControl w:val="false"/>
              <w:rPr>
                <w:rFonts w:ascii="Arial;sans-serif" w:hAnsi="Arial;sans-serif"/>
                <w:sz w:val="20"/>
              </w:rPr>
            </w:pPr>
            <w:r>
              <w:rPr>
                <w:rFonts w:ascii="Arial;sans-serif" w:hAnsi="Arial;sans-serif"/>
                <w:sz w:val="20"/>
              </w:rPr>
              <w:t>Stuart</w:t>
            </w:r>
          </w:p>
        </w:tc>
        <w:tc>
          <w:tcPr>
            <w:tcW w:w="4063" w:type="dxa"/>
            <w:tcBorders/>
            <w:vAlign w:val="center"/>
          </w:tcPr>
          <w:p>
            <w:pPr>
              <w:pStyle w:val="Tabellinnehll"/>
              <w:widowControl w:val="false"/>
              <w:rPr/>
            </w:pPr>
            <w:r>
              <w:rPr>
                <w:rFonts w:ascii="Arial;sans-serif" w:hAnsi="Arial;sans-serif"/>
                <w:sz w:val="20"/>
              </w:rPr>
              <w:t>OK</w:t>
            </w:r>
            <w:r>
              <w:rPr/>
              <w:t>‐</w:t>
            </w:r>
            <w:r>
              <w:rPr>
                <w:rFonts w:ascii="Arial;sans-serif" w:hAnsi="Arial;sans-serif"/>
                <w:sz w:val="20"/>
              </w:rPr>
              <w:t>Brit, Self</w:t>
            </w:r>
          </w:p>
        </w:tc>
        <w:tc>
          <w:tcPr>
            <w:tcW w:w="473"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153" w:type="dxa"/>
            <w:tcBorders/>
            <w:vAlign w:val="center"/>
          </w:tcPr>
          <w:p>
            <w:pPr>
              <w:pStyle w:val="Tabellinnehll"/>
              <w:widowControl w:val="false"/>
              <w:jc w:val="center"/>
              <w:rPr>
                <w:rFonts w:ascii="Arial;sans-serif" w:hAnsi="Arial;sans-serif"/>
                <w:sz w:val="20"/>
              </w:rPr>
            </w:pPr>
            <w:r>
              <w:rPr>
                <w:rFonts w:ascii="Arial;sans-serif" w:hAnsi="Arial;sans-serif"/>
                <w:sz w:val="20"/>
              </w:rPr>
              <w:t>5</w:t>
            </w:r>
          </w:p>
        </w:tc>
        <w:tc>
          <w:tcPr>
            <w:tcW w:w="1554" w:type="dxa"/>
            <w:tcBorders/>
            <w:vAlign w:val="center"/>
          </w:tcPr>
          <w:p>
            <w:pPr>
              <w:pStyle w:val="Tabellinnehll"/>
              <w:widowControl w:val="false"/>
              <w:rPr>
                <w:rFonts w:ascii="Arial;sans-serif" w:hAnsi="Arial;sans-serif"/>
                <w:b/>
                <w:b/>
                <w:sz w:val="20"/>
              </w:rPr>
            </w:pPr>
            <w:r>
              <w:rPr>
                <w:rFonts w:ascii="Arial;sans-serif" w:hAnsi="Arial;sans-serif"/>
                <w:b/>
                <w:sz w:val="20"/>
              </w:rPr>
              <w:t>Lynch</w:t>
            </w:r>
          </w:p>
        </w:tc>
        <w:tc>
          <w:tcPr>
            <w:tcW w:w="1928" w:type="dxa"/>
            <w:tcBorders/>
            <w:vAlign w:val="center"/>
          </w:tcPr>
          <w:p>
            <w:pPr>
              <w:pStyle w:val="Tabellinnehll"/>
              <w:widowControl w:val="false"/>
              <w:rPr>
                <w:rFonts w:ascii="Arial;sans-serif" w:hAnsi="Arial;sans-serif"/>
                <w:sz w:val="20"/>
              </w:rPr>
            </w:pPr>
            <w:r>
              <w:rPr>
                <w:rFonts w:ascii="Arial;sans-serif" w:hAnsi="Arial;sans-serif"/>
                <w:sz w:val="20"/>
              </w:rPr>
              <w:t>Michael</w:t>
            </w:r>
          </w:p>
        </w:tc>
        <w:tc>
          <w:tcPr>
            <w:tcW w:w="4063" w:type="dxa"/>
            <w:tcBorders/>
            <w:vAlign w:val="center"/>
          </w:tcPr>
          <w:p>
            <w:pPr>
              <w:pStyle w:val="Tabellinnehll"/>
              <w:widowControl w:val="false"/>
              <w:rPr>
                <w:rFonts w:ascii="Arial;sans-serif" w:hAnsi="Arial;sans-serif"/>
                <w:sz w:val="20"/>
              </w:rPr>
            </w:pPr>
            <w:r>
              <w:rPr>
                <w:rFonts w:ascii="Arial;sans-serif" w:hAnsi="Arial;sans-serif"/>
                <w:sz w:val="20"/>
              </w:rPr>
              <w:t>MJ Lynch &amp; Associates, LLC.</w:t>
            </w:r>
          </w:p>
        </w:tc>
        <w:tc>
          <w:tcPr>
            <w:tcW w:w="473"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153" w:type="dxa"/>
            <w:tcBorders/>
            <w:vAlign w:val="center"/>
          </w:tcPr>
          <w:p>
            <w:pPr>
              <w:pStyle w:val="Tabellinnehll"/>
              <w:widowControl w:val="false"/>
              <w:jc w:val="center"/>
              <w:rPr>
                <w:rFonts w:ascii="Arial;sans-serif" w:hAnsi="Arial;sans-serif"/>
                <w:sz w:val="20"/>
              </w:rPr>
            </w:pPr>
            <w:r>
              <w:rPr>
                <w:rFonts w:ascii="Arial;sans-serif" w:hAnsi="Arial;sans-serif"/>
                <w:sz w:val="20"/>
              </w:rPr>
              <w:t>6</w:t>
            </w:r>
          </w:p>
        </w:tc>
        <w:tc>
          <w:tcPr>
            <w:tcW w:w="1554" w:type="dxa"/>
            <w:tcBorders/>
            <w:vAlign w:val="center"/>
          </w:tcPr>
          <w:p>
            <w:pPr>
              <w:pStyle w:val="Tabellinnehll"/>
              <w:widowControl w:val="false"/>
              <w:rPr>
                <w:rFonts w:ascii="Arial;sans-serif" w:hAnsi="Arial;sans-serif"/>
                <w:b/>
                <w:b/>
                <w:sz w:val="20"/>
              </w:rPr>
            </w:pPr>
            <w:r>
              <w:rPr>
                <w:rFonts w:ascii="Arial;sans-serif" w:hAnsi="Arial;sans-serif"/>
                <w:b/>
                <w:sz w:val="20"/>
              </w:rPr>
              <w:t>Petrick</w:t>
            </w:r>
          </w:p>
        </w:tc>
        <w:tc>
          <w:tcPr>
            <w:tcW w:w="1928" w:type="dxa"/>
            <w:tcBorders/>
            <w:vAlign w:val="center"/>
          </w:tcPr>
          <w:p>
            <w:pPr>
              <w:pStyle w:val="Tabellinnehll"/>
              <w:widowControl w:val="false"/>
              <w:rPr>
                <w:rFonts w:ascii="Arial;sans-serif" w:hAnsi="Arial;sans-serif"/>
                <w:sz w:val="20"/>
              </w:rPr>
            </w:pPr>
            <w:r>
              <w:rPr>
                <w:rFonts w:ascii="Arial;sans-serif" w:hAnsi="Arial;sans-serif"/>
                <w:sz w:val="20"/>
              </w:rPr>
              <w:t>Al</w:t>
            </w:r>
          </w:p>
        </w:tc>
        <w:tc>
          <w:tcPr>
            <w:tcW w:w="4063" w:type="dxa"/>
            <w:tcBorders/>
            <w:vAlign w:val="center"/>
          </w:tcPr>
          <w:p>
            <w:pPr>
              <w:pStyle w:val="Tabellinnehll"/>
              <w:widowControl w:val="false"/>
              <w:rPr>
                <w:rFonts w:ascii="Arial;sans-serif" w:hAnsi="Arial;sans-serif"/>
                <w:sz w:val="20"/>
              </w:rPr>
            </w:pPr>
            <w:r>
              <w:rPr>
                <w:rFonts w:ascii="Arial;sans-serif" w:hAnsi="Arial;sans-serif"/>
                <w:sz w:val="20"/>
              </w:rPr>
              <w:t>Skyworks Solutions Inc.</w:t>
            </w:r>
          </w:p>
        </w:tc>
        <w:tc>
          <w:tcPr>
            <w:tcW w:w="473"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153" w:type="dxa"/>
            <w:tcBorders/>
            <w:vAlign w:val="center"/>
          </w:tcPr>
          <w:p>
            <w:pPr>
              <w:pStyle w:val="Tabellinnehll"/>
              <w:widowControl w:val="false"/>
              <w:jc w:val="center"/>
              <w:rPr>
                <w:rFonts w:ascii="Arial;sans-serif" w:hAnsi="Arial;sans-serif"/>
                <w:sz w:val="20"/>
              </w:rPr>
            </w:pPr>
            <w:r>
              <w:rPr>
                <w:rFonts w:ascii="Arial;sans-serif" w:hAnsi="Arial;sans-serif"/>
                <w:sz w:val="20"/>
              </w:rPr>
              <w:t>7</w:t>
            </w:r>
          </w:p>
        </w:tc>
        <w:tc>
          <w:tcPr>
            <w:tcW w:w="1554" w:type="dxa"/>
            <w:tcBorders/>
            <w:vAlign w:val="center"/>
          </w:tcPr>
          <w:p>
            <w:pPr>
              <w:pStyle w:val="Tabellinnehll"/>
              <w:widowControl w:val="false"/>
              <w:rPr>
                <w:rFonts w:ascii="Arial;sans-serif" w:hAnsi="Arial;sans-serif"/>
                <w:b/>
                <w:b/>
                <w:sz w:val="20"/>
              </w:rPr>
            </w:pPr>
            <w:r>
              <w:rPr>
                <w:rFonts w:ascii="Arial;sans-serif" w:hAnsi="Arial;sans-serif"/>
                <w:b/>
                <w:sz w:val="20"/>
              </w:rPr>
              <w:t>Scott</w:t>
            </w:r>
          </w:p>
        </w:tc>
        <w:tc>
          <w:tcPr>
            <w:tcW w:w="1928" w:type="dxa"/>
            <w:tcBorders/>
            <w:vAlign w:val="center"/>
          </w:tcPr>
          <w:p>
            <w:pPr>
              <w:pStyle w:val="Tabellinnehll"/>
              <w:widowControl w:val="false"/>
              <w:rPr>
                <w:rFonts w:ascii="Arial;sans-serif" w:hAnsi="Arial;sans-serif"/>
                <w:sz w:val="20"/>
              </w:rPr>
            </w:pPr>
            <w:r>
              <w:rPr>
                <w:rFonts w:ascii="Arial;sans-serif" w:hAnsi="Arial;sans-serif"/>
                <w:sz w:val="20"/>
              </w:rPr>
              <w:t>Andy</w:t>
            </w:r>
          </w:p>
        </w:tc>
        <w:tc>
          <w:tcPr>
            <w:tcW w:w="4063" w:type="dxa"/>
            <w:tcBorders/>
            <w:vAlign w:val="center"/>
          </w:tcPr>
          <w:p>
            <w:pPr>
              <w:pStyle w:val="Tabellinnehll"/>
              <w:widowControl w:val="false"/>
              <w:rPr>
                <w:rFonts w:ascii="Arial;sans-serif" w:hAnsi="Arial;sans-serif"/>
                <w:sz w:val="20"/>
              </w:rPr>
            </w:pPr>
            <w:r>
              <w:rPr>
                <w:rFonts w:ascii="Arial;sans-serif" w:hAnsi="Arial;sans-serif"/>
                <w:sz w:val="20"/>
              </w:rPr>
              <w:t>NCTA – The Internet &amp; Television Association</w:t>
            </w:r>
          </w:p>
        </w:tc>
        <w:tc>
          <w:tcPr>
            <w:tcW w:w="473"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153" w:type="dxa"/>
            <w:tcBorders/>
            <w:vAlign w:val="center"/>
          </w:tcPr>
          <w:p>
            <w:pPr>
              <w:pStyle w:val="Tabellinnehll"/>
              <w:widowControl w:val="false"/>
              <w:jc w:val="center"/>
              <w:rPr>
                <w:rFonts w:ascii="Arial;sans-serif" w:hAnsi="Arial;sans-serif"/>
                <w:sz w:val="20"/>
              </w:rPr>
            </w:pPr>
            <w:r>
              <w:rPr>
                <w:rFonts w:ascii="Arial;sans-serif" w:hAnsi="Arial;sans-serif"/>
                <w:sz w:val="20"/>
              </w:rPr>
              <w:t>8</w:t>
            </w:r>
          </w:p>
        </w:tc>
        <w:tc>
          <w:tcPr>
            <w:tcW w:w="1554" w:type="dxa"/>
            <w:tcBorders/>
            <w:vAlign w:val="center"/>
          </w:tcPr>
          <w:p>
            <w:pPr>
              <w:pStyle w:val="Tabellinnehll"/>
              <w:widowControl w:val="false"/>
              <w:rPr>
                <w:rFonts w:ascii="Arial;sans-serif" w:hAnsi="Arial;sans-serif"/>
                <w:b/>
                <w:b/>
                <w:sz w:val="20"/>
              </w:rPr>
            </w:pPr>
            <w:r>
              <w:rPr>
                <w:rFonts w:ascii="Arial;sans-serif" w:hAnsi="Arial;sans-serif"/>
                <w:b/>
                <w:sz w:val="20"/>
              </w:rPr>
              <w:t>Wang</w:t>
            </w:r>
          </w:p>
        </w:tc>
        <w:tc>
          <w:tcPr>
            <w:tcW w:w="1928" w:type="dxa"/>
            <w:tcBorders/>
            <w:vAlign w:val="center"/>
          </w:tcPr>
          <w:p>
            <w:pPr>
              <w:pStyle w:val="Tabellinnehll"/>
              <w:widowControl w:val="false"/>
              <w:rPr>
                <w:rFonts w:ascii="Arial;sans-serif" w:hAnsi="Arial;sans-serif"/>
                <w:sz w:val="20"/>
              </w:rPr>
            </w:pPr>
            <w:r>
              <w:rPr>
                <w:rFonts w:ascii="Arial;sans-serif" w:hAnsi="Arial;sans-serif"/>
                <w:sz w:val="20"/>
              </w:rPr>
              <w:t>Lei</w:t>
            </w:r>
          </w:p>
        </w:tc>
        <w:tc>
          <w:tcPr>
            <w:tcW w:w="4063" w:type="dxa"/>
            <w:tcBorders/>
            <w:vAlign w:val="center"/>
          </w:tcPr>
          <w:p>
            <w:pPr>
              <w:pStyle w:val="Tabellinnehll"/>
              <w:widowControl w:val="false"/>
              <w:rPr>
                <w:rFonts w:ascii="Arial;sans-serif" w:hAnsi="Arial;sans-serif"/>
                <w:sz w:val="20"/>
              </w:rPr>
            </w:pPr>
            <w:r>
              <w:rPr>
                <w:rFonts w:ascii="Arial;sans-serif" w:hAnsi="Arial;sans-serif"/>
                <w:sz w:val="20"/>
              </w:rPr>
              <w:t>FutureWei Technologies, Inc.</w:t>
            </w:r>
          </w:p>
        </w:tc>
        <w:tc>
          <w:tcPr>
            <w:tcW w:w="473"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153" w:type="dxa"/>
            <w:tcBorders/>
            <w:vAlign w:val="center"/>
          </w:tcPr>
          <w:p>
            <w:pPr>
              <w:pStyle w:val="Tabellinnehll"/>
              <w:widowControl w:val="false"/>
              <w:jc w:val="center"/>
              <w:rPr>
                <w:rFonts w:ascii="Arial;sans-serif" w:hAnsi="Arial;sans-serif"/>
                <w:sz w:val="20"/>
              </w:rPr>
            </w:pPr>
            <w:r>
              <w:rPr>
                <w:rFonts w:ascii="Arial;sans-serif" w:hAnsi="Arial;sans-serif"/>
                <w:sz w:val="20"/>
              </w:rPr>
              <w:t>9</w:t>
            </w:r>
          </w:p>
        </w:tc>
        <w:tc>
          <w:tcPr>
            <w:tcW w:w="1554" w:type="dxa"/>
            <w:tcBorders/>
            <w:vAlign w:val="center"/>
          </w:tcPr>
          <w:p>
            <w:pPr>
              <w:pStyle w:val="Tabellinnehll"/>
              <w:widowControl w:val="false"/>
              <w:rPr>
                <w:rFonts w:ascii="Arial;sans-serif" w:hAnsi="Arial;sans-serif"/>
                <w:b/>
                <w:b/>
                <w:sz w:val="20"/>
              </w:rPr>
            </w:pPr>
            <w:r>
              <w:rPr>
                <w:rFonts w:ascii="Arial;sans-serif" w:hAnsi="Arial;sans-serif"/>
                <w:b/>
                <w:sz w:val="20"/>
              </w:rPr>
              <w:t>Yaghoobi</w:t>
            </w:r>
          </w:p>
        </w:tc>
        <w:tc>
          <w:tcPr>
            <w:tcW w:w="1928" w:type="dxa"/>
            <w:tcBorders/>
            <w:vAlign w:val="center"/>
          </w:tcPr>
          <w:p>
            <w:pPr>
              <w:pStyle w:val="Tabellinnehll"/>
              <w:widowControl w:val="false"/>
              <w:rPr>
                <w:rFonts w:ascii="Arial;sans-serif" w:hAnsi="Arial;sans-serif"/>
                <w:sz w:val="20"/>
              </w:rPr>
            </w:pPr>
            <w:r>
              <w:rPr>
                <w:rFonts w:ascii="Arial;sans-serif" w:hAnsi="Arial;sans-serif"/>
                <w:sz w:val="20"/>
              </w:rPr>
              <w:t>Hassan</w:t>
            </w:r>
          </w:p>
        </w:tc>
        <w:tc>
          <w:tcPr>
            <w:tcW w:w="4063" w:type="dxa"/>
            <w:tcBorders/>
            <w:vAlign w:val="center"/>
          </w:tcPr>
          <w:p>
            <w:pPr>
              <w:pStyle w:val="Tabellinnehll"/>
              <w:widowControl w:val="false"/>
              <w:rPr>
                <w:rFonts w:ascii="Arial;sans-serif" w:hAnsi="Arial;sans-serif"/>
                <w:sz w:val="20"/>
              </w:rPr>
            </w:pPr>
            <w:r>
              <w:rPr>
                <w:rFonts w:ascii="Arial;sans-serif" w:hAnsi="Arial;sans-serif"/>
                <w:sz w:val="20"/>
              </w:rPr>
              <w:t>Intel Corporation</w:t>
            </w:r>
          </w:p>
        </w:tc>
        <w:tc>
          <w:tcPr>
            <w:tcW w:w="473"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153" w:type="dxa"/>
            <w:tcBorders/>
            <w:vAlign w:val="center"/>
          </w:tcPr>
          <w:p>
            <w:pPr>
              <w:pStyle w:val="Tabellinnehll"/>
              <w:widowControl w:val="false"/>
              <w:rPr>
                <w:sz w:val="4"/>
                <w:szCs w:val="4"/>
              </w:rPr>
            </w:pPr>
            <w:r>
              <w:rPr>
                <w:sz w:val="4"/>
                <w:szCs w:val="4"/>
              </w:rPr>
            </w:r>
          </w:p>
        </w:tc>
        <w:tc>
          <w:tcPr>
            <w:tcW w:w="1554" w:type="dxa"/>
            <w:tcBorders/>
            <w:vAlign w:val="center"/>
          </w:tcPr>
          <w:p>
            <w:pPr>
              <w:pStyle w:val="Tabellinnehll"/>
              <w:widowControl w:val="false"/>
              <w:rPr>
                <w:sz w:val="4"/>
                <w:szCs w:val="4"/>
              </w:rPr>
            </w:pPr>
            <w:r>
              <w:rPr>
                <w:sz w:val="4"/>
                <w:szCs w:val="4"/>
              </w:rPr>
            </w:r>
          </w:p>
        </w:tc>
        <w:tc>
          <w:tcPr>
            <w:tcW w:w="1928" w:type="dxa"/>
            <w:tcBorders/>
            <w:vAlign w:val="center"/>
          </w:tcPr>
          <w:p>
            <w:pPr>
              <w:pStyle w:val="Tabellinnehll"/>
              <w:widowControl w:val="false"/>
              <w:rPr>
                <w:sz w:val="4"/>
                <w:szCs w:val="4"/>
              </w:rPr>
            </w:pPr>
            <w:r>
              <w:rPr>
                <w:sz w:val="4"/>
                <w:szCs w:val="4"/>
              </w:rPr>
            </w:r>
          </w:p>
        </w:tc>
        <w:tc>
          <w:tcPr>
            <w:tcW w:w="4063" w:type="dxa"/>
            <w:tcBorders/>
            <w:vAlign w:val="center"/>
          </w:tcPr>
          <w:p>
            <w:pPr>
              <w:pStyle w:val="Tabellinnehll"/>
              <w:widowControl w:val="false"/>
              <w:rPr>
                <w:sz w:val="4"/>
                <w:szCs w:val="4"/>
              </w:rPr>
            </w:pPr>
            <w:r>
              <w:rPr>
                <w:sz w:val="4"/>
                <w:szCs w:val="4"/>
              </w:rPr>
            </w:r>
          </w:p>
        </w:tc>
        <w:tc>
          <w:tcPr>
            <w:tcW w:w="473" w:type="dxa"/>
            <w:tcBorders/>
            <w:vAlign w:val="center"/>
          </w:tcPr>
          <w:p>
            <w:pPr>
              <w:pStyle w:val="Tabellinnehll"/>
              <w:widowControl w:val="false"/>
              <w:rPr>
                <w:sz w:val="4"/>
                <w:szCs w:val="4"/>
              </w:rPr>
            </w:pPr>
            <w:r>
              <w:rPr>
                <w:sz w:val="4"/>
                <w:szCs w:val="4"/>
              </w:rPr>
            </w:r>
          </w:p>
        </w:tc>
      </w:tr>
      <w:tr>
        <w:trPr/>
        <w:tc>
          <w:tcPr>
            <w:tcW w:w="3635" w:type="dxa"/>
            <w:gridSpan w:val="3"/>
            <w:tcBorders/>
            <w:vAlign w:val="center"/>
          </w:tcPr>
          <w:p>
            <w:pPr>
              <w:pStyle w:val="Tabellinnehll"/>
              <w:widowControl w:val="false"/>
              <w:rPr>
                <w:rFonts w:ascii="Arial;sans-serif" w:hAnsi="Arial;sans-serif"/>
                <w:b/>
                <w:b/>
                <w:sz w:val="20"/>
              </w:rPr>
            </w:pPr>
            <w:r>
              <w:rPr>
                <w:rFonts w:ascii="Arial;sans-serif" w:hAnsi="Arial;sans-serif"/>
                <w:b/>
                <w:sz w:val="20"/>
              </w:rPr>
              <w:t>Non-Voting Attendees:</w:t>
            </w:r>
          </w:p>
        </w:tc>
        <w:tc>
          <w:tcPr>
            <w:tcW w:w="4063" w:type="dxa"/>
            <w:tcBorders/>
            <w:vAlign w:val="center"/>
          </w:tcPr>
          <w:p>
            <w:pPr>
              <w:pStyle w:val="Tabellinnehll"/>
              <w:widowControl w:val="false"/>
              <w:rPr>
                <w:sz w:val="4"/>
                <w:szCs w:val="4"/>
              </w:rPr>
            </w:pPr>
            <w:r>
              <w:rPr>
                <w:sz w:val="4"/>
                <w:szCs w:val="4"/>
              </w:rPr>
            </w:r>
          </w:p>
        </w:tc>
        <w:tc>
          <w:tcPr>
            <w:tcW w:w="473" w:type="dxa"/>
            <w:tcBorders/>
            <w:vAlign w:val="center"/>
          </w:tcPr>
          <w:p>
            <w:pPr>
              <w:pStyle w:val="Tabellinnehll"/>
              <w:widowControl w:val="false"/>
              <w:jc w:val="center"/>
              <w:rPr>
                <w:rFonts w:ascii="Arial;sans-serif" w:hAnsi="Arial;sans-serif"/>
                <w:b/>
                <w:b/>
                <w:sz w:val="20"/>
              </w:rPr>
            </w:pPr>
            <w:r>
              <w:rPr>
                <w:rFonts w:ascii="Arial;sans-serif" w:hAnsi="Arial;sans-serif"/>
                <w:b/>
                <w:sz w:val="20"/>
              </w:rPr>
              <w:t>7-Jul</w:t>
            </w:r>
          </w:p>
        </w:tc>
      </w:tr>
      <w:tr>
        <w:trPr/>
        <w:tc>
          <w:tcPr>
            <w:tcW w:w="153" w:type="dxa"/>
            <w:tcBorders/>
            <w:vAlign w:val="center"/>
          </w:tcPr>
          <w:p>
            <w:pPr>
              <w:pStyle w:val="Tabellinnehll"/>
              <w:widowControl w:val="false"/>
              <w:jc w:val="center"/>
              <w:rPr>
                <w:rFonts w:ascii="Arial;sans-serif" w:hAnsi="Arial;sans-serif"/>
                <w:sz w:val="20"/>
              </w:rPr>
            </w:pPr>
            <w:r>
              <w:rPr>
                <w:rFonts w:ascii="Arial;sans-serif" w:hAnsi="Arial;sans-serif"/>
                <w:sz w:val="20"/>
              </w:rPr>
              <w:t>1</w:t>
            </w:r>
          </w:p>
        </w:tc>
        <w:tc>
          <w:tcPr>
            <w:tcW w:w="1554" w:type="dxa"/>
            <w:tcBorders/>
            <w:vAlign w:val="center"/>
          </w:tcPr>
          <w:p>
            <w:pPr>
              <w:pStyle w:val="Tabellinnehll"/>
              <w:widowControl w:val="false"/>
              <w:rPr>
                <w:rFonts w:ascii="Arial;sans-serif" w:hAnsi="Arial;sans-serif"/>
                <w:b/>
                <w:b/>
                <w:sz w:val="20"/>
              </w:rPr>
            </w:pPr>
            <w:r>
              <w:rPr>
                <w:rFonts w:ascii="Arial;sans-serif" w:hAnsi="Arial;sans-serif"/>
                <w:b/>
                <w:sz w:val="20"/>
              </w:rPr>
              <w:t>Andersdotter</w:t>
            </w:r>
          </w:p>
        </w:tc>
        <w:tc>
          <w:tcPr>
            <w:tcW w:w="1928" w:type="dxa"/>
            <w:tcBorders/>
            <w:vAlign w:val="center"/>
          </w:tcPr>
          <w:p>
            <w:pPr>
              <w:pStyle w:val="Tabellinnehll"/>
              <w:widowControl w:val="false"/>
              <w:rPr>
                <w:rFonts w:ascii="Arial;sans-serif" w:hAnsi="Arial;sans-serif"/>
                <w:sz w:val="20"/>
              </w:rPr>
            </w:pPr>
            <w:r>
              <w:rPr>
                <w:rFonts w:ascii="Arial;sans-serif" w:hAnsi="Arial;sans-serif"/>
                <w:sz w:val="20"/>
              </w:rPr>
              <w:t>Amelia</w:t>
            </w:r>
          </w:p>
        </w:tc>
        <w:tc>
          <w:tcPr>
            <w:tcW w:w="4063" w:type="dxa"/>
            <w:tcBorders/>
            <w:vAlign w:val="center"/>
          </w:tcPr>
          <w:p>
            <w:pPr>
              <w:pStyle w:val="Tabellinnehll"/>
              <w:widowControl w:val="false"/>
              <w:rPr>
                <w:rFonts w:ascii="Arial;sans-serif" w:hAnsi="Arial;sans-serif"/>
                <w:sz w:val="20"/>
              </w:rPr>
            </w:pPr>
            <w:r>
              <w:rPr>
                <w:rFonts w:ascii="Arial;sans-serif" w:hAnsi="Arial;sans-serif"/>
                <w:sz w:val="20"/>
              </w:rPr>
              <w:t>Sky UK Group</w:t>
            </w:r>
          </w:p>
        </w:tc>
        <w:tc>
          <w:tcPr>
            <w:tcW w:w="473"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153" w:type="dxa"/>
            <w:tcBorders/>
            <w:vAlign w:val="center"/>
          </w:tcPr>
          <w:p>
            <w:pPr>
              <w:pStyle w:val="Tabellinnehll"/>
              <w:widowControl w:val="false"/>
              <w:jc w:val="center"/>
              <w:rPr>
                <w:rFonts w:ascii="Arial;sans-serif" w:hAnsi="Arial;sans-serif"/>
                <w:sz w:val="20"/>
              </w:rPr>
            </w:pPr>
            <w:r>
              <w:rPr>
                <w:rFonts w:ascii="Arial;sans-serif" w:hAnsi="Arial;sans-serif"/>
                <w:sz w:val="20"/>
              </w:rPr>
              <w:t>2</w:t>
            </w:r>
          </w:p>
        </w:tc>
        <w:tc>
          <w:tcPr>
            <w:tcW w:w="1554" w:type="dxa"/>
            <w:tcBorders/>
            <w:vAlign w:val="center"/>
          </w:tcPr>
          <w:p>
            <w:pPr>
              <w:pStyle w:val="Tabellinnehll"/>
              <w:widowControl w:val="false"/>
              <w:rPr>
                <w:rFonts w:ascii="Arial;sans-serif" w:hAnsi="Arial;sans-serif"/>
                <w:b/>
                <w:b/>
                <w:sz w:val="20"/>
              </w:rPr>
            </w:pPr>
            <w:r>
              <w:rPr>
                <w:rFonts w:ascii="Arial;sans-serif" w:hAnsi="Arial;sans-serif"/>
                <w:b/>
                <w:sz w:val="20"/>
              </w:rPr>
              <w:t>Fang</w:t>
            </w:r>
          </w:p>
        </w:tc>
        <w:tc>
          <w:tcPr>
            <w:tcW w:w="1928" w:type="dxa"/>
            <w:tcBorders/>
            <w:vAlign w:val="center"/>
          </w:tcPr>
          <w:p>
            <w:pPr>
              <w:pStyle w:val="Tabellinnehll"/>
              <w:widowControl w:val="false"/>
              <w:rPr>
                <w:rFonts w:ascii="Arial;sans-serif" w:hAnsi="Arial;sans-serif"/>
                <w:sz w:val="20"/>
              </w:rPr>
            </w:pPr>
            <w:r>
              <w:rPr>
                <w:rFonts w:ascii="Arial;sans-serif" w:hAnsi="Arial;sans-serif"/>
                <w:sz w:val="20"/>
              </w:rPr>
              <w:t>Yonggang</w:t>
            </w:r>
          </w:p>
        </w:tc>
        <w:tc>
          <w:tcPr>
            <w:tcW w:w="4063" w:type="dxa"/>
            <w:tcBorders/>
            <w:vAlign w:val="center"/>
          </w:tcPr>
          <w:p>
            <w:pPr>
              <w:pStyle w:val="Tabellinnehll"/>
              <w:widowControl w:val="false"/>
              <w:rPr>
                <w:rFonts w:ascii="Arial;sans-serif" w:hAnsi="Arial;sans-serif"/>
                <w:sz w:val="20"/>
              </w:rPr>
            </w:pPr>
            <w:r>
              <w:rPr>
                <w:rFonts w:ascii="Arial;sans-serif" w:hAnsi="Arial;sans-serif"/>
                <w:sz w:val="20"/>
              </w:rPr>
              <w:t>MediaTek</w:t>
            </w:r>
          </w:p>
        </w:tc>
        <w:tc>
          <w:tcPr>
            <w:tcW w:w="473"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153" w:type="dxa"/>
            <w:tcBorders/>
            <w:vAlign w:val="center"/>
          </w:tcPr>
          <w:p>
            <w:pPr>
              <w:pStyle w:val="Tabellinnehll"/>
              <w:widowControl w:val="false"/>
              <w:jc w:val="center"/>
              <w:rPr>
                <w:rFonts w:ascii="Arial;sans-serif" w:hAnsi="Arial;sans-serif"/>
                <w:sz w:val="20"/>
              </w:rPr>
            </w:pPr>
            <w:r>
              <w:rPr>
                <w:rFonts w:ascii="Arial;sans-serif" w:hAnsi="Arial;sans-serif"/>
                <w:sz w:val="20"/>
              </w:rPr>
              <w:t>3</w:t>
            </w:r>
          </w:p>
        </w:tc>
        <w:tc>
          <w:tcPr>
            <w:tcW w:w="1554" w:type="dxa"/>
            <w:tcBorders/>
            <w:vAlign w:val="center"/>
          </w:tcPr>
          <w:p>
            <w:pPr>
              <w:pStyle w:val="Tabellinnehll"/>
              <w:widowControl w:val="false"/>
              <w:rPr>
                <w:rFonts w:ascii="Arial;sans-serif" w:hAnsi="Arial;sans-serif"/>
                <w:b/>
                <w:b/>
                <w:sz w:val="20"/>
              </w:rPr>
            </w:pPr>
            <w:r>
              <w:rPr>
                <w:rFonts w:ascii="Arial;sans-serif" w:hAnsi="Arial;sans-serif"/>
                <w:b/>
                <w:sz w:val="20"/>
              </w:rPr>
              <w:t>Haasz</w:t>
            </w:r>
          </w:p>
        </w:tc>
        <w:tc>
          <w:tcPr>
            <w:tcW w:w="1928" w:type="dxa"/>
            <w:tcBorders/>
            <w:vAlign w:val="center"/>
          </w:tcPr>
          <w:p>
            <w:pPr>
              <w:pStyle w:val="Tabellinnehll"/>
              <w:widowControl w:val="false"/>
              <w:rPr>
                <w:rFonts w:ascii="Arial;sans-serif" w:hAnsi="Arial;sans-serif"/>
                <w:sz w:val="20"/>
              </w:rPr>
            </w:pPr>
            <w:r>
              <w:rPr>
                <w:rFonts w:ascii="Arial;sans-serif" w:hAnsi="Arial;sans-serif"/>
                <w:sz w:val="20"/>
              </w:rPr>
              <w:t>Jodi</w:t>
            </w:r>
          </w:p>
        </w:tc>
        <w:tc>
          <w:tcPr>
            <w:tcW w:w="4063" w:type="dxa"/>
            <w:tcBorders/>
            <w:vAlign w:val="center"/>
          </w:tcPr>
          <w:p>
            <w:pPr>
              <w:pStyle w:val="Tabellinnehll"/>
              <w:widowControl w:val="false"/>
              <w:rPr>
                <w:rFonts w:ascii="Arial;sans-serif" w:hAnsi="Arial;sans-serif"/>
                <w:sz w:val="20"/>
              </w:rPr>
            </w:pPr>
            <w:r>
              <w:rPr>
                <w:rFonts w:ascii="Arial;sans-serif" w:hAnsi="Arial;sans-serif"/>
                <w:sz w:val="20"/>
              </w:rPr>
              <w:t>IEEE SA</w:t>
            </w:r>
          </w:p>
        </w:tc>
        <w:tc>
          <w:tcPr>
            <w:tcW w:w="473"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153" w:type="dxa"/>
            <w:tcBorders/>
            <w:vAlign w:val="center"/>
          </w:tcPr>
          <w:p>
            <w:pPr>
              <w:pStyle w:val="Tabellinnehll"/>
              <w:widowControl w:val="false"/>
              <w:jc w:val="center"/>
              <w:rPr>
                <w:rFonts w:ascii="Arial;sans-serif" w:hAnsi="Arial;sans-serif"/>
                <w:sz w:val="20"/>
              </w:rPr>
            </w:pPr>
            <w:r>
              <w:rPr>
                <w:rFonts w:ascii="Arial;sans-serif" w:hAnsi="Arial;sans-serif"/>
                <w:sz w:val="20"/>
              </w:rPr>
              <w:t>4</w:t>
            </w:r>
          </w:p>
        </w:tc>
        <w:tc>
          <w:tcPr>
            <w:tcW w:w="1554" w:type="dxa"/>
            <w:tcBorders/>
            <w:vAlign w:val="center"/>
          </w:tcPr>
          <w:p>
            <w:pPr>
              <w:pStyle w:val="Tabellinnehll"/>
              <w:widowControl w:val="false"/>
              <w:rPr>
                <w:rFonts w:ascii="Arial;sans-serif" w:hAnsi="Arial;sans-serif"/>
                <w:b/>
                <w:b/>
                <w:sz w:val="20"/>
              </w:rPr>
            </w:pPr>
            <w:r>
              <w:rPr>
                <w:rFonts w:ascii="Arial;sans-serif" w:hAnsi="Arial;sans-serif"/>
                <w:b/>
                <w:sz w:val="20"/>
              </w:rPr>
              <w:t>Halasz</w:t>
            </w:r>
          </w:p>
        </w:tc>
        <w:tc>
          <w:tcPr>
            <w:tcW w:w="1928" w:type="dxa"/>
            <w:tcBorders/>
            <w:vAlign w:val="center"/>
          </w:tcPr>
          <w:p>
            <w:pPr>
              <w:pStyle w:val="Tabellinnehll"/>
              <w:widowControl w:val="false"/>
              <w:rPr>
                <w:rFonts w:ascii="Arial;sans-serif" w:hAnsi="Arial;sans-serif"/>
                <w:sz w:val="20"/>
              </w:rPr>
            </w:pPr>
            <w:r>
              <w:rPr>
                <w:rFonts w:ascii="Arial;sans-serif" w:hAnsi="Arial;sans-serif"/>
                <w:sz w:val="20"/>
              </w:rPr>
              <w:t>Dave</w:t>
            </w:r>
          </w:p>
        </w:tc>
        <w:tc>
          <w:tcPr>
            <w:tcW w:w="4063" w:type="dxa"/>
            <w:tcBorders/>
            <w:vAlign w:val="center"/>
          </w:tcPr>
          <w:p>
            <w:pPr>
              <w:pStyle w:val="Tabellinnehll"/>
              <w:widowControl w:val="false"/>
              <w:rPr>
                <w:rFonts w:ascii="Arial;sans-serif" w:hAnsi="Arial;sans-serif"/>
                <w:sz w:val="20"/>
              </w:rPr>
            </w:pPr>
            <w:r>
              <w:rPr>
                <w:rFonts w:ascii="Arial;sans-serif" w:hAnsi="Arial;sans-serif"/>
                <w:sz w:val="20"/>
              </w:rPr>
              <w:t>Morse Micro</w:t>
            </w:r>
          </w:p>
        </w:tc>
        <w:tc>
          <w:tcPr>
            <w:tcW w:w="473"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bl>
    <w:p>
      <w:pPr>
        <w:pStyle w:val="ListParagraph"/>
        <w:ind w:left="0" w:hanging="0"/>
        <w:rPr>
          <w:b/>
          <w:b/>
          <w:sz w:val="24"/>
          <w:szCs w:val="24"/>
        </w:rPr>
      </w:pPr>
      <w:r>
        <w:rPr/>
      </w:r>
    </w:p>
    <w:sectPr>
      <w:headerReference w:type="default" r:id="rId17"/>
      <w:footerReference w:type="default" r:id="rId18"/>
      <w:type w:val="nextPage"/>
      <w:pgSz w:w="12240" w:h="15840"/>
      <w:pgMar w:left="360" w:right="1080" w:gutter="720" w:header="432" w:top="1080" w:footer="432" w:bottom="99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Consola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 w:name="Noto Sans Devanagari">
    <w:charset w:val="01"/>
    <w:family w:val="roman"/>
    <w:pitch w:val="variable"/>
  </w:font>
  <w:font w:name="Noto Sans">
    <w:charset w:val="01"/>
    <w:family w:val="roman"/>
    <w:pitch w:val="variable"/>
  </w:font>
  <w:font w:name="Liberation Mono">
    <w:altName w:val="Courier New"/>
    <w:charset w:val="01"/>
    <w:family w:val="roman"/>
    <w:pitch w:val="variable"/>
  </w:font>
  <w:font w:name="Arial">
    <w:altName w:val="sans-serif"/>
    <w:charset w:val="01"/>
    <w:family w:val="roman"/>
    <w:pitch w:val="variable"/>
  </w:font>
  <w:font w:name="OpenSymbol">
    <w:altName w:val="Arial Unicode MS"/>
    <w:charset w:val="01"/>
    <w:family w:val="auto"/>
    <w:pitch w:val="variable"/>
  </w:font>
  <w:font w:name="Arial">
    <w:charset w:val="01"/>
    <w:family w:val="auto"/>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5040" w:leader="none"/>
        <w:tab w:val="right" w:pos="9990" w:leader="none"/>
        <w:tab w:val="right" w:pos="12960" w:leader="none"/>
      </w:tabs>
      <w:rPr/>
    </w:pPr>
    <w:r>
      <w:rPr/>
      <w:fldChar w:fldCharType="begin"/>
    </w:r>
    <w:r>
      <w:rPr/>
      <w:instrText> SUBJECT </w:instrText>
    </w:r>
    <w:r>
      <w:rPr/>
      <w:fldChar w:fldCharType="separate"/>
    </w:r>
    <w:r>
      <w:rPr/>
      <w:t>RR-TAG Minutes</w:t>
    </w:r>
    <w:r>
      <w:rPr/>
      <w:fldChar w:fldCharType="end"/>
    </w:r>
    <w:r>
      <w:rPr/>
      <w:tab/>
      <w:t xml:space="preserve">page </w:t>
    </w:r>
    <w:r>
      <w:rPr/>
      <w:fldChar w:fldCharType="begin"/>
    </w:r>
    <w:r>
      <w:rPr/>
      <w:instrText> PAGE </w:instrText>
    </w:r>
    <w:r>
      <w:rPr/>
      <w:fldChar w:fldCharType="separate"/>
    </w:r>
    <w:r>
      <w:rPr/>
      <w:t>5</w:t>
    </w:r>
    <w:r>
      <w:rPr/>
      <w:fldChar w:fldCharType="end"/>
    </w:r>
    <w:r>
      <w:rPr/>
      <w:t xml:space="preserve"> of </w:t>
    </w:r>
    <w:r>
      <w:rPr/>
      <w:fldChar w:fldCharType="begin"/>
    </w:r>
    <w:r>
      <w:rPr/>
      <w:instrText> NUMPAGES </w:instrText>
    </w:r>
    <w:r>
      <w:rPr/>
      <w:fldChar w:fldCharType="separate"/>
    </w:r>
    <w:r>
      <w:rPr/>
      <w:t>5</w:t>
    </w:r>
    <w:r>
      <w:rPr/>
      <w:fldChar w:fldCharType="end"/>
    </w:r>
    <w:r>
      <w:rPr/>
      <w:tab/>
      <w:t>Amelia Andersdotter (Sky UK)</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tabs>
        <w:tab w:val="clear" w:pos="6480"/>
        <w:tab w:val="center" w:pos="4680" w:leader="none"/>
        <w:tab w:val="right" w:pos="9990" w:leader="none"/>
        <w:tab w:val="right" w:pos="12960" w:leader="none"/>
      </w:tabs>
      <w:rPr/>
    </w:pPr>
    <w:r>
      <w:rPr/>
      <w:t>July 2022</w:t>
      <w:tab/>
      <w:tab/>
      <w:t>doc.: IEEE.18-22-0071r0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1"/>
      <w:numFmt w:val="lowerRoman"/>
      <w:lvlText w:val="%2)"/>
      <w:lvlJc w:val="left"/>
      <w:pPr>
        <w:tabs>
          <w:tab w:val="num" w:pos="0"/>
        </w:tabs>
        <w:ind w:left="720" w:hanging="360"/>
      </w:pPr>
      <w:rPr>
        <w:rFonts w:ascii="Times New Roman" w:hAnsi="Times New Roman" w:eastAsia="SimSu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50"/>
  <w:trackRevisions/>
  <w:mirrorMargins/>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95020"/>
    <w:pPr>
      <w:widowControl/>
      <w:suppressAutoHyphens w:val="tru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Rubrik1">
    <w:name w:val="Heading 1"/>
    <w:basedOn w:val="Normal"/>
    <w:next w:val="Normal"/>
    <w:qFormat/>
    <w:pPr>
      <w:keepNext w:val="true"/>
      <w:keepLines/>
      <w:spacing w:before="320" w:after="0"/>
      <w:outlineLvl w:val="0"/>
    </w:pPr>
    <w:rPr>
      <w:rFonts w:ascii="Arial" w:hAnsi="Arial"/>
      <w:b/>
      <w:sz w:val="32"/>
      <w:u w:val="single"/>
    </w:rPr>
  </w:style>
  <w:style w:type="paragraph" w:styleId="Rubrik2">
    <w:name w:val="Heading 2"/>
    <w:basedOn w:val="Normal"/>
    <w:next w:val="Normal"/>
    <w:qFormat/>
    <w:pPr>
      <w:keepNext w:val="true"/>
      <w:keepLines/>
      <w:spacing w:before="280" w:after="0"/>
      <w:outlineLvl w:val="1"/>
    </w:pPr>
    <w:rPr>
      <w:rFonts w:ascii="Arial" w:hAnsi="Arial"/>
      <w:b/>
      <w:sz w:val="28"/>
      <w:u w:val="single"/>
    </w:rPr>
  </w:style>
  <w:style w:type="paragraph" w:styleId="Rubrik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basedOn w:val="DefaultParagraphFont"/>
    <w:uiPriority w:val="99"/>
    <w:rsid w:val="00794702"/>
    <w:rPr>
      <w:color w:val="0563C1" w:themeColor="hyperlink"/>
      <w:u w:val="single"/>
    </w:rPr>
  </w:style>
  <w:style w:type="character" w:styleId="AnvndInternetlnk" w:customStyle="1">
    <w:name w:val="Använd Internetlänk"/>
    <w:rsid w:val="002e5b8c"/>
    <w:rPr>
      <w:color w:val="800080"/>
      <w:u w:val="single"/>
    </w:rPr>
  </w:style>
  <w:style w:type="character" w:styleId="Highlight1" w:customStyle="1">
    <w:name w:val="highlight1"/>
    <w:qFormat/>
    <w:rsid w:val="00ff0e1b"/>
    <w:rPr>
      <w:b/>
      <w:bCs/>
    </w:rPr>
  </w:style>
  <w:style w:type="character" w:styleId="Applestylespan" w:customStyle="1">
    <w:name w:val="apple-style-span"/>
    <w:basedOn w:val="DefaultParagraphFont"/>
    <w:qFormat/>
    <w:rsid w:val="00b72ac7"/>
    <w:rPr/>
  </w:style>
  <w:style w:type="character" w:styleId="Style11" w:customStyle="1">
    <w:name w:val="style1"/>
    <w:basedOn w:val="DefaultParagraphFont"/>
    <w:qFormat/>
    <w:rsid w:val="00b96db2"/>
    <w:rPr/>
  </w:style>
  <w:style w:type="character" w:styleId="BalloonTextChar" w:customStyle="1">
    <w:name w:val="Balloon Text Char"/>
    <w:link w:val="BalloonText"/>
    <w:qFormat/>
    <w:rsid w:val="00175872"/>
    <w:rPr>
      <w:rFonts w:ascii="Segoe UI" w:hAnsi="Segoe UI" w:cs="Segoe UI"/>
      <w:sz w:val="18"/>
      <w:szCs w:val="18"/>
    </w:rPr>
  </w:style>
  <w:style w:type="character" w:styleId="Strong">
    <w:name w:val="Strong"/>
    <w:uiPriority w:val="22"/>
    <w:qFormat/>
    <w:rsid w:val="0056473e"/>
    <w:rPr>
      <w:b/>
      <w:bCs/>
    </w:rPr>
  </w:style>
  <w:style w:type="character" w:styleId="Rsgtitle1" w:customStyle="1">
    <w:name w:val="rsg-title1"/>
    <w:qFormat/>
    <w:rsid w:val="0056473e"/>
    <w:rPr>
      <w:b/>
      <w:bCs/>
      <w:color w:val="37ACAB"/>
      <w:sz w:val="26"/>
      <w:szCs w:val="26"/>
    </w:rPr>
  </w:style>
  <w:style w:type="character" w:styleId="PlainTextChar" w:customStyle="1">
    <w:name w:val="Plain Text Char"/>
    <w:link w:val="PlainText"/>
    <w:uiPriority w:val="99"/>
    <w:qFormat/>
    <w:rsid w:val="009d0fe5"/>
    <w:rPr>
      <w:rFonts w:ascii="Consolas" w:hAnsi="Consolas" w:eastAsia="Calibri" w:cs="Consolas"/>
      <w:sz w:val="22"/>
      <w:szCs w:val="22"/>
    </w:rPr>
  </w:style>
  <w:style w:type="character" w:styleId="Appleconvertedspace" w:customStyle="1">
    <w:name w:val="apple-converted-space"/>
    <w:qFormat/>
    <w:rsid w:val="00386cfb"/>
    <w:rPr/>
  </w:style>
  <w:style w:type="character" w:styleId="BodyTextChar" w:customStyle="1">
    <w:name w:val="Body Text Char"/>
    <w:link w:val="BodyText"/>
    <w:qFormat/>
    <w:rsid w:val="006c5e1c"/>
    <w:rPr>
      <w:sz w:val="22"/>
    </w:rPr>
  </w:style>
  <w:style w:type="character" w:styleId="Betonad" w:customStyle="1">
    <w:name w:val="Betonad"/>
    <w:uiPriority w:val="20"/>
    <w:qFormat/>
    <w:rsid w:val="00124d75"/>
    <w:rPr>
      <w:i/>
      <w:iCs/>
    </w:rPr>
  </w:style>
  <w:style w:type="character" w:styleId="Fotnotsankare" w:customStyle="1">
    <w:name w:val="Fotnotsankare"/>
    <w:rPr>
      <w:sz w:val="18"/>
      <w:vertAlign w:val="superscript"/>
    </w:rPr>
  </w:style>
  <w:style w:type="character" w:styleId="FootnoteCharacters" w:customStyle="1">
    <w:name w:val="Footnote Characters"/>
    <w:uiPriority w:val="99"/>
    <w:qFormat/>
    <w:rsid w:val="006b3b87"/>
    <w:rPr>
      <w:sz w:val="18"/>
      <w:vertAlign w:val="superscript"/>
    </w:rPr>
  </w:style>
  <w:style w:type="character" w:styleId="FootnoteTextChar" w:customStyle="1">
    <w:name w:val="Footnote Text Char"/>
    <w:link w:val="FootnoteText"/>
    <w:qFormat/>
    <w:rsid w:val="006b3b87"/>
    <w:rPr>
      <w:sz w:val="24"/>
    </w:rPr>
  </w:style>
  <w:style w:type="character" w:styleId="Mention1" w:customStyle="1">
    <w:name w:val="Mention1"/>
    <w:uiPriority w:val="99"/>
    <w:semiHidden/>
    <w:unhideWhenUsed/>
    <w:qFormat/>
    <w:rsid w:val="00211283"/>
    <w:rPr>
      <w:color w:val="2B579A"/>
      <w:shd w:fill="E6E6E6" w:val="clear"/>
    </w:rPr>
  </w:style>
  <w:style w:type="character" w:styleId="UnresolvedMention1" w:customStyle="1">
    <w:name w:val="Unresolved Mention1"/>
    <w:uiPriority w:val="99"/>
    <w:semiHidden/>
    <w:unhideWhenUsed/>
    <w:qFormat/>
    <w:rsid w:val="0064115a"/>
    <w:rPr>
      <w:color w:val="808080"/>
      <w:shd w:fill="E6E6E6" w:val="clear"/>
    </w:rPr>
  </w:style>
  <w:style w:type="character" w:styleId="NichtaufgelsteErwhnung1" w:customStyle="1">
    <w:name w:val="Nicht aufgelöste Erwähnung1"/>
    <w:uiPriority w:val="99"/>
    <w:semiHidden/>
    <w:unhideWhenUsed/>
    <w:qFormat/>
    <w:rsid w:val="00d30224"/>
    <w:rPr>
      <w:color w:val="605E5C"/>
      <w:shd w:fill="E1DFDD" w:val="clear"/>
    </w:rPr>
  </w:style>
  <w:style w:type="character" w:styleId="Punkter" w:customStyle="1">
    <w:name w:val="Punkter"/>
    <w:qFormat/>
    <w:rPr>
      <w:rFonts w:ascii="OpenSymbol" w:hAnsi="OpenSymbol" w:eastAsia="OpenSymbol" w:cs="OpenSymbol"/>
    </w:rPr>
  </w:style>
  <w:style w:type="character" w:styleId="Radnumrering" w:customStyle="1">
    <w:name w:val="Radnumrering"/>
    <w:rPr/>
  </w:style>
  <w:style w:type="character" w:styleId="Annotationreference">
    <w:name w:val="annotation reference"/>
    <w:basedOn w:val="DefaultParagraphFont"/>
    <w:qFormat/>
    <w:rsid w:val="00c20ea8"/>
    <w:rPr>
      <w:sz w:val="16"/>
      <w:szCs w:val="16"/>
    </w:rPr>
  </w:style>
  <w:style w:type="character" w:styleId="CommentTextChar" w:customStyle="1">
    <w:name w:val="Comment Text Char"/>
    <w:basedOn w:val="DefaultParagraphFont"/>
    <w:link w:val="CommentText"/>
    <w:qFormat/>
    <w:rsid w:val="00c20ea8"/>
    <w:rPr/>
  </w:style>
  <w:style w:type="character" w:styleId="CommentSubjectChar" w:customStyle="1">
    <w:name w:val="Comment Subject Char"/>
    <w:basedOn w:val="CommentTextChar"/>
    <w:link w:val="CommentSubject"/>
    <w:semiHidden/>
    <w:qFormat/>
    <w:rsid w:val="00c20ea8"/>
    <w:rPr>
      <w:b/>
      <w:bCs/>
    </w:rPr>
  </w:style>
  <w:style w:type="paragraph" w:styleId="Rubrik" w:customStyle="1">
    <w:name w:val="Rubrik"/>
    <w:basedOn w:val="Normal"/>
    <w:next w:val="Brdtext"/>
    <w:qFormat/>
    <w:pPr>
      <w:keepNext w:val="true"/>
      <w:spacing w:before="240" w:after="120"/>
    </w:pPr>
    <w:rPr>
      <w:rFonts w:ascii="Liberation Sans" w:hAnsi="Liberation Sans" w:eastAsia="Noto Sans CJK SC" w:cs="Noto Sans Devanagari"/>
      <w:sz w:val="28"/>
      <w:szCs w:val="28"/>
    </w:rPr>
  </w:style>
  <w:style w:type="paragraph" w:styleId="Brdtext">
    <w:name w:val="Body Text"/>
    <w:basedOn w:val="Normal"/>
    <w:link w:val="BodyTextChar"/>
    <w:rsid w:val="006c5e1c"/>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rFonts w:cs="Noto Sans Devanagari"/>
      <w:i/>
      <w:iCs/>
      <w:sz w:val="24"/>
      <w:szCs w:val="24"/>
    </w:rPr>
  </w:style>
  <w:style w:type="paragraph" w:styleId="Frteckning" w:customStyle="1">
    <w:name w:val="Förteckning"/>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idhuvudochsidfot" w:customStyle="1">
    <w:name w:val="Sidhuvud och sidfot"/>
    <w:basedOn w:val="Normal"/>
    <w:qFormat/>
    <w:pPr/>
    <w:rPr/>
  </w:style>
  <w:style w:type="paragraph" w:styleId="Sidfot">
    <w:name w:val="Footer"/>
    <w:basedOn w:val="Normal"/>
    <w:pPr>
      <w:pBdr>
        <w:top w:val="single" w:sz="6" w:space="1" w:color="000000"/>
      </w:pBdr>
      <w:tabs>
        <w:tab w:val="clear" w:pos="720"/>
        <w:tab w:val="center" w:pos="6480" w:leader="none"/>
        <w:tab w:val="right" w:pos="12960" w:leader="none"/>
      </w:tabs>
    </w:pPr>
    <w:rPr>
      <w:sz w:val="24"/>
    </w:rPr>
  </w:style>
  <w:style w:type="paragraph" w:styleId="Sidhuvud">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Drainhelastycket">
    <w:name w:val="Body Text Indent"/>
    <w:basedOn w:val="Normal"/>
    <w:pPr>
      <w:ind w:left="720" w:hanging="720"/>
    </w:pPr>
    <w:rPr/>
  </w:style>
  <w:style w:type="paragraph" w:styleId="ListParagraph">
    <w:name w:val="List Paragraph"/>
    <w:basedOn w:val="Normal"/>
    <w:uiPriority w:val="34"/>
    <w:qFormat/>
    <w:rsid w:val="003f3970"/>
    <w:pPr>
      <w:ind w:left="720" w:hanging="0"/>
    </w:pPr>
    <w:rPr/>
  </w:style>
  <w:style w:type="paragraph" w:styleId="Default" w:customStyle="1">
    <w:name w:val="Default"/>
    <w:qFormat/>
    <w:rsid w:val="004c5e41"/>
    <w:pPr>
      <w:widowControl/>
      <w:suppressAutoHyphens w:val="true"/>
      <w:bidi w:val="0"/>
      <w:spacing w:before="0" w:after="0"/>
      <w:jc w:val="left"/>
    </w:pPr>
    <w:rPr>
      <w:rFonts w:ascii="Arial" w:hAnsi="Arial" w:cs="Arial" w:eastAsia="SimSun"/>
      <w:color w:val="000000"/>
      <w:kern w:val="0"/>
      <w:sz w:val="24"/>
      <w:szCs w:val="24"/>
      <w:lang w:val="en-US" w:eastAsia="en-US" w:bidi="ar-SA"/>
    </w:rPr>
  </w:style>
  <w:style w:type="paragraph" w:styleId="BalloonText">
    <w:name w:val="Balloon Text"/>
    <w:basedOn w:val="Normal"/>
    <w:link w:val="BalloonTextChar"/>
    <w:qFormat/>
    <w:rsid w:val="00175872"/>
    <w:pPr/>
    <w:rPr>
      <w:rFonts w:ascii="Segoe UI" w:hAnsi="Segoe UI" w:cs="Segoe UI"/>
      <w:sz w:val="18"/>
      <w:szCs w:val="18"/>
    </w:rPr>
  </w:style>
  <w:style w:type="paragraph" w:styleId="NormalWeb">
    <w:name w:val="Normal (Web)"/>
    <w:basedOn w:val="Normal"/>
    <w:uiPriority w:val="99"/>
    <w:qFormat/>
    <w:rsid w:val="00410713"/>
    <w:pPr>
      <w:spacing w:beforeAutospacing="1" w:afterAutospacing="1"/>
    </w:pPr>
    <w:rPr>
      <w:sz w:val="24"/>
      <w:szCs w:val="24"/>
    </w:rPr>
  </w:style>
  <w:style w:type="paragraph" w:styleId="Toaheading">
    <w:name w:val="toa heading"/>
    <w:basedOn w:val="Normal"/>
    <w:next w:val="Normal"/>
    <w:qFormat/>
    <w:rsid w:val="009c6c15"/>
    <w:pPr>
      <w:widowControl w:val="false"/>
      <w:tabs>
        <w:tab w:val="clear" w:pos="720"/>
        <w:tab w:val="right" w:pos="9360" w:leader="none"/>
      </w:tabs>
    </w:pPr>
    <w:rPr>
      <w:kern w:val="2"/>
    </w:rPr>
  </w:style>
  <w:style w:type="paragraph" w:styleId="PlainText">
    <w:name w:val="Plain Text"/>
    <w:basedOn w:val="Normal"/>
    <w:link w:val="PlainTextChar"/>
    <w:uiPriority w:val="99"/>
    <w:unhideWhenUsed/>
    <w:qFormat/>
    <w:rsid w:val="009d0fe5"/>
    <w:pPr/>
    <w:rPr>
      <w:rFonts w:ascii="Consolas" w:hAnsi="Consolas" w:eastAsia="Calibri" w:cs="Consolas"/>
      <w:szCs w:val="22"/>
    </w:rPr>
  </w:style>
  <w:style w:type="paragraph" w:styleId="Style51" w:customStyle="1">
    <w:name w:val="style5"/>
    <w:basedOn w:val="Normal"/>
    <w:qFormat/>
    <w:rsid w:val="00a442b1"/>
    <w:pPr/>
    <w:rPr>
      <w:sz w:val="24"/>
      <w:szCs w:val="24"/>
    </w:rPr>
  </w:style>
  <w:style w:type="paragraph" w:styleId="Style12" w:customStyle="1">
    <w:name w:val="Style1"/>
    <w:basedOn w:val="Brdtext"/>
    <w:qFormat/>
    <w:rsid w:val="006c5e1c"/>
    <w:pPr>
      <w:widowControl w:val="false"/>
      <w:spacing w:before="0" w:after="0"/>
      <w:jc w:val="center"/>
    </w:pPr>
    <w:rPr>
      <w:b/>
      <w:sz w:val="20"/>
    </w:rPr>
  </w:style>
  <w:style w:type="paragraph" w:styleId="Fotnot">
    <w:name w:val="Footnote Text"/>
    <w:basedOn w:val="Normal"/>
    <w:link w:val="FootnoteTextChar"/>
    <w:rsid w:val="006b3b87"/>
    <w:pPr>
      <w:keepLines/>
      <w:tabs>
        <w:tab w:val="clear" w:pos="720"/>
        <w:tab w:val="left" w:pos="255" w:leader="none"/>
        <w:tab w:val="left" w:pos="1134" w:leader="none"/>
        <w:tab w:val="left" w:pos="1871" w:leader="none"/>
        <w:tab w:val="left" w:pos="2268" w:leader="none"/>
      </w:tabs>
      <w:spacing w:before="120" w:after="0"/>
      <w:textAlignment w:val="baseline"/>
    </w:pPr>
    <w:rPr>
      <w:sz w:val="24"/>
    </w:rPr>
  </w:style>
  <w:style w:type="paragraph" w:styleId="Ofcnormal" w:customStyle="1">
    <w:name w:val="ofcnormal"/>
    <w:basedOn w:val="Normal"/>
    <w:qFormat/>
    <w:rsid w:val="00200006"/>
    <w:pPr>
      <w:spacing w:beforeAutospacing="1" w:after="0"/>
    </w:pPr>
    <w:rPr>
      <w:rFonts w:ascii="Calibri" w:hAnsi="Calibri" w:eastAsia="Times New Roman"/>
      <w:sz w:val="20"/>
    </w:rPr>
  </w:style>
  <w:style w:type="paragraph" w:styleId="Standard1" w:customStyle="1">
    <w:name w:val="Standard1"/>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Objektutanfyllning" w:customStyle="1">
    <w:name w:val="Objekt utan fyllning"/>
    <w:basedOn w:val="Standard1"/>
    <w:qFormat/>
    <w:pPr/>
    <w:rPr/>
  </w:style>
  <w:style w:type="paragraph" w:styleId="Objektutanfyllningochutanlinjer" w:customStyle="1">
    <w:name w:val="Objekt utan fyllning och utan linjer"/>
    <w:basedOn w:val="Standard1"/>
    <w:qFormat/>
    <w:pPr/>
    <w:rPr/>
  </w:style>
  <w:style w:type="paragraph" w:styleId="A4" w:customStyle="1">
    <w:name w:val="A4"/>
    <w:basedOn w:val="Text"/>
    <w:qFormat/>
    <w:pPr/>
    <w:rPr>
      <w:rFonts w:ascii="Noto Sans" w:hAnsi="Noto Sans"/>
      <w:sz w:val="36"/>
    </w:rPr>
  </w:style>
  <w:style w:type="paragraph" w:styleId="Text" w:customStyle="1">
    <w:name w:val="Text"/>
    <w:basedOn w:val="Caption"/>
    <w:qFormat/>
    <w:pPr/>
    <w:rPr/>
  </w:style>
  <w:style w:type="paragraph" w:styleId="TitelA4" w:customStyle="1">
    <w:name w:val="Titel A4"/>
    <w:basedOn w:val="A4"/>
    <w:qFormat/>
    <w:pPr/>
    <w:rPr>
      <w:sz w:val="87"/>
    </w:rPr>
  </w:style>
  <w:style w:type="paragraph" w:styleId="RubrikA4" w:customStyle="1">
    <w:name w:val="Rubrik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elA0" w:customStyle="1">
    <w:name w:val="Titel A0"/>
    <w:basedOn w:val="A0"/>
    <w:qFormat/>
    <w:pPr/>
    <w:rPr>
      <w:sz w:val="191"/>
    </w:rPr>
  </w:style>
  <w:style w:type="paragraph" w:styleId="RubrikA0" w:customStyle="1">
    <w:name w:val="Rubrik A0"/>
    <w:basedOn w:val="A0"/>
    <w:qFormat/>
    <w:pPr/>
    <w:rPr>
      <w:sz w:val="143"/>
    </w:rPr>
  </w:style>
  <w:style w:type="paragraph" w:styleId="TextA0" w:customStyle="1">
    <w:name w:val="Text A0"/>
    <w:basedOn w:val="A0"/>
    <w:qFormat/>
    <w:pPr/>
    <w:rPr/>
  </w:style>
  <w:style w:type="paragraph" w:styleId="Grafik" w:customStyle="1">
    <w:name w:val="Grafik"/>
    <w:qFormat/>
    <w:pPr>
      <w:widowControl/>
      <w:suppressAutoHyphens w:val="true"/>
      <w:bidi w:val="0"/>
      <w:spacing w:before="0" w:after="0"/>
      <w:jc w:val="left"/>
    </w:pPr>
    <w:rPr>
      <w:rFonts w:ascii="Liberation Sans" w:hAnsi="Liberation Sans" w:eastAsia="Noto Sans" w:cs="Liberation Sans"/>
      <w:color w:val="auto"/>
      <w:kern w:val="0"/>
      <w:sz w:val="36"/>
      <w:szCs w:val="24"/>
      <w:lang w:val="en-US" w:eastAsia="en-US" w:bidi="ar-SA"/>
    </w:rPr>
  </w:style>
  <w:style w:type="paragraph" w:styleId="Former" w:customStyle="1">
    <w:name w:val="Former"/>
    <w:basedOn w:val="Grafik"/>
    <w:qFormat/>
    <w:pPr/>
    <w:rPr>
      <w:b/>
      <w:sz w:val="28"/>
    </w:rPr>
  </w:style>
  <w:style w:type="paragraph" w:styleId="Fylld" w:customStyle="1">
    <w:name w:val="Fylld"/>
    <w:basedOn w:val="Former"/>
    <w:qFormat/>
    <w:pPr/>
    <w:rPr/>
  </w:style>
  <w:style w:type="paragraph" w:styleId="Fylldbl" w:customStyle="1">
    <w:name w:val="Fylld blå"/>
    <w:basedOn w:val="Fylld"/>
    <w:qFormat/>
    <w:pPr/>
    <w:rPr>
      <w:color w:val="FFFFFF"/>
    </w:rPr>
  </w:style>
  <w:style w:type="paragraph" w:styleId="Fylldgrn" w:customStyle="1">
    <w:name w:val="Fylld grön"/>
    <w:basedOn w:val="Fylld"/>
    <w:qFormat/>
    <w:pPr/>
    <w:rPr>
      <w:color w:val="FFFFFF"/>
    </w:rPr>
  </w:style>
  <w:style w:type="paragraph" w:styleId="Fylldrd" w:customStyle="1">
    <w:name w:val="Fylld röd"/>
    <w:basedOn w:val="Fylld"/>
    <w:qFormat/>
    <w:pPr/>
    <w:rPr>
      <w:color w:val="FFFFFF"/>
    </w:rPr>
  </w:style>
  <w:style w:type="paragraph" w:styleId="Fylldgul" w:customStyle="1">
    <w:name w:val="Fylld gul"/>
    <w:basedOn w:val="Fylld"/>
    <w:qFormat/>
    <w:pPr/>
    <w:rPr>
      <w:color w:val="FFFFFF"/>
    </w:rPr>
  </w:style>
  <w:style w:type="paragraph" w:styleId="Skisserad" w:customStyle="1">
    <w:name w:val="Skisserad"/>
    <w:basedOn w:val="Former"/>
    <w:qFormat/>
    <w:pPr/>
    <w:rPr/>
  </w:style>
  <w:style w:type="paragraph" w:styleId="Skisseradbl" w:customStyle="1">
    <w:name w:val="Skisserad blå"/>
    <w:basedOn w:val="Skisserad"/>
    <w:qFormat/>
    <w:pPr/>
    <w:rPr>
      <w:color w:val="355269"/>
    </w:rPr>
  </w:style>
  <w:style w:type="paragraph" w:styleId="Skisseradgrn" w:customStyle="1">
    <w:name w:val="Skisserad grön"/>
    <w:basedOn w:val="Skisserad"/>
    <w:qFormat/>
    <w:pPr/>
    <w:rPr>
      <w:color w:val="127622"/>
    </w:rPr>
  </w:style>
  <w:style w:type="paragraph" w:styleId="Skisseradrd" w:customStyle="1">
    <w:name w:val="Skisserad röd"/>
    <w:basedOn w:val="Skisserad"/>
    <w:qFormat/>
    <w:pPr/>
    <w:rPr>
      <w:color w:val="C9211E"/>
    </w:rPr>
  </w:style>
  <w:style w:type="paragraph" w:styleId="Skisseradgul" w:customStyle="1">
    <w:name w:val="Skisserad gul"/>
    <w:basedOn w:val="Skisserad"/>
    <w:qFormat/>
    <w:pPr/>
    <w:rPr>
      <w:color w:val="B47804"/>
    </w:rPr>
  </w:style>
  <w:style w:type="paragraph" w:styleId="Linjer" w:customStyle="1">
    <w:name w:val="Linjer"/>
    <w:basedOn w:val="Grafik"/>
    <w:qFormat/>
    <w:pPr/>
    <w:rPr/>
  </w:style>
  <w:style w:type="paragraph" w:styleId="Pillinje" w:customStyle="1">
    <w:name w:val="Pillinje"/>
    <w:basedOn w:val="Linjer"/>
    <w:qFormat/>
    <w:pPr/>
    <w:rPr/>
  </w:style>
  <w:style w:type="paragraph" w:styleId="Streckadlinje" w:customStyle="1">
    <w:name w:val="Streckad linje"/>
    <w:basedOn w:val="Linjer"/>
    <w:qFormat/>
    <w:pPr/>
    <w:rPr/>
  </w:style>
  <w:style w:type="paragraph" w:styleId="TitleandContentLTGliederung1" w:customStyle="1">
    <w:name w:val="Title and Content~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TitleandContentLTGliederung2" w:customStyle="1">
    <w:name w:val="Title and Content~LT~Gliederung 2"/>
    <w:basedOn w:val="TitleandContentLTGliederung1"/>
    <w:qFormat/>
    <w:pPr>
      <w:spacing w:before="227" w:after="0"/>
    </w:pPr>
    <w:rPr>
      <w:b w:val="false"/>
      <w:sz w:val="36"/>
    </w:rPr>
  </w:style>
  <w:style w:type="paragraph" w:styleId="TitleandContentLTGliederung3" w:customStyle="1">
    <w:name w:val="Title and Content~LT~Gliederung 3"/>
    <w:basedOn w:val="TitleandContentLTGliederung2"/>
    <w:qFormat/>
    <w:pPr>
      <w:spacing w:before="170" w:after="0"/>
    </w:pPr>
    <w:rPr>
      <w:sz w:val="32"/>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z w:val="40"/>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TitleandContentLTUntertitel" w:customStyle="1">
    <w:name w:val="Title and Content~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TitleandContentLTNotizen" w:customStyle="1">
    <w:name w:val="Title and Content~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TitleandContentLTHintergrundobjekte" w:customStyle="1">
    <w:name w:val="Title and Content~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itleandContentLTHintergrund" w:customStyle="1">
    <w:name w:val="Title and Content~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Default1" w:customStyle="1">
    <w:name w:val="default"/>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kgrundsobjekt" w:customStyle="1">
    <w:name w:val="Bakgrundsobjekt"/>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akgrund" w:customStyle="1">
    <w:name w:val="Bak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Anteckningar" w:customStyle="1">
    <w:name w:val="Anteckningar"/>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Disposition1" w:customStyle="1">
    <w:name w:val="Disposition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Disposition2" w:customStyle="1">
    <w:name w:val="Disposition 2"/>
    <w:basedOn w:val="Disposition1"/>
    <w:qFormat/>
    <w:pPr>
      <w:spacing w:before="227" w:after="0"/>
    </w:pPr>
    <w:rPr>
      <w:b w:val="false"/>
      <w:sz w:val="36"/>
    </w:rPr>
  </w:style>
  <w:style w:type="paragraph" w:styleId="Disposition3" w:customStyle="1">
    <w:name w:val="Disposition 3"/>
    <w:basedOn w:val="Disposition2"/>
    <w:qFormat/>
    <w:pPr>
      <w:spacing w:before="170" w:after="0"/>
    </w:pPr>
    <w:rPr>
      <w:sz w:val="32"/>
    </w:rPr>
  </w:style>
  <w:style w:type="paragraph" w:styleId="Disposition4" w:customStyle="1">
    <w:name w:val="Disposition 4"/>
    <w:basedOn w:val="Disposition3"/>
    <w:qFormat/>
    <w:pPr>
      <w:spacing w:before="113" w:after="0"/>
    </w:pPr>
    <w:rPr/>
  </w:style>
  <w:style w:type="paragraph" w:styleId="Disposition5" w:customStyle="1">
    <w:name w:val="Disposition 5"/>
    <w:basedOn w:val="Disposition4"/>
    <w:qFormat/>
    <w:pPr>
      <w:spacing w:before="57" w:after="0"/>
    </w:pPr>
    <w:rPr>
      <w:sz w:val="40"/>
    </w:rPr>
  </w:style>
  <w:style w:type="paragraph" w:styleId="Disposition6" w:customStyle="1">
    <w:name w:val="Disposition 6"/>
    <w:basedOn w:val="Disposition5"/>
    <w:qFormat/>
    <w:pPr/>
    <w:rPr/>
  </w:style>
  <w:style w:type="paragraph" w:styleId="Disposition7" w:customStyle="1">
    <w:name w:val="Disposition 7"/>
    <w:basedOn w:val="Disposition6"/>
    <w:qFormat/>
    <w:pPr/>
    <w:rPr/>
  </w:style>
  <w:style w:type="paragraph" w:styleId="Disposition8" w:customStyle="1">
    <w:name w:val="Disposition 8"/>
    <w:basedOn w:val="Disposition7"/>
    <w:qFormat/>
    <w:pPr/>
    <w:rPr/>
  </w:style>
  <w:style w:type="paragraph" w:styleId="Disposition9" w:customStyle="1">
    <w:name w:val="Disposition 9"/>
    <w:basedOn w:val="Disposition8"/>
    <w:qFormat/>
    <w:pPr/>
    <w:rPr/>
  </w:style>
  <w:style w:type="paragraph" w:styleId="BlankLTGliederung1" w:customStyle="1">
    <w:name w:val="Blank~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BlankLTGliederung2" w:customStyle="1">
    <w:name w:val="Blank~LT~Gliederung 2"/>
    <w:basedOn w:val="BlankLTGliederung1"/>
    <w:qFormat/>
    <w:pPr>
      <w:spacing w:before="227" w:after="0"/>
    </w:pPr>
    <w:rPr>
      <w:b w:val="false"/>
      <w:sz w:val="36"/>
    </w:rPr>
  </w:style>
  <w:style w:type="paragraph" w:styleId="BlankLTGliederung3" w:customStyle="1">
    <w:name w:val="Blank~LT~Gliederung 3"/>
    <w:basedOn w:val="BlankLTGliederung2"/>
    <w:qFormat/>
    <w:pPr>
      <w:spacing w:before="170" w:after="0"/>
    </w:pPr>
    <w:rPr>
      <w:sz w:val="32"/>
    </w:rPr>
  </w:style>
  <w:style w:type="paragraph" w:styleId="BlankLTGliederung4" w:customStyle="1">
    <w:name w:val="Blank~LT~Gliederung 4"/>
    <w:basedOn w:val="BlankLTGliederung3"/>
    <w:qFormat/>
    <w:pPr>
      <w:spacing w:before="113" w:after="0"/>
    </w:pPr>
    <w:rPr/>
  </w:style>
  <w:style w:type="paragraph" w:styleId="BlankLTGliederung5" w:customStyle="1">
    <w:name w:val="Blank~LT~Gliederung 5"/>
    <w:basedOn w:val="BlankLTGliederung4"/>
    <w:qFormat/>
    <w:pPr>
      <w:spacing w:before="57" w:after="0"/>
    </w:pPr>
    <w:rPr>
      <w:sz w:val="40"/>
    </w:rPr>
  </w:style>
  <w:style w:type="paragraph" w:styleId="BlankLTGliederung6" w:customStyle="1">
    <w:name w:val="Blank~LT~Gliederung 6"/>
    <w:basedOn w:val="BlankLTGliederung5"/>
    <w:qFormat/>
    <w:pPr/>
    <w:rPr/>
  </w:style>
  <w:style w:type="paragraph" w:styleId="BlankLTGliederung7" w:customStyle="1">
    <w:name w:val="Blank~LT~Gliederung 7"/>
    <w:basedOn w:val="BlankLTGliederung6"/>
    <w:qFormat/>
    <w:pPr/>
    <w:rPr/>
  </w:style>
  <w:style w:type="paragraph" w:styleId="BlankLTGliederung8" w:customStyle="1">
    <w:name w:val="Blank~LT~Gliederung 8"/>
    <w:basedOn w:val="BlankLTGliederung7"/>
    <w:qFormat/>
    <w:pPr/>
    <w:rPr/>
  </w:style>
  <w:style w:type="paragraph" w:styleId="BlankLTGliederung9" w:customStyle="1">
    <w:name w:val="Blank~LT~Gliederung 9"/>
    <w:basedOn w:val="BlankLTGliederung8"/>
    <w:qFormat/>
    <w:pPr/>
    <w:rPr/>
  </w:style>
  <w:style w:type="paragraph" w:styleId="BlankLTTitel" w:customStyle="1">
    <w:name w:val="Blank~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BlankLTUntertitel" w:customStyle="1">
    <w:name w:val="Blank~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BlankLTNotizen" w:customStyle="1">
    <w:name w:val="Blank~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BlankLTHintergrundobjekte" w:customStyle="1">
    <w:name w:val="Blank~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lankLTHintergrund" w:customStyle="1">
    <w:name w:val="Blank~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abellinnehll" w:customStyle="1">
    <w:name w:val="Tabellinnehåll"/>
    <w:basedOn w:val="Normal"/>
    <w:qFormat/>
    <w:pPr>
      <w:widowControl w:val="false"/>
      <w:suppressLineNumbers/>
    </w:pPr>
    <w:rPr/>
  </w:style>
  <w:style w:type="paragraph" w:styleId="Tabellrubrik" w:customStyle="1">
    <w:name w:val="Tabellrubrik"/>
    <w:basedOn w:val="Tabellinnehll"/>
    <w:qFormat/>
    <w:pPr>
      <w:jc w:val="center"/>
    </w:pPr>
    <w:rPr>
      <w:b/>
      <w:bCs/>
    </w:rPr>
  </w:style>
  <w:style w:type="paragraph" w:styleId="Revision">
    <w:name w:val="Revision"/>
    <w:uiPriority w:val="71"/>
    <w:semiHidden/>
    <w:qFormat/>
    <w:rsid w:val="003f3649"/>
    <w:pPr>
      <w:widowControl/>
      <w:suppressAutoHyphens w:val="fals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Annotationtext">
    <w:name w:val="annotation text"/>
    <w:basedOn w:val="Normal"/>
    <w:link w:val="CommentTextChar"/>
    <w:qFormat/>
    <w:rsid w:val="00c20ea8"/>
    <w:pPr/>
    <w:rPr>
      <w:sz w:val="20"/>
    </w:rPr>
  </w:style>
  <w:style w:type="paragraph" w:styleId="Annotationsubject">
    <w:name w:val="annotation subject"/>
    <w:basedOn w:val="Annotationtext"/>
    <w:next w:val="Annotationtext"/>
    <w:link w:val="CommentSubjectChar"/>
    <w:semiHidden/>
    <w:unhideWhenUsed/>
    <w:qFormat/>
    <w:rsid w:val="00c20ea8"/>
    <w:pPr/>
    <w:rPr>
      <w:b/>
      <w:bCs/>
    </w:rPr>
  </w:style>
  <w:style w:type="paragraph" w:styleId="Raminnehll" w:customStyle="1">
    <w:name w:val="Raminnehåll"/>
    <w:basedOn w:val="Normal"/>
    <w:qFormat/>
    <w:pPr/>
    <w:rPr/>
  </w:style>
  <w:style w:type="paragraph" w:styleId="Standard" w:customStyle="1">
    <w:name w:val="Standard"/>
    <w:qFormat/>
    <w:pPr>
      <w:widowControl/>
      <w:suppressAutoHyphens w:val="true"/>
      <w:bidi w:val="0"/>
      <w:spacing w:lineRule="atLeast" w:line="200" w:before="0" w:after="0"/>
      <w:jc w:val="left"/>
    </w:pPr>
    <w:rPr>
      <w:rFonts w:ascii="Noto Sans Devanagari" w:hAnsi="Noto Sans Devanagari" w:eastAsia="Noto Sans" w:cs="Arial"/>
      <w:color w:val="auto"/>
      <w:kern w:val="2"/>
      <w:sz w:val="36"/>
      <w:szCs w:val="24"/>
      <w:lang w:val="en-US" w:eastAsia="en-US" w:bidi="ar-SA"/>
    </w:rPr>
  </w:style>
  <w:style w:type="paragraph" w:styleId="Frformateradtext" w:customStyle="1">
    <w:name w:val="Förformaterad text"/>
    <w:basedOn w:val="Normal"/>
    <w:qFormat/>
    <w:pPr/>
    <w:rPr>
      <w:rFonts w:ascii="Liberation Mono" w:hAnsi="Liberation Mono" w:eastAsia="Liberation Mono" w:cs="Liberation Mono"/>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a01ea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eee802.org/18/" TargetMode="External"/><Relationship Id="rId3" Type="http://schemas.openxmlformats.org/officeDocument/2006/relationships/hyperlink" Target="https://mentor.ieee.org/802.18/dcn/22/18-22-0069-00-0000-rr-tag-agenda-7-july-2022.pptx" TargetMode="External"/><Relationship Id="rId4" Type="http://schemas.openxmlformats.org/officeDocument/2006/relationships/hyperlink" Target="https://www.ieee802.org/18/RRTAG_Voters.pdf" TargetMode="External"/><Relationship Id="rId5" Type="http://schemas.openxmlformats.org/officeDocument/2006/relationships/hyperlink" Target="https://mentor.ieee.org/802-ec/dcn/21/ec-21-0207-23-0PNP-ieee-802-lmsc-working-group-policies-and-procedures.pdf" TargetMode="External"/><Relationship Id="rId6" Type="http://schemas.openxmlformats.org/officeDocument/2006/relationships/hyperlink" Target="http://www.ieee802.org/devdocs.shtml" TargetMode="External"/><Relationship Id="rId7" Type="http://schemas.openxmlformats.org/officeDocument/2006/relationships/hyperlink" Target="https://standards.ieee.org/about/policies/opman/" TargetMode="External"/><Relationship Id="rId8" Type="http://schemas.openxmlformats.org/officeDocument/2006/relationships/hyperlink" Target="https://mentor.ieee.org/802.18/dcn/22/18-22-0070-00-0000-teleconference-minutes-30-june-2022.docx" TargetMode="External"/><Relationship Id="rId9" Type="http://schemas.openxmlformats.org/officeDocument/2006/relationships/hyperlink" Target="https://mentor.ieee.org/802.18/dcn/22/18-22-0035-24-0000-status-of-ongoing-consultations-and-tag-documents-for-approval.docx" TargetMode="External"/><Relationship Id="rId10" Type="http://schemas.openxmlformats.org/officeDocument/2006/relationships/hyperlink" Target="https://mentor.ieee.org/802.18/dcn/22/18-22-0062-00-0000-rr-tag-2022-july-plenary-agenda.pptx" TargetMode="External"/><Relationship Id="rId11" Type="http://schemas.openxmlformats.org/officeDocument/2006/relationships/hyperlink" Target="https://mentor.ieee.org/802.18/dcn/22/18-22-0063-00-0000-ieee-802-18-rr-tag-2022-july-plenary-chair-opening-report.ppt" TargetMode="External"/><Relationship Id="rId12" Type="http://schemas.openxmlformats.org/officeDocument/2006/relationships/hyperlink" Target="https://mentor.ieee.org/802.18/dcn/16/18-16-0038-22-0000-teleconference-call-in-info.pptx" TargetMode="External"/><Relationship Id="rId13" Type="http://schemas.openxmlformats.org/officeDocument/2006/relationships/hyperlink" Target="https://calendar.google.com/calendar/embed?src=c2gedttabtbj4bps23j4847004@group.calendar.google.com&amp;ctz=America%2FNew_York" TargetMode="External"/><Relationship Id="rId14" Type="http://schemas.openxmlformats.org/officeDocument/2006/relationships/hyperlink" Target="https://mentor.ieee.org/802.18/dcn/16/18-16-0038-22-0000-teleconference-call-in-info.pptx" TargetMode="External"/><Relationship Id="rId15" Type="http://schemas.openxmlformats.org/officeDocument/2006/relationships/hyperlink" Target="http://ieee802.org/802tele_calendar.html" TargetMode="External"/><Relationship Id="rId16" Type="http://schemas.openxmlformats.org/officeDocument/2006/relationships/hyperlink" Target="https://calendar.google.com/calendar/embed?src=c2gedttabtbj4bps23j4847004@group.calendar.google.com&amp;ctz=America%2FNew_York"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Relationship Id="rId23"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3FB7B-B080-40AD-B2FB-084293FB1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3852</TotalTime>
  <Application>LibreOffice/7.2.7.2$Linux_X86_64 LibreOffice_project/20$Build-2</Application>
  <AppVersion>15.0000</AppVersion>
  <Pages>5</Pages>
  <Words>1388</Words>
  <Characters>7383</Characters>
  <CharactersWithSpaces>8647</CharactersWithSpaces>
  <Paragraphs>164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2022-07-05T22:24:00Z</dcterms:created>
  <dc:creator>author</dc:creator>
  <dc:description/>
  <cp:keywords>28 28 28 28 28 28 28 28 28 April 2022</cp:keywords>
  <dc:language>sv-SE</dc:language>
  <cp:lastModifiedBy>Amelia Andersdotter</cp:lastModifiedBy>
  <cp:lastPrinted>2012-05-15T22:13:00Z</cp:lastPrinted>
  <dcterms:modified xsi:type="dcterms:W3CDTF">2022-07-10T19:54:41Z</dcterms:modified>
  <cp:revision>16</cp:revision>
  <dc:subject>RR-TAG Minutes</dc:subject>
  <dc:title>RR-TAG Meeting Minutes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