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1271"/>
        <w:gridCol w:w="2142"/>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 xml:space="preserve">– </w:t>
            </w:r>
            <w:r>
              <w:rPr/>
              <w:t>9 June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13 June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SkyUK</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0" distB="0" distL="0" distR="0" simplePos="0" locked="0" layoutInCell="0" allowOverlap="1" relativeHeight="2" wp14:anchorId="66EF9E94">
                <wp:simplePos x="0" y="0"/>
                <wp:positionH relativeFrom="column">
                  <wp:posOffset>165735</wp:posOffset>
                </wp:positionH>
                <wp:positionV relativeFrom="paragraph">
                  <wp:posOffset>27305</wp:posOffset>
                </wp:positionV>
                <wp:extent cx="6087110" cy="2849245"/>
                <wp:effectExtent l="0" t="0" r="0" b="0"/>
                <wp:wrapNone/>
                <wp:docPr id="1" name="Text Box 3"/>
                <a:graphic xmlns:a="http://schemas.openxmlformats.org/drawingml/2006/main">
                  <a:graphicData uri="http://schemas.microsoft.com/office/word/2010/wordprocessingShape">
                    <wps:wsp>
                      <wps:cNvSpPr/>
                      <wps:spPr>
                        <a:xfrm>
                          <a:off x="0" y="0"/>
                          <a:ext cx="6086520" cy="284868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Technical Advisory Group for the weekly teleconference call on 9 June 2022.</w:t>
                            </w:r>
                          </w:p>
                          <w:p>
                            <w:pPr>
                              <w:pStyle w:val="Raminnehll"/>
                              <w:jc w:val="both"/>
                              <w:rPr>
                                <w:color w:val="000000"/>
                              </w:rPr>
                            </w:pPr>
                            <w:r>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13.05pt;margin-top:2.15pt;width:479.2pt;height:224.25pt;mso-wrap-style:square;v-text-anchor:top" wp14:anchorId="66EF9E94">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Technical Advisory Group for the weekly teleconference call on 9 June 2022.</w:t>
                      </w:r>
                    </w:p>
                    <w:p>
                      <w:pPr>
                        <w:pStyle w:val="Raminnehll"/>
                        <w:jc w:val="both"/>
                        <w:rPr>
                          <w:color w:val="000000"/>
                        </w:rPr>
                      </w:pPr>
                      <w:r>
                        <w:rPr/>
                      </w:r>
                    </w:p>
                  </w:txbxContent>
                </v:textbox>
                <w10:wrap type="none"/>
              </v:rect>
            </w:pict>
          </mc:Fallback>
        </mc:AlternateContent>
      </w:r>
      <w:r>
        <w:br w:type="page"/>
      </w:r>
    </w:p>
    <w:p>
      <w:pPr>
        <w:pStyle w:val="T1"/>
        <w:spacing w:before="0" w:after="120"/>
        <w:rPr/>
      </w:pPr>
      <w:r>
        <w:rPr>
          <w:b w:val="false"/>
          <w:bCs/>
          <w:sz w:val="24"/>
          <w:szCs w:val="24"/>
        </w:rPr>
        <w:t>Chair:  Edward Au (Huawei)</w:t>
      </w:r>
    </w:p>
    <w:p>
      <w:pPr>
        <w:pStyle w:val="T1"/>
        <w:spacing w:before="0" w:after="120"/>
        <w:rPr>
          <w:rStyle w:val="Internetlnk"/>
          <w:b w:val="false"/>
          <w:b w:val="false"/>
          <w:bCs/>
          <w:color w:val="000000"/>
          <w:sz w:val="24"/>
          <w:szCs w:val="24"/>
          <w:u w:val="none"/>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(Sky)</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pPr>
      <w:r>
        <w:rPr>
          <w:sz w:val="24"/>
          <w:szCs w:val="24"/>
        </w:rPr>
        <w:t>These are the minutes of the IEEE 802 RR-TAG teleconference on Thursday, 9 June 2022.</w:t>
        <w:br/>
      </w:r>
    </w:p>
    <w:p>
      <w:pPr>
        <w:pStyle w:val="Normal"/>
        <w:numPr>
          <w:ilvl w:val="0"/>
          <w:numId w:val="1"/>
        </w:numPr>
        <w:spacing w:before="0" w:after="0"/>
        <w:contextualSpacing/>
        <w:rPr/>
      </w:pPr>
      <w:r>
        <w:rPr>
          <w:sz w:val="24"/>
          <w:szCs w:val="24"/>
        </w:rPr>
        <w:t>Chair calls the meeting to order at 15:02 ET.</w:t>
      </w:r>
    </w:p>
    <w:p>
      <w:pPr>
        <w:pStyle w:val="Normal"/>
        <w:spacing w:before="0" w:after="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nk"/>
            <w:sz w:val="24"/>
            <w:szCs w:val="24"/>
          </w:rPr>
          <w:t>18/22-0061r0</w:t>
        </w:r>
      </w:hyperlink>
      <w:r>
        <w:rPr>
          <w:sz w:val="24"/>
          <w:szCs w:val="24"/>
        </w:rPr>
        <w:br/>
      </w:r>
    </w:p>
    <w:p>
      <w:pPr>
        <w:pStyle w:val="Normal"/>
        <w:numPr>
          <w:ilvl w:val="0"/>
          <w:numId w:val="1"/>
        </w:numPr>
        <w:spacing w:before="0" w:after="0"/>
        <w:contextualSpacing/>
        <w:rPr/>
      </w:pPr>
      <w:r>
        <w:rPr>
          <w:sz w:val="24"/>
          <w:szCs w:val="24"/>
        </w:rPr>
        <w:t>Chair presents administrative items</w:t>
      </w:r>
    </w:p>
    <w:p>
      <w:pPr>
        <w:pStyle w:val="Normal"/>
        <w:numPr>
          <w:ilvl w:val="1"/>
          <w:numId w:val="1"/>
        </w:numPr>
        <w:spacing w:before="0" w:after="0"/>
        <w:contextualSpacing/>
        <w:rPr/>
      </w:pPr>
      <w:r>
        <w:rPr>
          <w:bCs/>
          <w:sz w:val="24"/>
          <w:szCs w:val="24"/>
        </w:rPr>
        <w:t>Group officers and voting membership</w:t>
      </w:r>
    </w:p>
    <w:p>
      <w:pPr>
        <w:pStyle w:val="Normal"/>
        <w:numPr>
          <w:ilvl w:val="2"/>
          <w:numId w:val="1"/>
        </w:numPr>
        <w:spacing w:before="0" w:after="0"/>
        <w:contextualSpacing/>
        <w:rPr/>
      </w:pPr>
      <w:r>
        <w:rPr/>
        <w:t xml:space="preserve">  </w:t>
      </w:r>
      <w:r>
        <w:rPr/>
        <w:t xml:space="preserve">Voters:  44 (8 on LMSC) </w:t>
      </w:r>
    </w:p>
    <w:p>
      <w:pPr>
        <w:pStyle w:val="Normal"/>
        <w:numPr>
          <w:ilvl w:val="2"/>
          <w:numId w:val="1"/>
        </w:numPr>
        <w:spacing w:before="0" w:after="0"/>
        <w:contextualSpacing/>
        <w:rPr/>
      </w:pPr>
      <w:r>
        <w:rPr/>
        <w:t xml:space="preserve">  </w:t>
      </w:r>
      <w:r>
        <w:rPr/>
        <w:t>Nearly Voters:  3</w:t>
      </w:r>
    </w:p>
    <w:p>
      <w:pPr>
        <w:pStyle w:val="Normal"/>
        <w:numPr>
          <w:ilvl w:val="2"/>
          <w:numId w:val="1"/>
        </w:numPr>
        <w:spacing w:before="0" w:after="0"/>
        <w:contextualSpacing/>
        <w:rPr/>
      </w:pPr>
      <w:r>
        <w:rPr/>
        <w:t xml:space="preserve">  </w:t>
      </w:r>
      <w:r>
        <w:rPr/>
        <w:t>Aspirant members:  5</w:t>
      </w:r>
    </w:p>
    <w:p>
      <w:pPr>
        <w:pStyle w:val="Normal"/>
        <w:numPr>
          <w:ilvl w:val="2"/>
          <w:numId w:val="1"/>
        </w:numPr>
        <w:spacing w:before="0" w:after="0"/>
        <w:contextualSpacing/>
        <w:rPr/>
      </w:pPr>
      <w:r>
        <w:rPr/>
        <w:t xml:space="preserve">  </w:t>
      </w:r>
      <w:hyperlink r:id="rId4">
        <w:r>
          <w:rPr>
            <w:rStyle w:val="Internetlnk"/>
          </w:rPr>
          <w:t>802.18 Voters List</w:t>
        </w:r>
      </w:hyperlink>
    </w:p>
    <w:p>
      <w:pPr>
        <w:pStyle w:val="Normal"/>
        <w:numPr>
          <w:ilvl w:val="1"/>
          <w:numId w:val="1"/>
        </w:numPr>
        <w:spacing w:before="0" w:after="0"/>
        <w:contextualSpacing/>
        <w:rPr>
          <w:sz w:val="24"/>
          <w:szCs w:val="24"/>
        </w:rPr>
      </w:pPr>
      <w:r>
        <w:rPr>
          <w:sz w:val="24"/>
          <w:szCs w:val="24"/>
        </w:rPr>
        <w:t>RR-TAG Policies &amp; Procedures [</w:t>
      </w:r>
      <w:r>
        <w:rPr>
          <w:rStyle w:val="Internetlnk"/>
        </w:rPr>
        <w:t xml:space="preserve">  </w:t>
      </w:r>
      <w:hyperlink r:id="rId5">
        <w:r>
          <w:rPr>
            <w:rStyle w:val="Internetlnk"/>
            <w:sz w:val="24"/>
            <w:szCs w:val="24"/>
            <w:lang w:val="nl-NL"/>
          </w:rPr>
          <w:t>8</w:t>
        </w:r>
        <w:r>
          <w:rPr>
            <w:rStyle w:val="Internetlnk"/>
            <w:szCs w:val="22"/>
            <w:lang w:val="nl-NL"/>
          </w:rPr>
          <w:t>02 LMSC WG P&amp;P</w:t>
        </w:r>
      </w:hyperlink>
      <w:r>
        <w:rPr>
          <w:szCs w:val="22"/>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7">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pPr>
      <w:r>
        <w:rPr>
          <w:bCs/>
          <w:sz w:val="24"/>
          <w:szCs w:val="24"/>
        </w:rPr>
        <w:t>Online meeting procedures reminder</w:t>
        <w:br/>
        <w:t xml:space="preserve"> </w:t>
      </w:r>
    </w:p>
    <w:p>
      <w:pPr>
        <w:pStyle w:val="Normal"/>
        <w:numPr>
          <w:ilvl w:val="0"/>
          <w:numId w:val="1"/>
        </w:numPr>
        <w:spacing w:before="0" w:after="0"/>
        <w:contextualSpacing/>
        <w:rPr/>
      </w:pPr>
      <w:r>
        <w:rPr>
          <w:sz w:val="24"/>
          <w:szCs w:val="24"/>
        </w:rPr>
        <w:t>Chair presents the agenda (slide #9).  No modification to the agenda.</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pPr>
      <w:r>
        <w:rPr>
          <w:sz w:val="24"/>
          <w:szCs w:val="24"/>
        </w:rPr>
        <w:t>Administrative:</w:t>
      </w:r>
    </w:p>
    <w:p>
      <w:pPr>
        <w:pStyle w:val="Normal"/>
        <w:numPr>
          <w:ilvl w:val="1"/>
          <w:numId w:val="1"/>
        </w:numPr>
        <w:tabs>
          <w:tab w:val="left" w:pos="720" w:leader="none"/>
        </w:tabs>
        <w:spacing w:before="0" w:after="0"/>
        <w:contextualSpacing/>
        <w:rPr/>
      </w:pPr>
      <w:r>
        <w:rPr>
          <w:b/>
          <w:bCs/>
          <w:sz w:val="24"/>
          <w:szCs w:val="24"/>
        </w:rPr>
        <w:t xml:space="preserve">Motion #1: </w:t>
      </w:r>
      <w:r>
        <w:rPr>
          <w:sz w:val="24"/>
          <w:szCs w:val="24"/>
        </w:rPr>
        <w:t>To approve the agenda as presented on previous slide</w:t>
      </w:r>
    </w:p>
    <w:p>
      <w:pPr>
        <w:pStyle w:val="Normal"/>
        <w:spacing w:before="0" w:after="0"/>
        <w:ind w:left="1440" w:hanging="0"/>
        <w:contextualSpacing/>
        <w:rPr/>
      </w:pPr>
      <w:r>
        <w:rPr>
          <w:sz w:val="24"/>
          <w:szCs w:val="24"/>
        </w:rPr>
        <w:t xml:space="preserve">Moved by: </w:t>
        <w:tab/>
        <w:t>Stuart Kerry (OK-Brit, Self)</w:t>
      </w:r>
    </w:p>
    <w:p>
      <w:pPr>
        <w:pStyle w:val="Normal"/>
        <w:spacing w:before="0" w:after="0"/>
        <w:ind w:left="1440" w:hanging="0"/>
        <w:contextualSpacing/>
        <w:rPr/>
      </w:pPr>
      <w:r>
        <w:rPr>
          <w:sz w:val="24"/>
          <w:szCs w:val="24"/>
        </w:rPr>
        <w:t xml:space="preserve">Seconded by: </w:t>
        <w:tab/>
        <w:t>Al Petrick (Skyworks Solutions)</w:t>
      </w:r>
    </w:p>
    <w:p>
      <w:pPr>
        <w:pStyle w:val="Normal"/>
        <w:spacing w:before="0" w:after="0"/>
        <w:ind w:left="1440" w:hanging="0"/>
        <w:contextualSpacing/>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Passed with unanimous consent</w:t>
      </w:r>
    </w:p>
    <w:p>
      <w:pPr>
        <w:pStyle w:val="Normal"/>
        <w:spacing w:before="0" w:after="0"/>
        <w:ind w:left="1440" w:hanging="0"/>
        <w:contextualSpacing/>
        <w:rPr/>
      </w:pPr>
      <w:r>
        <w:rPr/>
      </w:r>
    </w:p>
    <w:p>
      <w:pPr>
        <w:pStyle w:val="Normal"/>
        <w:numPr>
          <w:ilvl w:val="1"/>
          <w:numId w:val="1"/>
        </w:numPr>
        <w:rPr/>
      </w:pPr>
      <w:r>
        <w:rPr>
          <w:b/>
          <w:bCs/>
          <w:sz w:val="24"/>
          <w:szCs w:val="24"/>
        </w:rPr>
        <w:t>Motion #2:</w:t>
      </w:r>
      <w:r>
        <w:rPr>
          <w:sz w:val="24"/>
          <w:szCs w:val="24"/>
        </w:rPr>
        <w:t xml:space="preserve"> To approve the weekly meeting minutes of the 2 June 2022 RR-TAG call as shown in the document </w:t>
      </w:r>
      <w:hyperlink r:id="rId8">
        <w:r>
          <w:rPr>
            <w:rStyle w:val="Internetlnk"/>
            <w:sz w:val="24"/>
            <w:szCs w:val="24"/>
          </w:rPr>
          <w:t>18-22/0064r0</w:t>
        </w:r>
      </w:hyperlink>
      <w:r>
        <w:rPr>
          <w:sz w:val="24"/>
          <w:szCs w:val="24"/>
        </w:rPr>
        <w:t>, with editorial privilege for the 802.18 Chair.</w:t>
      </w:r>
    </w:p>
    <w:p>
      <w:pPr>
        <w:pStyle w:val="Normal"/>
        <w:spacing w:before="0" w:after="0"/>
        <w:ind w:left="1440" w:hanging="0"/>
        <w:contextualSpacing/>
        <w:rPr/>
      </w:pPr>
      <w:r>
        <w:rPr>
          <w:sz w:val="24"/>
          <w:szCs w:val="24"/>
        </w:rPr>
        <w:t xml:space="preserve">Moved by: </w:t>
        <w:tab/>
      </w:r>
      <w:r>
        <w:rPr>
          <w:strike/>
          <w:sz w:val="24"/>
          <w:szCs w:val="24"/>
        </w:rPr>
        <w:t>Michael Lynch (MJ Lynch and Associates)</w:t>
      </w:r>
    </w:p>
    <w:p>
      <w:pPr>
        <w:pStyle w:val="Normal"/>
        <w:spacing w:before="0" w:after="0"/>
        <w:ind w:left="1440" w:hanging="0"/>
        <w:contextualSpacing/>
        <w:rPr/>
      </w:pPr>
      <w:r>
        <w:rPr>
          <w:sz w:val="24"/>
          <w:szCs w:val="24"/>
        </w:rPr>
        <w:t xml:space="preserve">Seconded by: </w:t>
        <w:tab/>
      </w:r>
      <w:r>
        <w:rPr>
          <w:strike/>
          <w:sz w:val="24"/>
          <w:szCs w:val="24"/>
        </w:rPr>
        <w:t>Al Petrick (OK-Brit, Self)</w:t>
      </w:r>
    </w:p>
    <w:p>
      <w:pPr>
        <w:pStyle w:val="Normal"/>
        <w:spacing w:before="0" w:after="0"/>
        <w:ind w:left="1440" w:hanging="0"/>
        <w:contextualSpacing/>
        <w:rPr/>
      </w:pPr>
      <w:r>
        <w:rPr>
          <w:sz w:val="24"/>
          <w:szCs w:val="24"/>
        </w:rPr>
        <w:t xml:space="preserve">Discussion?  </w:t>
        <w:br/>
        <w:tab/>
      </w:r>
      <w:r>
        <w:rPr>
          <w:b/>
          <w:bCs/>
          <w:sz w:val="24"/>
          <w:szCs w:val="24"/>
        </w:rPr>
        <w:t>C:</w:t>
      </w:r>
      <w:r>
        <w:rPr>
          <w:sz w:val="24"/>
          <w:szCs w:val="24"/>
        </w:rPr>
        <w:t xml:space="preserve"> Given the offline discussion earlier, should we delay adoption of these minutes until an r1 is posted which reflects that the policy statement discussion under point 6 in the minutes contained the observation that the policy statement supercedes an earlier IEEE Europe policy statement?</w:t>
        <w:br/>
        <w:tab/>
      </w:r>
      <w:r>
        <w:rPr>
          <w:b/>
          <w:bCs/>
          <w:sz w:val="24"/>
          <w:szCs w:val="24"/>
        </w:rPr>
        <w:t>C:</w:t>
      </w:r>
      <w:r>
        <w:rPr>
          <w:sz w:val="24"/>
          <w:szCs w:val="24"/>
        </w:rPr>
        <w:t xml:space="preserve"> Yes, this would be preferably.</w:t>
        <w:br/>
        <w:tab/>
      </w:r>
      <w:r>
        <w:rPr>
          <w:b/>
          <w:bCs/>
          <w:sz w:val="24"/>
          <w:szCs w:val="24"/>
        </w:rPr>
        <w:t>C:</w:t>
      </w:r>
      <w:r>
        <w:rPr>
          <w:sz w:val="24"/>
          <w:szCs w:val="24"/>
        </w:rPr>
        <w:t xml:space="preserve"> If the Spectrum Management policy statement is not revised but is let to fall there will be no position statement representing the IEEE 802. That could also be reflected.</w:t>
        <w:br/>
        <w:tab/>
      </w:r>
      <w:r>
        <w:rPr>
          <w:b/>
          <w:bCs/>
          <w:sz w:val="24"/>
          <w:szCs w:val="24"/>
        </w:rPr>
        <w:t>Chair:</w:t>
      </w:r>
      <w:r>
        <w:rPr>
          <w:sz w:val="24"/>
          <w:szCs w:val="24"/>
        </w:rPr>
        <w:t xml:space="preserve"> I propose that adoption of this motion is postponed until next week when we have an r1 of the minutes on the mentor. Any objections?</w:t>
        <w:br/>
        <w:tab/>
      </w:r>
      <w:r>
        <w:rPr>
          <w:b/>
          <w:bCs/>
          <w:sz w:val="24"/>
          <w:szCs w:val="24"/>
        </w:rPr>
        <w:t xml:space="preserve">No one objects. </w:t>
      </w:r>
      <w:r>
        <w:rPr>
          <w:sz w:val="24"/>
          <w:szCs w:val="24"/>
        </w:rPr>
        <w:t>Mover agreed to withdraw motion.  The seconder was not responsive when Chair asked if he agreed to withdraw the motion.  Chair then asked the participants if there is any objection to withdraw the motion.   Hearing none and the motion is withdrawn.</w:t>
      </w:r>
    </w:p>
    <w:p>
      <w:pPr>
        <w:pStyle w:val="Normal"/>
        <w:spacing w:before="0" w:after="0"/>
        <w:ind w:left="1440" w:hanging="0"/>
        <w:contextualSpacing/>
        <w:rPr/>
      </w:pPr>
      <w:r>
        <w:rPr>
          <w:sz w:val="24"/>
          <w:szCs w:val="24"/>
        </w:rPr>
        <w:t>Vote:  No vote.</w:t>
        <w:br/>
      </w:r>
    </w:p>
    <w:p>
      <w:pPr>
        <w:pStyle w:val="ListParagraph"/>
        <w:numPr>
          <w:ilvl w:val="0"/>
          <w:numId w:val="1"/>
        </w:numPr>
        <w:spacing w:before="0" w:after="0"/>
        <w:contextualSpacing/>
        <w:rPr/>
      </w:pPr>
      <w:r>
        <w:rPr>
          <w:b/>
          <w:bCs/>
          <w:sz w:val="24"/>
          <w:szCs w:val="24"/>
        </w:rPr>
        <w:t>Status of ongoing consultations (</w:t>
      </w:r>
      <w:hyperlink r:id="rId9">
        <w:r>
          <w:rPr>
            <w:rStyle w:val="Internetlnk"/>
            <w:b/>
            <w:bCs/>
            <w:sz w:val="24"/>
            <w:szCs w:val="24"/>
          </w:rPr>
          <w:t>18-22/0035r18</w:t>
        </w:r>
      </w:hyperlink>
      <w:r>
        <w:rPr>
          <w:b/>
          <w:bCs/>
          <w:sz w:val="24"/>
          <w:szCs w:val="24"/>
        </w:rPr>
        <w:t>)</w:t>
      </w:r>
      <w:r>
        <w:rPr>
          <w:sz w:val="24"/>
          <w:szCs w:val="24"/>
        </w:rPr>
        <w:t xml:space="preserve"> contains the status of ongoing consultations along with internal deadlines for EC approval and external approval. </w:t>
        <w:br/>
        <w:br/>
        <w:t>The chair presented updates since the last meeting. No further comments received.</w:t>
        <w:br/>
      </w:r>
    </w:p>
    <w:p>
      <w:pPr>
        <w:pStyle w:val="Normal"/>
        <w:numPr>
          <w:ilvl w:val="0"/>
          <w:numId w:val="1"/>
        </w:numPr>
        <w:spacing w:before="0" w:after="0"/>
        <w:contextualSpacing/>
        <w:rPr/>
      </w:pPr>
      <w:r>
        <w:rPr>
          <w:b/>
          <w:bCs/>
          <w:sz w:val="24"/>
          <w:szCs w:val="24"/>
        </w:rPr>
        <w:t>General topics.</w:t>
      </w:r>
      <w:r>
        <w:rPr>
          <w:sz w:val="24"/>
          <w:szCs w:val="24"/>
        </w:rPr>
        <w:br/>
      </w:r>
    </w:p>
    <w:p>
      <w:pPr>
        <w:pStyle w:val="Normal"/>
        <w:numPr>
          <w:ilvl w:val="1"/>
          <w:numId w:val="1"/>
        </w:numPr>
        <w:spacing w:before="0" w:after="0"/>
        <w:contextualSpacing/>
        <w:rPr/>
      </w:pPr>
      <w:r>
        <w:rPr>
          <w:b/>
          <w:bCs/>
          <w:sz w:val="24"/>
          <w:szCs w:val="24"/>
        </w:rPr>
        <w:t>Europe</w:t>
      </w:r>
      <w:r>
        <w:rPr>
          <w:sz w:val="24"/>
          <w:szCs w:val="24"/>
        </w:rPr>
        <w:br/>
        <w:br/>
        <w:t xml:space="preserve">During the BRAN meeting WG FM posted </w:t>
      </w:r>
      <w:hyperlink r:id="rId10">
        <w:r>
          <w:rPr>
            <w:rStyle w:val="Internetlnk"/>
            <w:sz w:val="24"/>
            <w:szCs w:val="24"/>
          </w:rPr>
          <w:t>ECO report 06</w:t>
        </w:r>
      </w:hyperlink>
      <w:r>
        <w:rPr>
          <w:sz w:val="24"/>
          <w:szCs w:val="24"/>
        </w:rPr>
        <w:t>. These are the country-by-country rules in effect for the 5.8 GHz band. This document will serve as a reference point for master AP software implementers when looking for national rules and regulations.</w:t>
        <w:br/>
        <w:br/>
        <w:t xml:space="preserve">There was also a decision in WG FM to study standard power of AFC in the lower 6 GHz. The study is proposed to be finalized by 2024. </w:t>
        <w:br/>
        <w:br/>
        <w:t>EN 301 893 (5 GHz) motion to go to ENAP is postponed. 114017r3 revision posted, but another revision expected on 10 June 2022. IEEE 802.11 members have access to draft documents through reciprocity</w:t>
      </w:r>
      <w:bookmarkStart w:id="0" w:name="_GoBack"/>
      <w:bookmarkEnd w:id="0"/>
      <w:r>
        <w:rPr>
          <w:sz w:val="24"/>
          <w:szCs w:val="24"/>
        </w:rPr>
        <w:t xml:space="preserve"> agreement with ETSI. </w:t>
      </w:r>
    </w:p>
    <w:p>
      <w:pPr>
        <w:pStyle w:val="Normal"/>
        <w:spacing w:before="0" w:after="0"/>
        <w:contextualSpacing/>
        <w:rPr/>
      </w:pPr>
      <w:r>
        <w:rPr/>
      </w:r>
    </w:p>
    <w:p>
      <w:pPr>
        <w:pStyle w:val="Normal"/>
        <w:numPr>
          <w:ilvl w:val="1"/>
          <w:numId w:val="1"/>
        </w:numPr>
        <w:spacing w:before="0" w:after="0"/>
        <w:contextualSpacing/>
        <w:rPr>
          <w:sz w:val="24"/>
          <w:szCs w:val="24"/>
        </w:rPr>
      </w:pPr>
      <w:r>
        <w:rPr>
          <w:b/>
          <w:bCs/>
          <w:sz w:val="24"/>
          <w:szCs w:val="24"/>
        </w:rPr>
        <w:t>Americas</w:t>
      </w:r>
      <w:r>
        <w:rPr>
          <w:sz w:val="24"/>
          <w:szCs w:val="24"/>
        </w:rPr>
        <w:br/>
        <w:br/>
        <w:t>The June 2022 Open Commission Meeting was held at 10:30am ET on 8 June 2022.</w:t>
        <w:br/>
      </w:r>
    </w:p>
    <w:p>
      <w:pPr>
        <w:pStyle w:val="Normal"/>
        <w:spacing w:before="0" w:after="0"/>
        <w:ind w:left="720" w:hanging="0"/>
        <w:contextualSpacing/>
        <w:rPr>
          <w:sz w:val="24"/>
          <w:szCs w:val="24"/>
        </w:rPr>
      </w:pPr>
      <w:r>
        <w:rPr>
          <w:sz w:val="24"/>
          <w:szCs w:val="24"/>
        </w:rPr>
        <w:t>The next Technological Advisory Council meeting was scheduled at 10:00am ET on 9 June 2022. This meeting is still ongoing as we are convening.</w:t>
      </w:r>
    </w:p>
    <w:p>
      <w:pPr>
        <w:pStyle w:val="Normal"/>
        <w:spacing w:before="0" w:after="0"/>
        <w:ind w:left="720" w:hanging="0"/>
        <w:contextualSpacing/>
        <w:rPr>
          <w:sz w:val="24"/>
          <w:szCs w:val="24"/>
        </w:rPr>
      </w:pPr>
      <w:r>
        <w:rPr>
          <w:sz w:val="24"/>
          <w:szCs w:val="24"/>
        </w:rPr>
        <w:br/>
        <w:t xml:space="preserve">IEEE 802 technologies are featuring in these discussions, including some of the latest standards and technologies developed by IEEE 802 LMSC WGs (including .11, .15 and UWB). Bluetooth, low energy and IoT was also on the agenda, as well as cellular technologies. </w:t>
        <w:br/>
        <w:br/>
        <w:t xml:space="preserve">The schedule of the FCC open meetings is available </w:t>
      </w:r>
      <w:hyperlink r:id="rId11">
        <w:r>
          <w:rPr>
            <w:rStyle w:val="Internetlnk"/>
            <w:sz w:val="24"/>
            <w:szCs w:val="24"/>
          </w:rPr>
          <w:t>here</w:t>
        </w:r>
      </w:hyperlink>
      <w:r>
        <w:rPr>
          <w:sz w:val="24"/>
          <w:szCs w:val="24"/>
        </w:rPr>
        <w:t>.  Note that after the opening meeting on 5 August 2022, the September meeting is scheduled on 29 September 2022</w:t>
        <w:br/>
        <w:br/>
        <w:t>RABC (Canada) had its quarterly meeting on 9 June.</w:t>
        <w:br/>
        <w:br/>
        <w:t>No other update since last meeting (see minutes in 18-22-64r1).</w:t>
      </w:r>
    </w:p>
    <w:p>
      <w:pPr>
        <w:pStyle w:val="Normal"/>
        <w:spacing w:before="0" w:after="0"/>
        <w:ind w:left="720" w:hanging="0"/>
        <w:contextualSpacing/>
        <w:rPr>
          <w:sz w:val="24"/>
          <w:szCs w:val="24"/>
        </w:rPr>
      </w:pPr>
      <w:r>
        <w:rPr>
          <w:sz w:val="24"/>
          <w:szCs w:val="24"/>
        </w:rPr>
      </w:r>
    </w:p>
    <w:p>
      <w:pPr>
        <w:pStyle w:val="Normal"/>
        <w:numPr>
          <w:ilvl w:val="1"/>
          <w:numId w:val="1"/>
        </w:numPr>
        <w:spacing w:before="0" w:after="0"/>
        <w:contextualSpacing/>
        <w:rPr>
          <w:sz w:val="24"/>
          <w:szCs w:val="24"/>
        </w:rPr>
      </w:pPr>
      <w:r>
        <w:rPr>
          <w:b/>
          <w:bCs/>
          <w:sz w:val="24"/>
          <w:szCs w:val="24"/>
        </w:rPr>
        <w:t>Asia/Pacific</w:t>
      </w:r>
      <w:r>
        <w:rPr>
          <w:sz w:val="24"/>
          <w:szCs w:val="24"/>
        </w:rPr>
        <w:br/>
      </w:r>
    </w:p>
    <w:p>
      <w:pPr>
        <w:pStyle w:val="Normal"/>
        <w:spacing w:before="0" w:after="0"/>
        <w:ind w:left="720" w:hanging="0"/>
        <w:contextualSpacing/>
        <w:rPr>
          <w:sz w:val="24"/>
          <w:szCs w:val="24"/>
        </w:rPr>
      </w:pPr>
      <w:r>
        <w:rPr>
          <w:sz w:val="24"/>
          <w:szCs w:val="24"/>
        </w:rPr>
        <w:t>No other update since last meeting (see minutes in 18-22-64r1).</w:t>
      </w:r>
      <w:r>
        <w:rPr>
          <w:b/>
          <w:bCs/>
          <w:sz w:val="24"/>
          <w:szCs w:val="24"/>
        </w:rPr>
        <w:br/>
      </w:r>
    </w:p>
    <w:p>
      <w:pPr>
        <w:pStyle w:val="Normal"/>
        <w:numPr>
          <w:ilvl w:val="1"/>
          <w:numId w:val="1"/>
        </w:numPr>
        <w:spacing w:before="0" w:after="0"/>
        <w:contextualSpacing/>
        <w:rPr>
          <w:b/>
          <w:b/>
          <w:bCs/>
        </w:rPr>
      </w:pPr>
      <w:r>
        <w:rPr>
          <w:b/>
          <w:bCs/>
        </w:rPr>
        <w:t>Other/ITU-R</w:t>
        <w:br/>
        <w:br/>
      </w:r>
      <w:r>
        <w:rPr/>
        <w:t>No further comments.</w:t>
      </w:r>
    </w:p>
    <w:p>
      <w:pPr>
        <w:pStyle w:val="Normal"/>
        <w:spacing w:before="0" w:after="0"/>
        <w:ind w:left="720" w:hanging="0"/>
        <w:contextualSpacing/>
        <w:rPr/>
      </w:pPr>
      <w:r>
        <w:rPr>
          <w:sz w:val="24"/>
          <w:szCs w:val="24"/>
        </w:rPr>
        <w:br/>
      </w:r>
    </w:p>
    <w:p>
      <w:pPr>
        <w:pStyle w:val="Normal"/>
        <w:numPr>
          <w:ilvl w:val="0"/>
          <w:numId w:val="1"/>
        </w:numPr>
        <w:spacing w:before="0" w:after="0"/>
        <w:contextualSpacing/>
        <w:rPr/>
      </w:pPr>
      <w:r>
        <w:rPr>
          <w:b/>
          <w:bCs/>
          <w:sz w:val="24"/>
          <w:szCs w:val="24"/>
        </w:rPr>
        <w:t>Reminder about IEEE 802 Plenary meeting in July 2022.</w:t>
      </w:r>
      <w:r>
        <w:rPr>
          <w:sz w:val="24"/>
          <w:szCs w:val="24"/>
        </w:rPr>
        <w:br/>
      </w:r>
    </w:p>
    <w:p>
      <w:pPr>
        <w:pStyle w:val="Normal"/>
        <w:numPr>
          <w:ilvl w:val="1"/>
          <w:numId w:val="1"/>
        </w:numPr>
        <w:spacing w:before="0" w:after="0"/>
        <w:contextualSpacing/>
        <w:rPr>
          <w:sz w:val="24"/>
          <w:szCs w:val="24"/>
        </w:rPr>
      </w:pPr>
      <w:r>
        <w:rPr>
          <w:sz w:val="24"/>
          <w:szCs w:val="24"/>
        </w:rPr>
        <w:t>Meeting registration begins (standard registration rates expire on 24 June 2022).</w:t>
      </w:r>
    </w:p>
    <w:p>
      <w:pPr>
        <w:pStyle w:val="Normal"/>
        <w:numPr>
          <w:ilvl w:val="1"/>
          <w:numId w:val="1"/>
        </w:numPr>
        <w:spacing w:before="0" w:after="0"/>
        <w:contextualSpacing/>
        <w:jc w:val="both"/>
        <w:rPr>
          <w:sz w:val="24"/>
          <w:szCs w:val="24"/>
        </w:rPr>
      </w:pPr>
      <w:r>
        <w:rPr>
          <w:sz w:val="24"/>
          <w:szCs w:val="24"/>
        </w:rPr>
        <w:t>Hotel reservations are quickly running out! 10 June 2022 is deadline for discount group rates.</w:t>
      </w:r>
    </w:p>
    <w:p>
      <w:pPr>
        <w:pStyle w:val="Normal"/>
        <w:numPr>
          <w:ilvl w:val="1"/>
          <w:numId w:val="1"/>
        </w:numPr>
        <w:spacing w:before="0" w:after="0"/>
        <w:contextualSpacing/>
        <w:jc w:val="both"/>
        <w:rPr>
          <w:sz w:val="24"/>
          <w:szCs w:val="24"/>
        </w:rPr>
      </w:pPr>
      <w:r>
        <w:rPr>
          <w:sz w:val="24"/>
          <w:szCs w:val="24"/>
        </w:rPr>
        <w:t>Cancellation policies presented.</w:t>
      </w:r>
    </w:p>
    <w:p>
      <w:pPr>
        <w:pStyle w:val="Normal"/>
        <w:spacing w:before="0" w:after="0"/>
        <w:ind w:left="720" w:hanging="0"/>
        <w:contextualSpacing/>
        <w:jc w:val="both"/>
        <w:rPr>
          <w:sz w:val="24"/>
          <w:szCs w:val="24"/>
        </w:rPr>
      </w:pPr>
      <w:r>
        <w:rPr>
          <w:sz w:val="24"/>
          <w:szCs w:val="24"/>
        </w:rPr>
        <w:br/>
      </w:r>
    </w:p>
    <w:p>
      <w:pPr>
        <w:pStyle w:val="Normal"/>
        <w:numPr>
          <w:ilvl w:val="0"/>
          <w:numId w:val="1"/>
        </w:numPr>
        <w:spacing w:before="0" w:after="0"/>
        <w:contextualSpacing/>
        <w:jc w:val="both"/>
        <w:rPr>
          <w:b/>
          <w:b/>
          <w:bCs/>
        </w:rPr>
      </w:pPr>
      <w:r>
        <w:rPr>
          <w:b/>
          <w:bCs/>
          <w:sz w:val="24"/>
          <w:szCs w:val="24"/>
        </w:rPr>
        <w:t>Reminder about the IEEE 802 Interim meeting in Waikoloa, Hawaii in September 2022</w:t>
      </w:r>
    </w:p>
    <w:p>
      <w:pPr>
        <w:pStyle w:val="Normal"/>
        <w:numPr>
          <w:ilvl w:val="1"/>
          <w:numId w:val="1"/>
        </w:numPr>
        <w:spacing w:before="0" w:after="0"/>
        <w:contextualSpacing/>
        <w:jc w:val="both"/>
        <w:rPr/>
      </w:pPr>
      <w:r>
        <w:rPr>
          <w:sz w:val="24"/>
          <w:szCs w:val="24"/>
        </w:rPr>
        <w:t>Early bird registrations began on 17 May 2022 and will close on 30 June 2022.</w:t>
      </w:r>
    </w:p>
    <w:p>
      <w:pPr>
        <w:pStyle w:val="Normal"/>
        <w:numPr>
          <w:ilvl w:val="1"/>
          <w:numId w:val="1"/>
        </w:numPr>
        <w:spacing w:before="0" w:after="0"/>
        <w:contextualSpacing/>
        <w:jc w:val="both"/>
        <w:rPr/>
      </w:pPr>
      <w:r>
        <w:rPr>
          <w:sz w:val="24"/>
          <w:szCs w:val="24"/>
        </w:rPr>
        <w:t>Group rate hotel room bookings will close on 13 June 2022.</w:t>
      </w:r>
    </w:p>
    <w:p>
      <w:pPr>
        <w:pStyle w:val="Normal"/>
        <w:numPr>
          <w:ilvl w:val="1"/>
          <w:numId w:val="1"/>
        </w:numPr>
        <w:spacing w:before="0" w:after="0"/>
        <w:contextualSpacing/>
        <w:jc w:val="both"/>
        <w:rPr/>
      </w:pPr>
      <w:r>
        <w:rPr>
          <w:sz w:val="24"/>
          <w:szCs w:val="24"/>
        </w:rPr>
        <w:t>Cancellation policies presented.</w:t>
      </w:r>
    </w:p>
    <w:p>
      <w:pPr>
        <w:pStyle w:val="Normal"/>
        <w:numPr>
          <w:ilvl w:val="1"/>
          <w:numId w:val="1"/>
        </w:numPr>
        <w:spacing w:before="0" w:after="0"/>
        <w:contextualSpacing/>
        <w:jc w:val="both"/>
        <w:rPr/>
      </w:pPr>
      <w:r>
        <w:rPr>
          <w:sz w:val="24"/>
          <w:szCs w:val="24"/>
        </w:rPr>
        <w:t>The Chair has announced that the September Interim is an credited interim.</w:t>
      </w:r>
    </w:p>
    <w:p>
      <w:pPr>
        <w:pStyle w:val="Normal"/>
        <w:spacing w:before="0" w:after="0"/>
        <w:ind w:left="720" w:hanging="0"/>
        <w:contextualSpacing/>
        <w:jc w:val="both"/>
        <w:rPr>
          <w:sz w:val="24"/>
          <w:szCs w:val="24"/>
        </w:rPr>
      </w:pPr>
      <w:r>
        <w:rPr>
          <w:sz w:val="24"/>
          <w:szCs w:val="24"/>
        </w:rPr>
      </w:r>
    </w:p>
    <w:p>
      <w:pPr>
        <w:pStyle w:val="Normal"/>
        <w:numPr>
          <w:ilvl w:val="0"/>
          <w:numId w:val="1"/>
        </w:numPr>
        <w:spacing w:before="0" w:after="0"/>
        <w:contextualSpacing/>
        <w:rPr>
          <w:sz w:val="24"/>
          <w:szCs w:val="24"/>
        </w:rPr>
      </w:pPr>
      <w:r>
        <w:rPr>
          <w:b/>
          <w:sz w:val="24"/>
          <w:szCs w:val="24"/>
        </w:rPr>
        <w:t>Any other business</w:t>
      </w:r>
    </w:p>
    <w:p>
      <w:pPr>
        <w:pStyle w:val="Normal"/>
        <w:numPr>
          <w:ilvl w:val="1"/>
          <w:numId w:val="1"/>
        </w:numPr>
        <w:spacing w:before="0" w:after="0"/>
        <w:contextualSpacing/>
        <w:rPr>
          <w:sz w:val="24"/>
          <w:szCs w:val="24"/>
        </w:rPr>
      </w:pPr>
      <w:r>
        <w:rPr>
          <w:sz w:val="24"/>
          <w:szCs w:val="24"/>
        </w:rPr>
        <w:t>No one raises other issues.</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sz w:val="24"/>
          <w:szCs w:val="24"/>
        </w:rPr>
      </w:pPr>
      <w:r>
        <w:rPr>
          <w:b/>
          <w:sz w:val="24"/>
          <w:szCs w:val="24"/>
        </w:rPr>
        <w:t>Final administrative items</w:t>
      </w:r>
    </w:p>
    <w:p>
      <w:pPr>
        <w:pStyle w:val="Normal"/>
        <w:numPr>
          <w:ilvl w:val="1"/>
          <w:numId w:val="1"/>
        </w:numPr>
        <w:spacing w:before="0" w:after="0"/>
        <w:contextualSpacing/>
        <w:rPr>
          <w:sz w:val="24"/>
          <w:szCs w:val="24"/>
        </w:rPr>
      </w:pPr>
      <w:r>
        <w:rPr>
          <w:sz w:val="24"/>
          <w:szCs w:val="24"/>
        </w:rPr>
        <w:t xml:space="preserve">9 participants and 8 voters (including the chair) [Report by Stuart Kerry]. </w:t>
      </w:r>
    </w:p>
    <w:p>
      <w:pPr>
        <w:pStyle w:val="Normal"/>
        <w:numPr>
          <w:ilvl w:val="1"/>
          <w:numId w:val="1"/>
        </w:numPr>
        <w:spacing w:before="0" w:after="0"/>
        <w:contextualSpacing/>
        <w:rPr>
          <w:sz w:val="24"/>
          <w:szCs w:val="24"/>
        </w:rPr>
      </w:pPr>
      <w:r>
        <w:rPr>
          <w:b/>
          <w:bCs/>
          <w:sz w:val="24"/>
          <w:szCs w:val="24"/>
        </w:rPr>
        <w:t>Next weekly teleconference call scheduled for: 16 June 2022, 15h00 ET.</w:t>
      </w:r>
      <w:r>
        <w:rPr>
          <w:b/>
          <w:bCs/>
          <w:sz w:val="24"/>
          <w:szCs w:val="24"/>
          <w:highlight w:val="cyan"/>
        </w:rPr>
        <w:t xml:space="preserve"> </w:t>
      </w:r>
    </w:p>
    <w:p>
      <w:pPr>
        <w:pStyle w:val="Normal"/>
        <w:numPr>
          <w:ilvl w:val="3"/>
          <w:numId w:val="1"/>
        </w:numPr>
        <w:spacing w:before="0" w:after="0"/>
        <w:contextualSpacing/>
        <w:rPr>
          <w:sz w:val="24"/>
          <w:szCs w:val="24"/>
        </w:rPr>
      </w:pPr>
      <w:r>
        <w:rPr>
          <w:sz w:val="24"/>
          <w:szCs w:val="24"/>
        </w:rPr>
        <w:t xml:space="preserve">Call in info: </w:t>
      </w:r>
      <w:hyperlink r:id="rId12">
        <w:r>
          <w:rPr>
            <w:rStyle w:val="Internetlnk"/>
            <w:sz w:val="24"/>
            <w:szCs w:val="24"/>
          </w:rPr>
          <w:t>https://mentor.ieee.org/802.18/dcn/16/18-16-0038-21-0000-teleconference-call-in-info.pptx</w:t>
        </w:r>
      </w:hyperlink>
      <w:r>
        <w:rPr>
          <w:sz w:val="24"/>
          <w:szCs w:val="24"/>
        </w:rPr>
        <w:t xml:space="preserve">  </w:t>
      </w:r>
    </w:p>
    <w:p>
      <w:pPr>
        <w:pStyle w:val="Normal"/>
        <w:numPr>
          <w:ilvl w:val="3"/>
          <w:numId w:val="1"/>
        </w:numPr>
        <w:spacing w:before="0" w:after="0"/>
        <w:contextualSpacing/>
        <w:rPr>
          <w:sz w:val="24"/>
          <w:szCs w:val="24"/>
        </w:rPr>
      </w:pPr>
      <w:r>
        <w:rPr>
          <w:sz w:val="24"/>
          <w:szCs w:val="24"/>
        </w:rPr>
        <w:t xml:space="preserve">Currently, weekly teleconferences are scheduled until 22 September 2022. </w:t>
      </w:r>
    </w:p>
    <w:p>
      <w:pPr>
        <w:pStyle w:val="Normal"/>
        <w:numPr>
          <w:ilvl w:val="3"/>
          <w:numId w:val="1"/>
        </w:numPr>
        <w:spacing w:before="0" w:after="0"/>
        <w:contextualSpacing/>
        <w:rPr>
          <w:sz w:val="24"/>
          <w:szCs w:val="24"/>
        </w:rPr>
      </w:pPr>
      <w:r>
        <w:rPr>
          <w:sz w:val="24"/>
          <w:szCs w:val="24"/>
        </w:rPr>
        <w:t xml:space="preserve">All late changes/cancellations will be sent out to the 802.18 list server. </w:t>
      </w:r>
    </w:p>
    <w:p>
      <w:pPr>
        <w:pStyle w:val="Normal"/>
        <w:numPr>
          <w:ilvl w:val="3"/>
          <w:numId w:val="1"/>
        </w:numPr>
        <w:spacing w:before="0" w:after="0"/>
        <w:contextualSpacing/>
        <w:rPr>
          <w:sz w:val="24"/>
          <w:szCs w:val="24"/>
        </w:rPr>
      </w:pPr>
      <w:r>
        <w:rPr>
          <w:sz w:val="24"/>
          <w:szCs w:val="24"/>
        </w:rPr>
        <w:t xml:space="preserve">Overall IEEE 802 schedule: </w:t>
      </w:r>
      <w:hyperlink r:id="rId13">
        <w:r>
          <w:rPr>
            <w:rStyle w:val="Internetlnk"/>
            <w:sz w:val="24"/>
            <w:szCs w:val="24"/>
          </w:rPr>
          <w:t>http://ieee802.org/802tele_calendar.html</w:t>
        </w:r>
      </w:hyperlink>
      <w:r>
        <w:rPr>
          <w:sz w:val="24"/>
          <w:szCs w:val="24"/>
        </w:rPr>
        <w:t xml:space="preserve"> or only 802.18:  </w:t>
      </w:r>
      <w:hyperlink r:id="rId14">
        <w:r>
          <w:rPr>
            <w:rStyle w:val="Internetlnk"/>
            <w:sz w:val="24"/>
            <w:szCs w:val="24"/>
          </w:rPr>
          <w:t>IEEE 802.18 TAG Calendar</w:t>
        </w:r>
      </w:hyperlink>
    </w:p>
    <w:p>
      <w:pPr>
        <w:pStyle w:val="Normal"/>
        <w:numPr>
          <w:ilvl w:val="1"/>
          <w:numId w:val="1"/>
        </w:numPr>
        <w:spacing w:before="0" w:after="0"/>
        <w:contextualSpacing/>
        <w:rPr>
          <w:sz w:val="24"/>
          <w:szCs w:val="24"/>
        </w:rPr>
      </w:pPr>
      <w:r>
        <w:rPr>
          <w:bCs/>
          <w:sz w:val="24"/>
          <w:szCs w:val="24"/>
        </w:rPr>
        <w:t xml:space="preserve">Adjourn: </w:t>
        <w:tab/>
        <w:t xml:space="preserve"> </w:t>
      </w:r>
    </w:p>
    <w:p>
      <w:pPr>
        <w:pStyle w:val="ListParagraph"/>
        <w:numPr>
          <w:ilvl w:val="0"/>
          <w:numId w:val="3"/>
        </w:numPr>
        <w:spacing w:before="0" w:after="0"/>
        <w:ind w:left="720" w:hanging="0"/>
        <w:contextualSpacing/>
        <w:rPr>
          <w:sz w:val="24"/>
          <w:szCs w:val="24"/>
        </w:rPr>
      </w:pPr>
      <w:r>
        <w:rPr>
          <w:sz w:val="24"/>
          <w:szCs w:val="24"/>
        </w:rPr>
        <w:t>Any objection to Adjourn?  None heard.</w:t>
      </w:r>
    </w:p>
    <w:p>
      <w:pPr>
        <w:pStyle w:val="ListParagraph"/>
        <w:numPr>
          <w:ilvl w:val="0"/>
          <w:numId w:val="3"/>
        </w:numPr>
        <w:spacing w:before="0" w:after="0"/>
        <w:ind w:left="720" w:hanging="0"/>
        <w:contextualSpacing/>
        <w:rPr>
          <w:sz w:val="24"/>
          <w:szCs w:val="24"/>
        </w:rPr>
      </w:pPr>
      <w:r>
        <w:rPr>
          <w:sz w:val="24"/>
          <w:szCs w:val="24"/>
        </w:rPr>
        <w:t>Adjourn at 15:46 ET</w:t>
      </w:r>
    </w:p>
    <w:p>
      <w:pPr>
        <w:pStyle w:val="Normal"/>
        <w:rPr>
          <w:sz w:val="24"/>
          <w:szCs w:val="24"/>
        </w:rPr>
      </w:pPr>
      <w:r>
        <w:rPr>
          <w:sz w:val="24"/>
          <w:szCs w:val="24"/>
        </w:rPr>
      </w:r>
    </w:p>
    <w:p>
      <w:pPr>
        <w:pStyle w:val="ListParagraph"/>
        <w:ind w:left="0" w:hanging="0"/>
        <w:rPr>
          <w:b/>
          <w:b/>
          <w:sz w:val="24"/>
          <w:szCs w:val="24"/>
        </w:rPr>
      </w:pPr>
      <w:r>
        <w:rPr>
          <w:b/>
          <w:sz w:val="24"/>
          <w:szCs w:val="24"/>
        </w:rPr>
        <w:t>ATTENDANCE (</w:t>
      </w:r>
      <w:r>
        <w:rPr>
          <w:rFonts w:eastAsia="Times New Roman"/>
          <w:b/>
          <w:bCs/>
          <w:sz w:val="24"/>
          <w:szCs w:val="24"/>
        </w:rPr>
        <w:t>Weekly Meeting Attendance Names and Affiliations):</w:t>
      </w:r>
    </w:p>
    <w:p>
      <w:pPr>
        <w:pStyle w:val="ListParagraph"/>
        <w:ind w:left="0" w:hanging="0"/>
        <w:rPr>
          <w:b/>
          <w:b/>
          <w:sz w:val="24"/>
          <w:szCs w:val="24"/>
        </w:rPr>
      </w:pPr>
      <w:r>
        <w:rPr>
          <w:b/>
          <w:sz w:val="24"/>
          <w:szCs w:val="24"/>
        </w:rPr>
      </w:r>
    </w:p>
    <w:p>
      <w:pPr>
        <w:pStyle w:val="ListParagraph"/>
        <w:ind w:left="0" w:hanging="0"/>
        <w:rPr>
          <w:b/>
          <w:b/>
          <w:sz w:val="24"/>
          <w:szCs w:val="24"/>
        </w:rPr>
      </w:pPr>
      <w:r>
        <w:rPr>
          <w:b/>
          <w:sz w:val="24"/>
          <w:szCs w:val="24"/>
        </w:rPr>
      </w:r>
    </w:p>
    <w:p>
      <w:pPr>
        <w:pStyle w:val="ListParagraph"/>
        <w:ind w:left="0" w:hanging="0"/>
        <w:rPr>
          <w:b/>
          <w:b/>
          <w:sz w:val="24"/>
          <w:szCs w:val="24"/>
        </w:rPr>
      </w:pPr>
      <w:r>
        <w:rPr>
          <w:b/>
          <w:sz w:val="24"/>
          <w:szCs w:val="24"/>
        </w:rPr>
      </w:r>
    </w:p>
    <w:tbl>
      <w:tblPr>
        <w:tblW w:w="7716"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154"/>
        <w:gridCol w:w="1554"/>
        <w:gridCol w:w="1927"/>
        <w:gridCol w:w="3547"/>
        <w:gridCol w:w="534"/>
      </w:tblGrid>
      <w:tr>
        <w:trPr/>
        <w:tc>
          <w:tcPr>
            <w:tcW w:w="1708" w:type="dxa"/>
            <w:gridSpan w:val="2"/>
            <w:tcBorders/>
            <w:vAlign w:val="center"/>
          </w:tcPr>
          <w:p>
            <w:pPr>
              <w:pStyle w:val="Tabellinnehll"/>
              <w:widowControl w:val="false"/>
              <w:rPr>
                <w:rFonts w:ascii="Arial;sans-serif" w:hAnsi="Arial;sans-serif"/>
                <w:b/>
                <w:b/>
                <w:sz w:val="20"/>
              </w:rPr>
            </w:pPr>
            <w:r>
              <w:rPr>
                <w:rFonts w:ascii="Arial;sans-serif" w:hAnsi="Arial;sans-serif"/>
                <w:b/>
                <w:sz w:val="20"/>
              </w:rPr>
              <w:t>Voting Attendees:</w:t>
            </w:r>
          </w:p>
        </w:tc>
        <w:tc>
          <w:tcPr>
            <w:tcW w:w="1927" w:type="dxa"/>
            <w:tcBorders/>
            <w:vAlign w:val="center"/>
          </w:tcPr>
          <w:p>
            <w:pPr>
              <w:pStyle w:val="Tabellinnehll"/>
              <w:widowControl w:val="false"/>
              <w:rPr>
                <w:sz w:val="4"/>
                <w:szCs w:val="4"/>
              </w:rPr>
            </w:pPr>
            <w:r>
              <w:rPr>
                <w:sz w:val="4"/>
                <w:szCs w:val="4"/>
              </w:rPr>
            </w:r>
          </w:p>
        </w:tc>
        <w:tc>
          <w:tcPr>
            <w:tcW w:w="3547" w:type="dxa"/>
            <w:tcBorders/>
            <w:vAlign w:val="center"/>
          </w:tcPr>
          <w:p>
            <w:pPr>
              <w:pStyle w:val="Tabellinnehll"/>
              <w:widowControl w:val="false"/>
              <w:rPr>
                <w:sz w:val="4"/>
                <w:szCs w:val="4"/>
              </w:rPr>
            </w:pPr>
            <w:r>
              <w:rPr>
                <w:sz w:val="4"/>
                <w:szCs w:val="4"/>
              </w:rPr>
            </w:r>
          </w:p>
        </w:tc>
        <w:tc>
          <w:tcPr>
            <w:tcW w:w="534" w:type="dxa"/>
            <w:tcBorders/>
            <w:vAlign w:val="center"/>
          </w:tcPr>
          <w:p>
            <w:pPr>
              <w:pStyle w:val="Tabellinnehll"/>
              <w:widowControl w:val="false"/>
              <w:jc w:val="center"/>
              <w:rPr>
                <w:rFonts w:ascii="Arial;sans-serif" w:hAnsi="Arial;sans-serif"/>
                <w:b/>
                <w:b/>
                <w:sz w:val="20"/>
              </w:rPr>
            </w:pPr>
            <w:r>
              <w:rPr>
                <w:rFonts w:ascii="Arial;sans-serif" w:hAnsi="Arial;sans-serif"/>
                <w:b/>
                <w:sz w:val="20"/>
              </w:rPr>
              <w:t>9-Jun</w:t>
            </w:r>
          </w:p>
        </w:tc>
      </w:tr>
      <w:tr>
        <w:trPr/>
        <w:tc>
          <w:tcPr>
            <w:tcW w:w="154" w:type="dxa"/>
            <w:tcBorders/>
            <w:vAlign w:val="center"/>
          </w:tcPr>
          <w:p>
            <w:pPr>
              <w:pStyle w:val="Tabellinnehll"/>
              <w:widowControl w:val="false"/>
              <w:rPr>
                <w:sz w:val="4"/>
                <w:szCs w:val="4"/>
              </w:rPr>
            </w:pPr>
            <w:r>
              <w:rPr>
                <w:sz w:val="4"/>
                <w:szCs w:val="4"/>
              </w:rPr>
            </w:r>
          </w:p>
        </w:tc>
        <w:tc>
          <w:tcPr>
            <w:tcW w:w="1554" w:type="dxa"/>
            <w:tcBorders/>
            <w:vAlign w:val="center"/>
          </w:tcPr>
          <w:p>
            <w:pPr>
              <w:pStyle w:val="Tabellinnehll"/>
              <w:widowControl w:val="false"/>
              <w:rPr>
                <w:sz w:val="4"/>
                <w:szCs w:val="4"/>
              </w:rPr>
            </w:pPr>
            <w:r>
              <w:rPr>
                <w:sz w:val="4"/>
                <w:szCs w:val="4"/>
              </w:rPr>
            </w:r>
          </w:p>
        </w:tc>
        <w:tc>
          <w:tcPr>
            <w:tcW w:w="1927" w:type="dxa"/>
            <w:tcBorders/>
            <w:vAlign w:val="center"/>
          </w:tcPr>
          <w:p>
            <w:pPr>
              <w:pStyle w:val="Tabellinnehll"/>
              <w:widowControl w:val="false"/>
              <w:rPr>
                <w:sz w:val="4"/>
                <w:szCs w:val="4"/>
              </w:rPr>
            </w:pPr>
            <w:r>
              <w:rPr>
                <w:sz w:val="4"/>
                <w:szCs w:val="4"/>
              </w:rPr>
            </w:r>
          </w:p>
        </w:tc>
        <w:tc>
          <w:tcPr>
            <w:tcW w:w="3547" w:type="dxa"/>
            <w:tcBorders/>
            <w:vAlign w:val="center"/>
          </w:tcPr>
          <w:p>
            <w:pPr>
              <w:pStyle w:val="Tabellinnehll"/>
              <w:widowControl w:val="false"/>
              <w:rPr>
                <w:sz w:val="4"/>
                <w:szCs w:val="4"/>
              </w:rPr>
            </w:pPr>
            <w:r>
              <w:rPr>
                <w:sz w:val="4"/>
                <w:szCs w:val="4"/>
              </w:rPr>
            </w:r>
          </w:p>
        </w:tc>
        <w:tc>
          <w:tcPr>
            <w:tcW w:w="534" w:type="dxa"/>
            <w:tcBorders/>
            <w:vAlign w:val="center"/>
          </w:tcPr>
          <w:p>
            <w:pPr>
              <w:pStyle w:val="Tabellinnehll"/>
              <w:widowControl w:val="false"/>
              <w:rPr>
                <w:sz w:val="4"/>
                <w:szCs w:val="4"/>
              </w:rPr>
            </w:pPr>
            <w:r>
              <w:rPr>
                <w:sz w:val="4"/>
                <w:szCs w:val="4"/>
              </w:rPr>
            </w:r>
          </w:p>
        </w:tc>
      </w:tr>
      <w:tr>
        <w:trPr/>
        <w:tc>
          <w:tcPr>
            <w:tcW w:w="154" w:type="dxa"/>
            <w:tcBorders/>
            <w:vAlign w:val="center"/>
          </w:tcPr>
          <w:p>
            <w:pPr>
              <w:pStyle w:val="Tabellinnehll"/>
              <w:widowControl w:val="false"/>
              <w:jc w:val="center"/>
              <w:rPr>
                <w:rFonts w:ascii="Arial;sans-serif" w:hAnsi="Arial;sans-serif"/>
                <w:sz w:val="20"/>
              </w:rPr>
            </w:pPr>
            <w:r>
              <w:rPr>
                <w:rFonts w:ascii="Arial;sans-serif" w:hAnsi="Arial;sans-serif"/>
                <w:sz w:val="20"/>
              </w:rPr>
              <w:t>1</w:t>
            </w:r>
          </w:p>
        </w:tc>
        <w:tc>
          <w:tcPr>
            <w:tcW w:w="1554" w:type="dxa"/>
            <w:tcBorders/>
            <w:vAlign w:val="center"/>
          </w:tcPr>
          <w:p>
            <w:pPr>
              <w:pStyle w:val="Tabellinnehll"/>
              <w:widowControl w:val="false"/>
              <w:rPr>
                <w:rFonts w:ascii="Arial;sans-serif" w:hAnsi="Arial;sans-serif"/>
                <w:b/>
                <w:b/>
                <w:sz w:val="20"/>
              </w:rPr>
            </w:pPr>
            <w:r>
              <w:rPr>
                <w:rFonts w:ascii="Arial;sans-serif" w:hAnsi="Arial;sans-serif"/>
                <w:b/>
                <w:sz w:val="20"/>
              </w:rPr>
              <w:t>Au</w:t>
            </w:r>
          </w:p>
        </w:tc>
        <w:tc>
          <w:tcPr>
            <w:tcW w:w="1927" w:type="dxa"/>
            <w:tcBorders/>
            <w:vAlign w:val="center"/>
          </w:tcPr>
          <w:p>
            <w:pPr>
              <w:pStyle w:val="Tabellinnehll"/>
              <w:widowControl w:val="false"/>
              <w:rPr>
                <w:rFonts w:ascii="Arial;sans-serif" w:hAnsi="Arial;sans-serif"/>
                <w:sz w:val="20"/>
              </w:rPr>
            </w:pPr>
            <w:r>
              <w:rPr>
                <w:rFonts w:ascii="Arial;sans-serif" w:hAnsi="Arial;sans-serif"/>
                <w:sz w:val="20"/>
              </w:rPr>
              <w:t>Edward (Kwok Shum)</w:t>
            </w:r>
          </w:p>
        </w:tc>
        <w:tc>
          <w:tcPr>
            <w:tcW w:w="3547" w:type="dxa"/>
            <w:tcBorders/>
            <w:vAlign w:val="center"/>
          </w:tcPr>
          <w:p>
            <w:pPr>
              <w:pStyle w:val="Tabellinnehll"/>
              <w:widowControl w:val="false"/>
              <w:rPr>
                <w:rFonts w:ascii="Arial;sans-serif" w:hAnsi="Arial;sans-serif"/>
                <w:sz w:val="20"/>
              </w:rPr>
            </w:pPr>
            <w:r>
              <w:rPr>
                <w:rFonts w:ascii="Arial;sans-serif" w:hAnsi="Arial;sans-serif"/>
                <w:sz w:val="20"/>
              </w:rPr>
              <w:t>Huawei Technologies Co., Ltd</w:t>
            </w:r>
          </w:p>
        </w:tc>
        <w:tc>
          <w:tcPr>
            <w:tcW w:w="534"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4" w:type="dxa"/>
            <w:tcBorders/>
            <w:vAlign w:val="center"/>
          </w:tcPr>
          <w:p>
            <w:pPr>
              <w:pStyle w:val="Tabellinnehll"/>
              <w:widowControl w:val="false"/>
              <w:jc w:val="center"/>
              <w:rPr>
                <w:rFonts w:ascii="Arial;sans-serif" w:hAnsi="Arial;sans-serif"/>
                <w:sz w:val="20"/>
              </w:rPr>
            </w:pPr>
            <w:r>
              <w:rPr>
                <w:rFonts w:ascii="Arial;sans-serif" w:hAnsi="Arial;sans-serif"/>
                <w:sz w:val="20"/>
              </w:rPr>
              <w:t>2</w:t>
            </w:r>
          </w:p>
        </w:tc>
        <w:tc>
          <w:tcPr>
            <w:tcW w:w="1554" w:type="dxa"/>
            <w:tcBorders/>
            <w:vAlign w:val="center"/>
          </w:tcPr>
          <w:p>
            <w:pPr>
              <w:pStyle w:val="Tabellinnehll"/>
              <w:widowControl w:val="false"/>
              <w:rPr>
                <w:rFonts w:ascii="Arial;sans-serif" w:hAnsi="Arial;sans-serif"/>
                <w:b/>
                <w:b/>
                <w:sz w:val="20"/>
              </w:rPr>
            </w:pPr>
            <w:r>
              <w:rPr>
                <w:rFonts w:ascii="Arial;sans-serif" w:hAnsi="Arial;sans-serif"/>
                <w:b/>
                <w:sz w:val="20"/>
              </w:rPr>
              <w:t>Ecclesine</w:t>
            </w:r>
          </w:p>
        </w:tc>
        <w:tc>
          <w:tcPr>
            <w:tcW w:w="1927" w:type="dxa"/>
            <w:tcBorders/>
            <w:vAlign w:val="center"/>
          </w:tcPr>
          <w:p>
            <w:pPr>
              <w:pStyle w:val="Tabellinnehll"/>
              <w:widowControl w:val="false"/>
              <w:rPr>
                <w:rFonts w:ascii="Arial;sans-serif" w:hAnsi="Arial;sans-serif"/>
                <w:sz w:val="20"/>
              </w:rPr>
            </w:pPr>
            <w:r>
              <w:rPr>
                <w:rFonts w:ascii="Arial;sans-serif" w:hAnsi="Arial;sans-serif"/>
                <w:sz w:val="20"/>
              </w:rPr>
              <w:t>Peter</w:t>
            </w:r>
          </w:p>
        </w:tc>
        <w:tc>
          <w:tcPr>
            <w:tcW w:w="3547" w:type="dxa"/>
            <w:tcBorders/>
            <w:vAlign w:val="center"/>
          </w:tcPr>
          <w:p>
            <w:pPr>
              <w:pStyle w:val="Tabellinnehll"/>
              <w:widowControl w:val="false"/>
              <w:rPr>
                <w:rFonts w:ascii="Arial;sans-serif" w:hAnsi="Arial;sans-serif"/>
                <w:sz w:val="20"/>
              </w:rPr>
            </w:pPr>
            <w:r>
              <w:rPr>
                <w:rFonts w:ascii="Arial;sans-serif" w:hAnsi="Arial;sans-serif"/>
                <w:sz w:val="20"/>
              </w:rPr>
              <w:t>Cisco Systems, Inc.</w:t>
            </w:r>
          </w:p>
        </w:tc>
        <w:tc>
          <w:tcPr>
            <w:tcW w:w="534"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4" w:type="dxa"/>
            <w:tcBorders/>
            <w:vAlign w:val="center"/>
          </w:tcPr>
          <w:p>
            <w:pPr>
              <w:pStyle w:val="Tabellinnehll"/>
              <w:widowControl w:val="false"/>
              <w:jc w:val="center"/>
              <w:rPr>
                <w:rFonts w:ascii="Arial;sans-serif" w:hAnsi="Arial;sans-serif"/>
                <w:sz w:val="20"/>
              </w:rPr>
            </w:pPr>
            <w:r>
              <w:rPr>
                <w:rFonts w:ascii="Arial;sans-serif" w:hAnsi="Arial;sans-serif"/>
                <w:sz w:val="20"/>
              </w:rPr>
              <w:t>3</w:t>
            </w:r>
          </w:p>
        </w:tc>
        <w:tc>
          <w:tcPr>
            <w:tcW w:w="1554" w:type="dxa"/>
            <w:tcBorders/>
            <w:vAlign w:val="center"/>
          </w:tcPr>
          <w:p>
            <w:pPr>
              <w:pStyle w:val="Tabellinnehll"/>
              <w:widowControl w:val="false"/>
              <w:rPr>
                <w:rFonts w:ascii="Arial;sans-serif" w:hAnsi="Arial;sans-serif"/>
                <w:b/>
                <w:b/>
                <w:sz w:val="20"/>
              </w:rPr>
            </w:pPr>
            <w:r>
              <w:rPr>
                <w:rFonts w:ascii="Arial;sans-serif" w:hAnsi="Arial;sans-serif"/>
                <w:b/>
                <w:sz w:val="20"/>
              </w:rPr>
              <w:t>Holcomb</w:t>
            </w:r>
          </w:p>
        </w:tc>
        <w:tc>
          <w:tcPr>
            <w:tcW w:w="1927" w:type="dxa"/>
            <w:tcBorders/>
            <w:vAlign w:val="center"/>
          </w:tcPr>
          <w:p>
            <w:pPr>
              <w:pStyle w:val="Tabellinnehll"/>
              <w:widowControl w:val="false"/>
              <w:rPr>
                <w:rFonts w:ascii="Arial;sans-serif" w:hAnsi="Arial;sans-serif"/>
                <w:sz w:val="20"/>
              </w:rPr>
            </w:pPr>
            <w:r>
              <w:rPr>
                <w:rFonts w:ascii="Arial;sans-serif" w:hAnsi="Arial;sans-serif"/>
                <w:sz w:val="20"/>
              </w:rPr>
              <w:t>Jay</w:t>
            </w:r>
          </w:p>
        </w:tc>
        <w:tc>
          <w:tcPr>
            <w:tcW w:w="3547" w:type="dxa"/>
            <w:tcBorders/>
            <w:vAlign w:val="center"/>
          </w:tcPr>
          <w:p>
            <w:pPr>
              <w:pStyle w:val="Tabellinnehll"/>
              <w:widowControl w:val="false"/>
              <w:rPr>
                <w:rFonts w:ascii="Arial;sans-serif" w:hAnsi="Arial;sans-serif"/>
                <w:sz w:val="20"/>
              </w:rPr>
            </w:pPr>
            <w:r>
              <w:rPr>
                <w:rFonts w:ascii="Arial;sans-serif" w:hAnsi="Arial;sans-serif"/>
                <w:sz w:val="20"/>
              </w:rPr>
              <w:t>Itron Inc.</w:t>
            </w:r>
          </w:p>
        </w:tc>
        <w:tc>
          <w:tcPr>
            <w:tcW w:w="534"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4" w:type="dxa"/>
            <w:tcBorders/>
            <w:vAlign w:val="center"/>
          </w:tcPr>
          <w:p>
            <w:pPr>
              <w:pStyle w:val="Tabellinnehll"/>
              <w:widowControl w:val="false"/>
              <w:jc w:val="center"/>
              <w:rPr>
                <w:rFonts w:ascii="Arial;sans-serif" w:hAnsi="Arial;sans-serif"/>
                <w:sz w:val="20"/>
              </w:rPr>
            </w:pPr>
            <w:r>
              <w:rPr>
                <w:rFonts w:ascii="Arial;sans-serif" w:hAnsi="Arial;sans-serif"/>
                <w:sz w:val="20"/>
              </w:rPr>
              <w:t>4</w:t>
            </w:r>
          </w:p>
        </w:tc>
        <w:tc>
          <w:tcPr>
            <w:tcW w:w="1554" w:type="dxa"/>
            <w:tcBorders/>
            <w:vAlign w:val="center"/>
          </w:tcPr>
          <w:p>
            <w:pPr>
              <w:pStyle w:val="Tabellinnehll"/>
              <w:widowControl w:val="false"/>
              <w:rPr>
                <w:rFonts w:ascii="Arial;sans-serif" w:hAnsi="Arial;sans-serif"/>
                <w:b/>
                <w:b/>
                <w:sz w:val="20"/>
              </w:rPr>
            </w:pPr>
            <w:r>
              <w:rPr>
                <w:rFonts w:ascii="Arial;sans-serif" w:hAnsi="Arial;sans-serif"/>
                <w:b/>
                <w:sz w:val="20"/>
              </w:rPr>
              <w:t>Kenney</w:t>
            </w:r>
          </w:p>
        </w:tc>
        <w:tc>
          <w:tcPr>
            <w:tcW w:w="1927" w:type="dxa"/>
            <w:tcBorders/>
            <w:vAlign w:val="center"/>
          </w:tcPr>
          <w:p>
            <w:pPr>
              <w:pStyle w:val="Tabellinnehll"/>
              <w:widowControl w:val="false"/>
              <w:rPr>
                <w:rFonts w:ascii="Arial;sans-serif" w:hAnsi="Arial;sans-serif"/>
                <w:sz w:val="20"/>
              </w:rPr>
            </w:pPr>
            <w:r>
              <w:rPr>
                <w:rFonts w:ascii="Arial;sans-serif" w:hAnsi="Arial;sans-serif"/>
                <w:sz w:val="20"/>
              </w:rPr>
              <w:t>John</w:t>
            </w:r>
          </w:p>
        </w:tc>
        <w:tc>
          <w:tcPr>
            <w:tcW w:w="3547" w:type="dxa"/>
            <w:tcBorders/>
            <w:vAlign w:val="center"/>
          </w:tcPr>
          <w:p>
            <w:pPr>
              <w:pStyle w:val="Tabellinnehll"/>
              <w:widowControl w:val="false"/>
              <w:rPr>
                <w:rFonts w:ascii="Arial;sans-serif" w:hAnsi="Arial;sans-serif"/>
                <w:sz w:val="20"/>
              </w:rPr>
            </w:pPr>
            <w:r>
              <w:rPr>
                <w:rFonts w:ascii="Arial;sans-serif" w:hAnsi="Arial;sans-serif"/>
                <w:sz w:val="20"/>
              </w:rPr>
              <w:t>TOYOTA InfoTechnology Center U.S.A.</w:t>
            </w:r>
          </w:p>
        </w:tc>
        <w:tc>
          <w:tcPr>
            <w:tcW w:w="534"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4" w:type="dxa"/>
            <w:tcBorders/>
            <w:vAlign w:val="center"/>
          </w:tcPr>
          <w:p>
            <w:pPr>
              <w:pStyle w:val="Tabellinnehll"/>
              <w:widowControl w:val="false"/>
              <w:jc w:val="center"/>
              <w:rPr>
                <w:rFonts w:ascii="Arial;sans-serif" w:hAnsi="Arial;sans-serif"/>
                <w:sz w:val="20"/>
              </w:rPr>
            </w:pPr>
            <w:r>
              <w:rPr>
                <w:rFonts w:ascii="Arial;sans-serif" w:hAnsi="Arial;sans-serif"/>
                <w:sz w:val="20"/>
              </w:rPr>
              <w:t>5</w:t>
            </w:r>
          </w:p>
        </w:tc>
        <w:tc>
          <w:tcPr>
            <w:tcW w:w="1554" w:type="dxa"/>
            <w:tcBorders/>
            <w:vAlign w:val="center"/>
          </w:tcPr>
          <w:p>
            <w:pPr>
              <w:pStyle w:val="Tabellinnehll"/>
              <w:widowControl w:val="false"/>
              <w:rPr>
                <w:rFonts w:ascii="Arial;sans-serif" w:hAnsi="Arial;sans-serif"/>
                <w:b/>
                <w:b/>
                <w:sz w:val="20"/>
              </w:rPr>
            </w:pPr>
            <w:r>
              <w:rPr>
                <w:rFonts w:ascii="Arial;sans-serif" w:hAnsi="Arial;sans-serif"/>
                <w:b/>
                <w:sz w:val="20"/>
              </w:rPr>
              <w:t>Kerry</w:t>
            </w:r>
          </w:p>
        </w:tc>
        <w:tc>
          <w:tcPr>
            <w:tcW w:w="1927" w:type="dxa"/>
            <w:tcBorders/>
            <w:vAlign w:val="center"/>
          </w:tcPr>
          <w:p>
            <w:pPr>
              <w:pStyle w:val="Tabellinnehll"/>
              <w:widowControl w:val="false"/>
              <w:rPr>
                <w:rFonts w:ascii="Arial;sans-serif" w:hAnsi="Arial;sans-serif"/>
                <w:sz w:val="20"/>
              </w:rPr>
            </w:pPr>
            <w:r>
              <w:rPr>
                <w:rFonts w:ascii="Arial;sans-serif" w:hAnsi="Arial;sans-serif"/>
                <w:sz w:val="20"/>
              </w:rPr>
              <w:t>Stuart</w:t>
            </w:r>
          </w:p>
        </w:tc>
        <w:tc>
          <w:tcPr>
            <w:tcW w:w="3547" w:type="dxa"/>
            <w:tcBorders/>
            <w:vAlign w:val="center"/>
          </w:tcPr>
          <w:p>
            <w:pPr>
              <w:pStyle w:val="Tabellinnehll"/>
              <w:widowControl w:val="false"/>
              <w:rPr/>
            </w:pPr>
            <w:r>
              <w:rPr>
                <w:rFonts w:ascii="Arial;sans-serif" w:hAnsi="Arial;sans-serif"/>
                <w:sz w:val="20"/>
              </w:rPr>
              <w:t>OK</w:t>
            </w:r>
            <w:r>
              <w:rPr/>
              <w:t>‐</w:t>
            </w:r>
            <w:r>
              <w:rPr>
                <w:rFonts w:ascii="Arial;sans-serif" w:hAnsi="Arial;sans-serif"/>
                <w:sz w:val="20"/>
              </w:rPr>
              <w:t>Brit, Self</w:t>
            </w:r>
          </w:p>
        </w:tc>
        <w:tc>
          <w:tcPr>
            <w:tcW w:w="534"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4" w:type="dxa"/>
            <w:tcBorders/>
            <w:vAlign w:val="center"/>
          </w:tcPr>
          <w:p>
            <w:pPr>
              <w:pStyle w:val="Tabellinnehll"/>
              <w:widowControl w:val="false"/>
              <w:jc w:val="center"/>
              <w:rPr>
                <w:rFonts w:ascii="Arial;sans-serif" w:hAnsi="Arial;sans-serif"/>
                <w:sz w:val="20"/>
              </w:rPr>
            </w:pPr>
            <w:r>
              <w:rPr>
                <w:rFonts w:ascii="Arial;sans-serif" w:hAnsi="Arial;sans-serif"/>
                <w:sz w:val="20"/>
              </w:rPr>
              <w:t>6</w:t>
            </w:r>
          </w:p>
        </w:tc>
        <w:tc>
          <w:tcPr>
            <w:tcW w:w="1554" w:type="dxa"/>
            <w:tcBorders/>
            <w:vAlign w:val="center"/>
          </w:tcPr>
          <w:p>
            <w:pPr>
              <w:pStyle w:val="Tabellinnehll"/>
              <w:widowControl w:val="false"/>
              <w:rPr>
                <w:rFonts w:ascii="Arial;sans-serif" w:hAnsi="Arial;sans-serif"/>
                <w:b/>
                <w:b/>
                <w:sz w:val="20"/>
              </w:rPr>
            </w:pPr>
            <w:r>
              <w:rPr>
                <w:rFonts w:ascii="Arial;sans-serif" w:hAnsi="Arial;sans-serif"/>
                <w:b/>
                <w:sz w:val="20"/>
              </w:rPr>
              <w:t>Lynch</w:t>
            </w:r>
          </w:p>
        </w:tc>
        <w:tc>
          <w:tcPr>
            <w:tcW w:w="1927" w:type="dxa"/>
            <w:tcBorders/>
            <w:vAlign w:val="center"/>
          </w:tcPr>
          <w:p>
            <w:pPr>
              <w:pStyle w:val="Tabellinnehll"/>
              <w:widowControl w:val="false"/>
              <w:rPr>
                <w:rFonts w:ascii="Arial;sans-serif" w:hAnsi="Arial;sans-serif"/>
                <w:sz w:val="20"/>
              </w:rPr>
            </w:pPr>
            <w:r>
              <w:rPr>
                <w:rFonts w:ascii="Arial;sans-serif" w:hAnsi="Arial;sans-serif"/>
                <w:sz w:val="20"/>
              </w:rPr>
              <w:t>Michael</w:t>
            </w:r>
          </w:p>
        </w:tc>
        <w:tc>
          <w:tcPr>
            <w:tcW w:w="3547" w:type="dxa"/>
            <w:tcBorders/>
            <w:vAlign w:val="center"/>
          </w:tcPr>
          <w:p>
            <w:pPr>
              <w:pStyle w:val="Tabellinnehll"/>
              <w:widowControl w:val="false"/>
              <w:rPr>
                <w:rFonts w:ascii="Arial;sans-serif" w:hAnsi="Arial;sans-serif"/>
                <w:sz w:val="20"/>
              </w:rPr>
            </w:pPr>
            <w:r>
              <w:rPr>
                <w:rFonts w:ascii="Arial;sans-serif" w:hAnsi="Arial;sans-serif"/>
                <w:sz w:val="20"/>
              </w:rPr>
              <w:t>MJ Lynch &amp; Associates, LLC.</w:t>
            </w:r>
          </w:p>
        </w:tc>
        <w:tc>
          <w:tcPr>
            <w:tcW w:w="534"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4" w:type="dxa"/>
            <w:tcBorders/>
            <w:vAlign w:val="center"/>
          </w:tcPr>
          <w:p>
            <w:pPr>
              <w:pStyle w:val="Tabellinnehll"/>
              <w:widowControl w:val="false"/>
              <w:jc w:val="center"/>
              <w:rPr>
                <w:rFonts w:ascii="Arial;sans-serif" w:hAnsi="Arial;sans-serif"/>
                <w:sz w:val="20"/>
              </w:rPr>
            </w:pPr>
            <w:r>
              <w:rPr>
                <w:rFonts w:ascii="Arial;sans-serif" w:hAnsi="Arial;sans-serif"/>
                <w:sz w:val="20"/>
              </w:rPr>
              <w:t>7</w:t>
            </w:r>
          </w:p>
        </w:tc>
        <w:tc>
          <w:tcPr>
            <w:tcW w:w="1554" w:type="dxa"/>
            <w:tcBorders/>
            <w:vAlign w:val="center"/>
          </w:tcPr>
          <w:p>
            <w:pPr>
              <w:pStyle w:val="Tabellinnehll"/>
              <w:widowControl w:val="false"/>
              <w:rPr>
                <w:rFonts w:ascii="Arial;sans-serif" w:hAnsi="Arial;sans-serif"/>
                <w:b/>
                <w:b/>
                <w:sz w:val="20"/>
              </w:rPr>
            </w:pPr>
            <w:r>
              <w:rPr>
                <w:rFonts w:ascii="Arial;sans-serif" w:hAnsi="Arial;sans-serif"/>
                <w:b/>
                <w:sz w:val="20"/>
              </w:rPr>
              <w:t>Petrick</w:t>
            </w:r>
          </w:p>
        </w:tc>
        <w:tc>
          <w:tcPr>
            <w:tcW w:w="1927" w:type="dxa"/>
            <w:tcBorders/>
            <w:vAlign w:val="center"/>
          </w:tcPr>
          <w:p>
            <w:pPr>
              <w:pStyle w:val="Tabellinnehll"/>
              <w:widowControl w:val="false"/>
              <w:rPr>
                <w:rFonts w:ascii="Arial;sans-serif" w:hAnsi="Arial;sans-serif"/>
                <w:sz w:val="20"/>
              </w:rPr>
            </w:pPr>
            <w:r>
              <w:rPr>
                <w:rFonts w:ascii="Arial;sans-serif" w:hAnsi="Arial;sans-serif"/>
                <w:sz w:val="20"/>
              </w:rPr>
              <w:t>Al</w:t>
            </w:r>
          </w:p>
        </w:tc>
        <w:tc>
          <w:tcPr>
            <w:tcW w:w="3547" w:type="dxa"/>
            <w:tcBorders/>
            <w:vAlign w:val="center"/>
          </w:tcPr>
          <w:p>
            <w:pPr>
              <w:pStyle w:val="Tabellinnehll"/>
              <w:widowControl w:val="false"/>
              <w:rPr>
                <w:rFonts w:ascii="Arial;sans-serif" w:hAnsi="Arial;sans-serif"/>
                <w:sz w:val="20"/>
              </w:rPr>
            </w:pPr>
            <w:r>
              <w:rPr>
                <w:rFonts w:ascii="Arial;sans-serif" w:hAnsi="Arial;sans-serif"/>
                <w:sz w:val="20"/>
              </w:rPr>
              <w:t>Skyworks Solutions Inc.</w:t>
            </w:r>
          </w:p>
        </w:tc>
        <w:tc>
          <w:tcPr>
            <w:tcW w:w="534"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4" w:type="dxa"/>
            <w:tcBorders/>
            <w:vAlign w:val="center"/>
          </w:tcPr>
          <w:p>
            <w:pPr>
              <w:pStyle w:val="Tabellinnehll"/>
              <w:widowControl w:val="false"/>
              <w:jc w:val="center"/>
              <w:rPr>
                <w:rFonts w:ascii="Arial;sans-serif" w:hAnsi="Arial;sans-serif"/>
                <w:sz w:val="20"/>
              </w:rPr>
            </w:pPr>
            <w:r>
              <w:rPr>
                <w:rFonts w:ascii="Arial;sans-serif" w:hAnsi="Arial;sans-serif"/>
                <w:sz w:val="20"/>
              </w:rPr>
              <w:t>8</w:t>
            </w:r>
          </w:p>
        </w:tc>
        <w:tc>
          <w:tcPr>
            <w:tcW w:w="1554" w:type="dxa"/>
            <w:tcBorders/>
            <w:vAlign w:val="center"/>
          </w:tcPr>
          <w:p>
            <w:pPr>
              <w:pStyle w:val="Tabellinnehll"/>
              <w:widowControl w:val="false"/>
              <w:rPr>
                <w:rFonts w:ascii="Arial;sans-serif" w:hAnsi="Arial;sans-serif"/>
                <w:b/>
                <w:b/>
                <w:sz w:val="20"/>
              </w:rPr>
            </w:pPr>
            <w:r>
              <w:rPr>
                <w:rFonts w:ascii="Arial;sans-serif" w:hAnsi="Arial;sans-serif"/>
                <w:b/>
                <w:sz w:val="20"/>
              </w:rPr>
              <w:t>Wang</w:t>
            </w:r>
          </w:p>
        </w:tc>
        <w:tc>
          <w:tcPr>
            <w:tcW w:w="1927" w:type="dxa"/>
            <w:tcBorders/>
            <w:vAlign w:val="center"/>
          </w:tcPr>
          <w:p>
            <w:pPr>
              <w:pStyle w:val="Tabellinnehll"/>
              <w:widowControl w:val="false"/>
              <w:rPr>
                <w:rFonts w:ascii="Arial;sans-serif" w:hAnsi="Arial;sans-serif"/>
                <w:sz w:val="20"/>
              </w:rPr>
            </w:pPr>
            <w:r>
              <w:rPr>
                <w:rFonts w:ascii="Arial;sans-serif" w:hAnsi="Arial;sans-serif"/>
                <w:sz w:val="20"/>
              </w:rPr>
              <w:t>Lei</w:t>
            </w:r>
          </w:p>
        </w:tc>
        <w:tc>
          <w:tcPr>
            <w:tcW w:w="3547" w:type="dxa"/>
            <w:tcBorders/>
            <w:vAlign w:val="center"/>
          </w:tcPr>
          <w:p>
            <w:pPr>
              <w:pStyle w:val="Tabellinnehll"/>
              <w:widowControl w:val="false"/>
              <w:rPr>
                <w:rFonts w:ascii="Arial;sans-serif" w:hAnsi="Arial;sans-serif"/>
                <w:sz w:val="20"/>
              </w:rPr>
            </w:pPr>
            <w:r>
              <w:rPr>
                <w:rFonts w:ascii="Arial;sans-serif" w:hAnsi="Arial;sans-serif"/>
                <w:sz w:val="20"/>
              </w:rPr>
              <w:t>FutureWei Technologies, Inc.</w:t>
            </w:r>
          </w:p>
        </w:tc>
        <w:tc>
          <w:tcPr>
            <w:tcW w:w="534"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4" w:type="dxa"/>
            <w:tcBorders/>
            <w:vAlign w:val="center"/>
          </w:tcPr>
          <w:p>
            <w:pPr>
              <w:pStyle w:val="Tabellinnehll"/>
              <w:widowControl w:val="false"/>
              <w:rPr>
                <w:sz w:val="4"/>
                <w:szCs w:val="4"/>
              </w:rPr>
            </w:pPr>
            <w:r>
              <w:rPr>
                <w:sz w:val="4"/>
                <w:szCs w:val="4"/>
              </w:rPr>
            </w:r>
          </w:p>
        </w:tc>
        <w:tc>
          <w:tcPr>
            <w:tcW w:w="1554" w:type="dxa"/>
            <w:tcBorders/>
            <w:vAlign w:val="center"/>
          </w:tcPr>
          <w:p>
            <w:pPr>
              <w:pStyle w:val="Tabellinnehll"/>
              <w:widowControl w:val="false"/>
              <w:rPr>
                <w:sz w:val="4"/>
                <w:szCs w:val="4"/>
              </w:rPr>
            </w:pPr>
            <w:r>
              <w:rPr>
                <w:sz w:val="4"/>
                <w:szCs w:val="4"/>
              </w:rPr>
            </w:r>
          </w:p>
        </w:tc>
        <w:tc>
          <w:tcPr>
            <w:tcW w:w="1927" w:type="dxa"/>
            <w:tcBorders/>
            <w:vAlign w:val="center"/>
          </w:tcPr>
          <w:p>
            <w:pPr>
              <w:pStyle w:val="Tabellinnehll"/>
              <w:widowControl w:val="false"/>
              <w:rPr>
                <w:sz w:val="4"/>
                <w:szCs w:val="4"/>
              </w:rPr>
            </w:pPr>
            <w:r>
              <w:rPr>
                <w:sz w:val="4"/>
                <w:szCs w:val="4"/>
              </w:rPr>
            </w:r>
          </w:p>
        </w:tc>
        <w:tc>
          <w:tcPr>
            <w:tcW w:w="3547" w:type="dxa"/>
            <w:tcBorders/>
            <w:vAlign w:val="center"/>
          </w:tcPr>
          <w:p>
            <w:pPr>
              <w:pStyle w:val="Tabellinnehll"/>
              <w:widowControl w:val="false"/>
              <w:rPr>
                <w:sz w:val="4"/>
                <w:szCs w:val="4"/>
              </w:rPr>
            </w:pPr>
            <w:r>
              <w:rPr>
                <w:sz w:val="4"/>
                <w:szCs w:val="4"/>
              </w:rPr>
            </w:r>
          </w:p>
        </w:tc>
        <w:tc>
          <w:tcPr>
            <w:tcW w:w="534" w:type="dxa"/>
            <w:tcBorders/>
            <w:vAlign w:val="center"/>
          </w:tcPr>
          <w:p>
            <w:pPr>
              <w:pStyle w:val="Tabellinnehll"/>
              <w:widowControl w:val="false"/>
              <w:rPr>
                <w:sz w:val="4"/>
                <w:szCs w:val="4"/>
              </w:rPr>
            </w:pPr>
            <w:r>
              <w:rPr>
                <w:sz w:val="4"/>
                <w:szCs w:val="4"/>
              </w:rPr>
            </w:r>
          </w:p>
        </w:tc>
      </w:tr>
      <w:tr>
        <w:trPr/>
        <w:tc>
          <w:tcPr>
            <w:tcW w:w="3635" w:type="dxa"/>
            <w:gridSpan w:val="3"/>
            <w:tcBorders/>
            <w:vAlign w:val="center"/>
          </w:tcPr>
          <w:p>
            <w:pPr>
              <w:pStyle w:val="Tabellinnehll"/>
              <w:widowControl w:val="false"/>
              <w:rPr>
                <w:rFonts w:ascii="Arial;sans-serif" w:hAnsi="Arial;sans-serif"/>
                <w:b/>
                <w:b/>
                <w:sz w:val="20"/>
              </w:rPr>
            </w:pPr>
            <w:r>
              <w:rPr>
                <w:rFonts w:ascii="Arial;sans-serif" w:hAnsi="Arial;sans-serif"/>
                <w:b/>
                <w:sz w:val="20"/>
              </w:rPr>
              <w:t>Non-Voting Attendees:</w:t>
            </w:r>
          </w:p>
        </w:tc>
        <w:tc>
          <w:tcPr>
            <w:tcW w:w="3547" w:type="dxa"/>
            <w:tcBorders/>
            <w:vAlign w:val="center"/>
          </w:tcPr>
          <w:p>
            <w:pPr>
              <w:pStyle w:val="Tabellinnehll"/>
              <w:widowControl w:val="false"/>
              <w:rPr>
                <w:sz w:val="4"/>
                <w:szCs w:val="4"/>
              </w:rPr>
            </w:pPr>
            <w:r>
              <w:rPr>
                <w:sz w:val="4"/>
                <w:szCs w:val="4"/>
              </w:rPr>
            </w:r>
          </w:p>
        </w:tc>
        <w:tc>
          <w:tcPr>
            <w:tcW w:w="534" w:type="dxa"/>
            <w:tcBorders/>
            <w:vAlign w:val="center"/>
          </w:tcPr>
          <w:p>
            <w:pPr>
              <w:pStyle w:val="Tabellinnehll"/>
              <w:widowControl w:val="false"/>
              <w:rPr>
                <w:sz w:val="4"/>
                <w:szCs w:val="4"/>
              </w:rPr>
            </w:pPr>
            <w:r>
              <w:rPr>
                <w:sz w:val="4"/>
                <w:szCs w:val="4"/>
              </w:rPr>
            </w:r>
          </w:p>
        </w:tc>
      </w:tr>
      <w:tr>
        <w:trPr/>
        <w:tc>
          <w:tcPr>
            <w:tcW w:w="154" w:type="dxa"/>
            <w:tcBorders/>
            <w:vAlign w:val="center"/>
          </w:tcPr>
          <w:p>
            <w:pPr>
              <w:pStyle w:val="Tabellinnehll"/>
              <w:widowControl w:val="false"/>
              <w:rPr>
                <w:sz w:val="4"/>
                <w:szCs w:val="4"/>
              </w:rPr>
            </w:pPr>
            <w:r>
              <w:rPr>
                <w:sz w:val="4"/>
                <w:szCs w:val="4"/>
              </w:rPr>
            </w:r>
          </w:p>
        </w:tc>
        <w:tc>
          <w:tcPr>
            <w:tcW w:w="1554" w:type="dxa"/>
            <w:tcBorders/>
            <w:vAlign w:val="center"/>
          </w:tcPr>
          <w:p>
            <w:pPr>
              <w:pStyle w:val="Tabellinnehll"/>
              <w:widowControl w:val="false"/>
              <w:rPr>
                <w:sz w:val="4"/>
                <w:szCs w:val="4"/>
              </w:rPr>
            </w:pPr>
            <w:r>
              <w:rPr>
                <w:sz w:val="4"/>
                <w:szCs w:val="4"/>
              </w:rPr>
            </w:r>
          </w:p>
        </w:tc>
        <w:tc>
          <w:tcPr>
            <w:tcW w:w="1927" w:type="dxa"/>
            <w:tcBorders/>
            <w:vAlign w:val="center"/>
          </w:tcPr>
          <w:p>
            <w:pPr>
              <w:pStyle w:val="Tabellinnehll"/>
              <w:widowControl w:val="false"/>
              <w:rPr>
                <w:sz w:val="4"/>
                <w:szCs w:val="4"/>
              </w:rPr>
            </w:pPr>
            <w:r>
              <w:rPr>
                <w:sz w:val="4"/>
                <w:szCs w:val="4"/>
              </w:rPr>
            </w:r>
          </w:p>
        </w:tc>
        <w:tc>
          <w:tcPr>
            <w:tcW w:w="3547" w:type="dxa"/>
            <w:tcBorders/>
            <w:vAlign w:val="center"/>
          </w:tcPr>
          <w:p>
            <w:pPr>
              <w:pStyle w:val="Tabellinnehll"/>
              <w:widowControl w:val="false"/>
              <w:rPr>
                <w:sz w:val="4"/>
                <w:szCs w:val="4"/>
              </w:rPr>
            </w:pPr>
            <w:r>
              <w:rPr>
                <w:sz w:val="4"/>
                <w:szCs w:val="4"/>
              </w:rPr>
            </w:r>
          </w:p>
        </w:tc>
        <w:tc>
          <w:tcPr>
            <w:tcW w:w="534" w:type="dxa"/>
            <w:tcBorders/>
            <w:vAlign w:val="center"/>
          </w:tcPr>
          <w:p>
            <w:pPr>
              <w:pStyle w:val="Tabellinnehll"/>
              <w:widowControl w:val="false"/>
              <w:rPr>
                <w:sz w:val="4"/>
                <w:szCs w:val="4"/>
              </w:rPr>
            </w:pPr>
            <w:r>
              <w:rPr>
                <w:sz w:val="4"/>
                <w:szCs w:val="4"/>
              </w:rPr>
            </w:r>
          </w:p>
        </w:tc>
      </w:tr>
      <w:tr>
        <w:trPr/>
        <w:tc>
          <w:tcPr>
            <w:tcW w:w="154" w:type="dxa"/>
            <w:tcBorders/>
            <w:vAlign w:val="center"/>
          </w:tcPr>
          <w:p>
            <w:pPr>
              <w:pStyle w:val="Tabellinnehll"/>
              <w:widowControl w:val="false"/>
              <w:jc w:val="center"/>
              <w:rPr>
                <w:rFonts w:ascii="Arial;sans-serif" w:hAnsi="Arial;sans-serif"/>
                <w:sz w:val="20"/>
              </w:rPr>
            </w:pPr>
            <w:r>
              <w:rPr>
                <w:rFonts w:ascii="Arial;sans-serif" w:hAnsi="Arial;sans-serif"/>
                <w:sz w:val="20"/>
              </w:rPr>
              <w:t>1</w:t>
            </w:r>
          </w:p>
        </w:tc>
        <w:tc>
          <w:tcPr>
            <w:tcW w:w="1554" w:type="dxa"/>
            <w:tcBorders/>
            <w:vAlign w:val="center"/>
          </w:tcPr>
          <w:p>
            <w:pPr>
              <w:pStyle w:val="Tabellinnehll"/>
              <w:widowControl w:val="false"/>
              <w:rPr>
                <w:rFonts w:ascii="Arial;sans-serif" w:hAnsi="Arial;sans-serif"/>
                <w:b/>
                <w:b/>
                <w:sz w:val="20"/>
              </w:rPr>
            </w:pPr>
            <w:r>
              <w:rPr>
                <w:rFonts w:ascii="Arial;sans-serif" w:hAnsi="Arial;sans-serif"/>
                <w:b/>
                <w:sz w:val="20"/>
              </w:rPr>
              <w:t>Andersdotter</w:t>
            </w:r>
          </w:p>
        </w:tc>
        <w:tc>
          <w:tcPr>
            <w:tcW w:w="1927" w:type="dxa"/>
            <w:tcBorders/>
            <w:vAlign w:val="center"/>
          </w:tcPr>
          <w:p>
            <w:pPr>
              <w:pStyle w:val="Tabellinnehll"/>
              <w:widowControl w:val="false"/>
              <w:rPr>
                <w:rFonts w:ascii="Arial;sans-serif" w:hAnsi="Arial;sans-serif"/>
                <w:sz w:val="20"/>
              </w:rPr>
            </w:pPr>
            <w:r>
              <w:rPr>
                <w:rFonts w:ascii="Arial;sans-serif" w:hAnsi="Arial;sans-serif"/>
                <w:sz w:val="20"/>
              </w:rPr>
              <w:t>Amelia</w:t>
            </w:r>
          </w:p>
        </w:tc>
        <w:tc>
          <w:tcPr>
            <w:tcW w:w="3547" w:type="dxa"/>
            <w:tcBorders/>
            <w:vAlign w:val="center"/>
          </w:tcPr>
          <w:p>
            <w:pPr>
              <w:pStyle w:val="Tabellinnehll"/>
              <w:widowControl w:val="false"/>
              <w:rPr>
                <w:rFonts w:ascii="Arial;sans-serif" w:hAnsi="Arial;sans-serif"/>
                <w:sz w:val="20"/>
              </w:rPr>
            </w:pPr>
            <w:r>
              <w:rPr>
                <w:rFonts w:ascii="Arial;sans-serif" w:hAnsi="Arial;sans-serif"/>
                <w:sz w:val="20"/>
              </w:rPr>
              <w:t>Sky UK Group</w:t>
            </w:r>
          </w:p>
        </w:tc>
        <w:tc>
          <w:tcPr>
            <w:tcW w:w="534"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bl>
    <w:p>
      <w:pPr>
        <w:pStyle w:val="ListParagraph"/>
        <w:ind w:left="0" w:hanging="0"/>
        <w:rPr>
          <w:b/>
          <w:b/>
          <w:sz w:val="24"/>
          <w:szCs w:val="24"/>
        </w:rPr>
      </w:pPr>
      <w:r>
        <w:rPr/>
      </w:r>
    </w:p>
    <w:sectPr>
      <w:headerReference w:type="default" r:id="rId15"/>
      <w:footerReference w:type="default" r:id="rId16"/>
      <w:type w:val="nextPage"/>
      <w:pgSz w:w="12240" w:h="15840"/>
      <w:pgMar w:left="360" w:right="1080" w:gutter="72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Arial">
    <w:altName w:val="sans-serif"/>
    <w:charset w:val="01"/>
    <w:family w:val="roman"/>
    <w:pitch w:val="variable"/>
  </w:font>
  <w:font w:name="OpenSymbol">
    <w:altName w:val="Arial Unicode MS"/>
    <w:charset w:val="01"/>
    <w:family w:val="auto"/>
    <w:pitch w:val="variable"/>
  </w:font>
  <w:font w:name="Arial">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5040" w:leader="none"/>
        <w:tab w:val="right" w:pos="9990" w:leader="none"/>
        <w:tab w:val="right" w:pos="12960" w:leader="none"/>
      </w:tabs>
      <w:rPr/>
    </w:pPr>
    <w:r>
      <w:rPr/>
      <w:fldChar w:fldCharType="begin"/>
    </w:r>
    <w:r>
      <w:rPr/>
      <w:instrText> SUBJECT </w:instrText>
    </w:r>
    <w:r>
      <w:rPr/>
      <w:fldChar w:fldCharType="separate"/>
    </w:r>
    <w:r>
      <w:rPr/>
      <w:t>RR-TAG Minutes</w:t>
    </w:r>
    <w:r>
      <w:rPr/>
      <w:fldChar w:fldCharType="end"/>
    </w:r>
    <w:r>
      <w:rPr/>
      <w:tab/>
      <w:t xml:space="preserve">page </w:t>
    </w:r>
    <w:r>
      <w:rPr/>
      <w:fldChar w:fldCharType="begin"/>
    </w:r>
    <w:r>
      <w:rPr/>
      <w:instrText> PAGE </w:instrText>
    </w:r>
    <w:r>
      <w:rPr/>
      <w:fldChar w:fldCharType="separate"/>
    </w:r>
    <w:r>
      <w:rPr/>
      <w:t>5</w:t>
    </w:r>
    <w:r>
      <w:rPr/>
      <w:fldChar w:fldCharType="end"/>
    </w:r>
    <w:r>
      <w:rPr/>
      <w:t xml:space="preserve"> of </w:t>
    </w:r>
    <w:r>
      <w:rPr/>
      <w:fldChar w:fldCharType="begin"/>
    </w:r>
    <w:r>
      <w:rPr/>
      <w:instrText> NUMPAGES </w:instrText>
    </w:r>
    <w:r>
      <w:rPr/>
      <w:fldChar w:fldCharType="separate"/>
    </w:r>
    <w:r>
      <w:rPr/>
      <w:t>5</w:t>
    </w:r>
    <w:r>
      <w:rPr/>
      <w:fldChar w:fldCharType="end"/>
    </w:r>
    <w:r>
      <w:rPr/>
      <w:tab/>
      <w:t>Amelia Andersdotter (Sky UK)</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990" w:leader="none"/>
        <w:tab w:val="right" w:pos="12960" w:leader="none"/>
      </w:tabs>
      <w:rPr/>
    </w:pPr>
    <w:r>
      <w:rPr/>
      <w:t>June 2022</w:t>
      <w:tab/>
      <w:tab/>
      <w:t>doc.: IEEE.18-22-0066r0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trackRevisions/>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5020"/>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rsid w:val="00794702"/>
    <w:rPr>
      <w:color w:val="0563C1" w:themeColor="hyperlink"/>
      <w:u w:val="single"/>
    </w:rPr>
  </w:style>
  <w:style w:type="character" w:styleId="AnvndInternetlnk" w:customStyle="1">
    <w:name w:val="Använd Internetlänk"/>
    <w:rsid w:val="002e5b8c"/>
    <w:rPr>
      <w:color w:val="800080"/>
      <w:u w:val="single"/>
    </w:rPr>
  </w:style>
  <w:style w:type="character" w:styleId="Highlight1" w:customStyle="1">
    <w:name w:val="highlight1"/>
    <w:qFormat/>
    <w:rsid w:val="00ff0e1b"/>
    <w:rPr>
      <w:b/>
      <w:bCs/>
    </w:rPr>
  </w:style>
  <w:style w:type="character" w:styleId="Applestylespan" w:customStyle="1">
    <w:name w:val="apple-style-span"/>
    <w:basedOn w:val="DefaultParagraphFont"/>
    <w:qFormat/>
    <w:rsid w:val="00b72ac7"/>
    <w:rPr/>
  </w:style>
  <w:style w:type="character" w:styleId="Style11" w:customStyle="1">
    <w:name w:val="style1"/>
    <w:basedOn w:val="DefaultParagraphFont"/>
    <w:qFormat/>
    <w:rsid w:val="00b96db2"/>
    <w:rPr/>
  </w:style>
  <w:style w:type="character" w:styleId="BalloonTextChar" w:customStyle="1">
    <w:name w:val="Balloon Text Char"/>
    <w:link w:val="BalloonText"/>
    <w:qFormat/>
    <w:rsid w:val="00175872"/>
    <w:rPr>
      <w:rFonts w:ascii="Segoe UI" w:hAnsi="Segoe UI" w:cs="Segoe UI"/>
      <w:sz w:val="18"/>
      <w:szCs w:val="18"/>
    </w:rPr>
  </w:style>
  <w:style w:type="character" w:styleId="Strong">
    <w:name w:val="Strong"/>
    <w:uiPriority w:val="22"/>
    <w:qFormat/>
    <w:rsid w:val="0056473e"/>
    <w:rPr>
      <w:b/>
      <w:bCs/>
    </w:rPr>
  </w:style>
  <w:style w:type="character" w:styleId="Rsgtitle1" w:customStyle="1">
    <w:name w:val="rsg-title1"/>
    <w:qFormat/>
    <w:rsid w:val="0056473e"/>
    <w:rPr>
      <w:b/>
      <w:bCs/>
      <w:color w:val="37ACAB"/>
      <w:sz w:val="26"/>
      <w:szCs w:val="26"/>
    </w:rPr>
  </w:style>
  <w:style w:type="character" w:styleId="PlainTextChar" w:customStyle="1">
    <w:name w:val="Plain Text Char"/>
    <w:link w:val="PlainText"/>
    <w:uiPriority w:val="99"/>
    <w:qFormat/>
    <w:rsid w:val="009d0fe5"/>
    <w:rPr>
      <w:rFonts w:ascii="Consolas" w:hAnsi="Consolas" w:eastAsia="Calibri" w:cs="Consolas"/>
      <w:sz w:val="22"/>
      <w:szCs w:val="22"/>
    </w:rPr>
  </w:style>
  <w:style w:type="character" w:styleId="Appleconvertedspace" w:customStyle="1">
    <w:name w:val="apple-converted-space"/>
    <w:qFormat/>
    <w:rsid w:val="00386cfb"/>
    <w:rPr/>
  </w:style>
  <w:style w:type="character" w:styleId="BodyTextChar" w:customStyle="1">
    <w:name w:val="Body Text Char"/>
    <w:link w:val="BodyText"/>
    <w:qFormat/>
    <w:rsid w:val="006c5e1c"/>
    <w:rPr>
      <w:sz w:val="22"/>
    </w:rPr>
  </w:style>
  <w:style w:type="character" w:styleId="Betonad" w:customStyle="1">
    <w:name w:val="Betonad"/>
    <w:uiPriority w:val="20"/>
    <w:qFormat/>
    <w:rsid w:val="00124d75"/>
    <w:rPr>
      <w:i/>
      <w:iCs/>
    </w:rPr>
  </w:style>
  <w:style w:type="character" w:styleId="Fotnotsankare" w:customStyle="1">
    <w:name w:val="Fotnotsankare"/>
    <w:rPr>
      <w:sz w:val="18"/>
      <w:vertAlign w:val="superscript"/>
    </w:rPr>
  </w:style>
  <w:style w:type="character" w:styleId="FootnoteCharacters" w:customStyle="1">
    <w:name w:val="Footnote Characters"/>
    <w:uiPriority w:val="99"/>
    <w:qFormat/>
    <w:rsid w:val="006b3b87"/>
    <w:rPr>
      <w:sz w:val="18"/>
      <w:vertAlign w:val="superscript"/>
    </w:rPr>
  </w:style>
  <w:style w:type="character" w:styleId="FootnoteTextChar" w:customStyle="1">
    <w:name w:val="Footnote Text Char"/>
    <w:link w:val="FootnoteText"/>
    <w:qFormat/>
    <w:rsid w:val="006b3b87"/>
    <w:rPr>
      <w:sz w:val="24"/>
    </w:rPr>
  </w:style>
  <w:style w:type="character" w:styleId="Mention1" w:customStyle="1">
    <w:name w:val="Mention1"/>
    <w:uiPriority w:val="99"/>
    <w:semiHidden/>
    <w:unhideWhenUsed/>
    <w:qFormat/>
    <w:rsid w:val="00211283"/>
    <w:rPr>
      <w:color w:val="2B579A"/>
      <w:shd w:fill="E6E6E6" w:val="clear"/>
    </w:rPr>
  </w:style>
  <w:style w:type="character" w:styleId="UnresolvedMention1" w:customStyle="1">
    <w:name w:val="Unresolved Mention1"/>
    <w:uiPriority w:val="99"/>
    <w:semiHidden/>
    <w:unhideWhenUsed/>
    <w:qFormat/>
    <w:rsid w:val="0064115a"/>
    <w:rPr>
      <w:color w:val="808080"/>
      <w:shd w:fill="E6E6E6" w:val="clear"/>
    </w:rPr>
  </w:style>
  <w:style w:type="character" w:styleId="NichtaufgelsteErwhnung1" w:customStyle="1">
    <w:name w:val="Nicht aufgelöste Erwähnung1"/>
    <w:uiPriority w:val="99"/>
    <w:semiHidden/>
    <w:unhideWhenUsed/>
    <w:qFormat/>
    <w:rsid w:val="00d30224"/>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rPr/>
  </w:style>
  <w:style w:type="character" w:styleId="Annotationreference">
    <w:name w:val="annotation reference"/>
    <w:basedOn w:val="DefaultParagraphFont"/>
    <w:qFormat/>
    <w:rsid w:val="00c20ea8"/>
    <w:rPr>
      <w:sz w:val="16"/>
      <w:szCs w:val="16"/>
    </w:rPr>
  </w:style>
  <w:style w:type="character" w:styleId="CommentTextChar" w:customStyle="1">
    <w:name w:val="Comment Text Char"/>
    <w:basedOn w:val="DefaultParagraphFont"/>
    <w:link w:val="CommentText"/>
    <w:qFormat/>
    <w:rsid w:val="00c20ea8"/>
    <w:rPr/>
  </w:style>
  <w:style w:type="character" w:styleId="CommentSubjectChar" w:customStyle="1">
    <w:name w:val="Comment Subject Char"/>
    <w:basedOn w:val="CommentTextChar"/>
    <w:link w:val="CommentSubject"/>
    <w:semiHidden/>
    <w:qFormat/>
    <w:rsid w:val="00c20ea8"/>
    <w:rPr>
      <w:b/>
      <w:bCs/>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rsid w:val="006c5e1c"/>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uiPriority w:val="34"/>
    <w:qFormat/>
    <w:rsid w:val="003f3970"/>
    <w:pPr>
      <w:ind w:left="720" w:hanging="0"/>
    </w:pPr>
    <w:rPr/>
  </w:style>
  <w:style w:type="paragraph" w:styleId="Default" w:customStyle="1">
    <w:name w:val="Default"/>
    <w:qFormat/>
    <w:rsid w:val="004c5e41"/>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rsid w:val="00175872"/>
    <w:pPr/>
    <w:rPr>
      <w:rFonts w:ascii="Segoe UI" w:hAnsi="Segoe UI" w:cs="Segoe UI"/>
      <w:sz w:val="18"/>
      <w:szCs w:val="18"/>
    </w:rPr>
  </w:style>
  <w:style w:type="paragraph" w:styleId="NormalWeb">
    <w:name w:val="Normal (Web)"/>
    <w:basedOn w:val="Normal"/>
    <w:uiPriority w:val="99"/>
    <w:qFormat/>
    <w:rsid w:val="00410713"/>
    <w:pPr>
      <w:spacing w:beforeAutospacing="1" w:afterAutospacing="1"/>
    </w:pPr>
    <w:rPr>
      <w:sz w:val="24"/>
      <w:szCs w:val="24"/>
    </w:rPr>
  </w:style>
  <w:style w:type="paragraph" w:styleId="Toaheading">
    <w:name w:val="toa heading"/>
    <w:basedOn w:val="Normal"/>
    <w:next w:val="Normal"/>
    <w:qFormat/>
    <w:rsid w:val="009c6c15"/>
    <w:pPr>
      <w:widowControl w:val="false"/>
      <w:tabs>
        <w:tab w:val="clear" w:pos="720"/>
        <w:tab w:val="right" w:pos="9360" w:leader="none"/>
      </w:tabs>
    </w:pPr>
    <w:rPr>
      <w:kern w:val="2"/>
    </w:rPr>
  </w:style>
  <w:style w:type="paragraph" w:styleId="PlainText">
    <w:name w:val="Plain Text"/>
    <w:basedOn w:val="Normal"/>
    <w:link w:val="PlainTextChar"/>
    <w:uiPriority w:val="99"/>
    <w:unhideWhenUsed/>
    <w:qFormat/>
    <w:rsid w:val="009d0fe5"/>
    <w:pPr/>
    <w:rPr>
      <w:rFonts w:ascii="Consolas" w:hAnsi="Consolas" w:eastAsia="Calibri" w:cs="Consolas"/>
      <w:szCs w:val="22"/>
    </w:rPr>
  </w:style>
  <w:style w:type="paragraph" w:styleId="Style51" w:customStyle="1">
    <w:name w:val="style5"/>
    <w:basedOn w:val="Normal"/>
    <w:qFormat/>
    <w:rsid w:val="00a442b1"/>
    <w:pPr/>
    <w:rPr>
      <w:sz w:val="24"/>
      <w:szCs w:val="24"/>
    </w:rPr>
  </w:style>
  <w:style w:type="paragraph" w:styleId="Style12" w:customStyle="1">
    <w:name w:val="Style1"/>
    <w:basedOn w:val="Brdtext"/>
    <w:qFormat/>
    <w:rsid w:val="006c5e1c"/>
    <w:pPr>
      <w:widowControl w:val="false"/>
      <w:spacing w:before="0" w:after="0"/>
      <w:jc w:val="center"/>
    </w:pPr>
    <w:rPr>
      <w:b/>
      <w:sz w:val="20"/>
    </w:rPr>
  </w:style>
  <w:style w:type="paragraph" w:styleId="Fotnot">
    <w:name w:val="Footnote Text"/>
    <w:basedOn w:val="Normal"/>
    <w:link w:val="FootnoteTextChar"/>
    <w:rsid w:val="006b3b87"/>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rsid w:val="00200006"/>
    <w:pPr>
      <w:spacing w:beforeAutospacing="1"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uiPriority w:val="71"/>
    <w:semiHidden/>
    <w:qFormat/>
    <w:rsid w:val="003f3649"/>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rsid w:val="00c20ea8"/>
    <w:pPr/>
    <w:rPr>
      <w:sz w:val="20"/>
    </w:rPr>
  </w:style>
  <w:style w:type="paragraph" w:styleId="Annotationsubject">
    <w:name w:val="annotation subject"/>
    <w:basedOn w:val="Annotationtext"/>
    <w:next w:val="Annotationtext"/>
    <w:link w:val="CommentSubjectChar"/>
    <w:semiHidden/>
    <w:unhideWhenUsed/>
    <w:qFormat/>
    <w:rsid w:val="00c20ea8"/>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01e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061-00-0000-rr-tag-agenda-9-june-2022.pptx" TargetMode="External"/><Relationship Id="rId4" Type="http://schemas.openxmlformats.org/officeDocument/2006/relationships/hyperlink" Target="https://www.ieee802.org/18/RRTAG_Voters.pdf" TargetMode="External"/><Relationship Id="rId5" Type="http://schemas.openxmlformats.org/officeDocument/2006/relationships/hyperlink" Target="https://mentor.ieee.org/802-ec/dcn/21/ec-21-0207-23-0PNP-ieee-802-lmsc-working-group-policies-and-procedures.pdf" TargetMode="External"/><Relationship Id="rId6" Type="http://schemas.openxmlformats.org/officeDocument/2006/relationships/hyperlink" Target="http://www.ieee802.org/devdocs.shtml" TargetMode="External"/><Relationship Id="rId7" Type="http://schemas.openxmlformats.org/officeDocument/2006/relationships/hyperlink" Target="https://standards.ieee.org/about/policies/opman/" TargetMode="External"/><Relationship Id="rId8" Type="http://schemas.openxmlformats.org/officeDocument/2006/relationships/hyperlink" Target="https://mentor.ieee.org/802.18/dcn/22/18-22-0064-00-0000-teleconference-minutes-2-june-2022.docx" TargetMode="External"/><Relationship Id="rId9" Type="http://schemas.openxmlformats.org/officeDocument/2006/relationships/hyperlink" Target="https://mentor.ieee.org/802.18/dcn/22/18-22-0035-18-0000-status-of-ongoing-consultations-and-tag-documents-for-approval.docx" TargetMode="External"/><Relationship Id="rId10" Type="http://schemas.openxmlformats.org/officeDocument/2006/relationships/hyperlink" Target="https://docdb.cept.org/document/28556" TargetMode="External"/><Relationship Id="rId11" Type="http://schemas.openxmlformats.org/officeDocument/2006/relationships/hyperlink" Target="../../../../Downloads/.%20https:/www.fcc.gov/news-events/events/open-commission-meetings" TargetMode="External"/><Relationship Id="rId12" Type="http://schemas.openxmlformats.org/officeDocument/2006/relationships/hyperlink" Target="https://mentor.ieee.org/802.18/dcn/16/18-16-0038-21-0000-teleconference-call-in-info.pptx" TargetMode="External"/><Relationship Id="rId13" Type="http://schemas.openxmlformats.org/officeDocument/2006/relationships/hyperlink" Target="http://ieee802.org/802tele_calendar.html" TargetMode="External"/><Relationship Id="rId14" Type="http://schemas.openxmlformats.org/officeDocument/2006/relationships/hyperlink" Target="https://calendar.google.com/calendar/embed?src=c2gedttabtbj4bps23j4847004@group.calendar.google.com&amp;ctz=America%2FNew_York"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0DCA3-0C11-491A-84E5-464089893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8340</TotalTime>
  <Application>LibreOffice/7.2.7.2$Linux_X86_64 LibreOffice_project/20$Build-2</Application>
  <AppVersion>15.0000</AppVersion>
  <Pages>5</Pages>
  <Words>1020</Words>
  <Characters>5436</Characters>
  <CharactersWithSpaces>6363</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2022-05-02T06:51:00Z</dcterms:created>
  <dc:creator>author</dc:creator>
  <dc:description/>
  <cp:keywords>28 28 28 28 28 28 28 28 April 2022</cp:keywords>
  <dc:language>sv-SE</dc:language>
  <cp:lastModifiedBy>Amelia Andersdotter</cp:lastModifiedBy>
  <cp:lastPrinted>2012-05-15T22:13:00Z</cp:lastPrinted>
  <dcterms:modified xsi:type="dcterms:W3CDTF">2022-06-14T11:03:03Z</dcterms:modified>
  <cp:revision>37</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