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tabs>
          <w:tab w:val="clear" w:pos="720"/>
          <w:tab w:val="left" w:pos="3520" w:leader="none"/>
          <w:tab w:val="center" w:pos="5040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T1"/>
        <w:pBdr>
          <w:bottom w:val="single" w:sz="6" w:space="0" w:color="000000"/>
        </w:pBdr>
        <w:tabs>
          <w:tab w:val="clear" w:pos="720"/>
          <w:tab w:val="left" w:pos="3520" w:leader="none"/>
          <w:tab w:val="center" w:pos="5040" w:leader="none"/>
        </w:tabs>
        <w:rPr/>
      </w:pPr>
      <w:r>
        <w:rPr>
          <w:b w:val="false"/>
          <w:sz w:val="24"/>
          <w:szCs w:val="24"/>
        </w:rPr>
        <w:t>IEEE 802.18</w:t>
      </w:r>
    </w:p>
    <w:p>
      <w:pPr>
        <w:pStyle w:val="T1"/>
        <w:pBdr>
          <w:bottom w:val="single" w:sz="6" w:space="0" w:color="000000"/>
        </w:pBdr>
        <w:rPr/>
      </w:pPr>
      <w:r>
        <w:rPr>
          <w:b w:val="false"/>
          <w:sz w:val="24"/>
          <w:szCs w:val="24"/>
        </w:rPr>
        <w:t>Radio Regulatory-TAG</w:t>
      </w:r>
    </w:p>
    <w:p>
      <w:pPr>
        <w:pStyle w:val="T1"/>
        <w:pBdr>
          <w:bottom w:val="single" w:sz="6" w:space="0" w:color="000000"/>
        </w:pBdr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tbl>
      <w:tblPr>
        <w:tblW w:w="99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34"/>
        <w:gridCol w:w="1620"/>
        <w:gridCol w:w="3060"/>
        <w:gridCol w:w="2794"/>
      </w:tblGrid>
      <w:tr>
        <w:trPr>
          <w:trHeight w:val="485" w:hRule="atLeast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Radio Regulatory Technical Advisory Group Minutes</w:t>
            </w:r>
          </w:p>
        </w:tc>
      </w:tr>
      <w:tr>
        <w:trPr>
          <w:trHeight w:val="359" w:hRule="atLeast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72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Date: 1</w:t>
            </w:r>
            <w:r>
              <w:rPr>
                <w:b w:val="false"/>
                <w:sz w:val="24"/>
                <w:szCs w:val="24"/>
              </w:rPr>
              <w:t>9</w:t>
            </w:r>
            <w:r>
              <w:rPr>
                <w:b w:val="false"/>
                <w:sz w:val="24"/>
                <w:szCs w:val="24"/>
              </w:rPr>
              <w:t xml:space="preserve"> April 2022</w:t>
            </w:r>
          </w:p>
        </w:tc>
      </w:tr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Affiliation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Email</w:t>
            </w:r>
          </w:p>
        </w:tc>
      </w:tr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color w:val="BFBFBF"/>
                <w:sz w:val="24"/>
                <w:szCs w:val="24"/>
              </w:rPr>
            </w:pPr>
            <w:r>
              <w:rPr>
                <w:b w:val="false"/>
                <w:color w:val="BFBFBF"/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9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Author</w:t>
            </w:r>
          </w:p>
        </w:tc>
      </w:tr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Amelia Andersdotter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Sky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Brussels, Belgium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amelia.ieee@andersdotter.cc</w:t>
            </w:r>
          </w:p>
        </w:tc>
      </w:tr>
    </w:tbl>
    <w:p>
      <w:pPr>
        <w:pStyle w:val="T1"/>
        <w:rPr/>
      </w:pPr>
      <w:r>
        <w:rPr>
          <w:b w:val="false"/>
          <w:bCs/>
          <w:sz w:val="24"/>
          <w:szCs w:val="24"/>
        </w:rPr>
        <w:t>Chair Edward Au (Huawei)</w:t>
      </w:r>
    </w:p>
    <w:p>
      <w:pPr>
        <w:pStyle w:val="T1"/>
        <w:rPr>
          <w:rStyle w:val="Internetlnk"/>
          <w:b w:val="false"/>
          <w:b w:val="false"/>
          <w:bCs/>
          <w:color w:val="000000"/>
          <w:sz w:val="24"/>
          <w:szCs w:val="24"/>
          <w:u w:val="none"/>
        </w:rPr>
      </w:pPr>
      <w:r>
        <w:rPr>
          <w:b w:val="false"/>
          <w:bCs/>
          <w:color w:val="000000"/>
          <w:sz w:val="24"/>
          <w:szCs w:val="24"/>
        </w:rPr>
        <w:t xml:space="preserve">Co-Vice-chairs: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numPr>
          <w:ilvl w:val="0"/>
          <w:numId w:val="4"/>
        </w:numPr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IEEE 802 RR-TAG teleconference Thursday, 14 April 2022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calls the meeting to order at 15:02 ET </w:t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br/>
        <w:t>Agenda slide deck 802.18-22-0043r0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Chair: Edward Au (Huawei)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Co-vice-chairs: Stuart Kerry (OK-Brit/Self), Al Petrick (Skyworks Solutions)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Secretary: Amelia Andersdotter (Sky)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Voters: 46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Nearly voters: 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Aspirant members: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hyperlink r:id="rId3">
        <w:r>
          <w:rPr>
            <w:rStyle w:val="Internetlnk"/>
            <w:bCs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IEEE 802 meeting and participant’s guidelines and requirements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IEEE policies and procedures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Administrative:</w:t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 xml:space="preserve">Hassan Yaghoobi (Intel Corporation)  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meeting minutes of the 7 April 2022, RR-TAG call as shown in the document </w:t>
      </w:r>
      <w:hyperlink r:id="rId4">
        <w:r>
          <w:rPr>
            <w:rStyle w:val="Internetlnk"/>
            <w:sz w:val="24"/>
            <w:szCs w:val="24"/>
            <w:u w:val="none"/>
          </w:rPr>
          <w:t>22-0042r0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 (Skyworks Solutions)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Claudio da Silva (Meta)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Passed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5">
        <w:r>
          <w:rPr>
            <w:rStyle w:val="Internetlnk"/>
            <w:b/>
            <w:bCs/>
            <w:sz w:val="24"/>
            <w:szCs w:val="24"/>
          </w:rPr>
          <w:t>18-22-0035r5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consultations. </w:t>
        <w:br/>
        <w:br/>
        <w:t>UK Ofcom Consultation is approved by the EC after the letter ballot closed and has been submitted.</w:t>
        <w:br/>
        <w:br/>
        <w:t>The two comments to ITU-R Working Party 5A are undergoing the 10-day ballot period with the Executive Committee (EC) and will close Monday 18 April 2022.</w:t>
        <w:br/>
        <w:br/>
        <w:t>Since the two Canada ISED consultations on 95GHz and above and 5.9 GHz bands would require a response from IEEE 802 to be approved by RR TAG at the latest 14 April 2022 (today) in order to leave sufficient time for the 10-day letter ballot with the EC, and no submissions have been submitted for consideration by RR TAG until today's meeting, we will not have any submission on these consultations.</w:t>
        <w:br/>
        <w:br/>
        <w:t>Similar situation on Australian ACMA consultation as for ISED. We will not submit on this consultation.</w:t>
        <w:br/>
        <w:br/>
        <w:t>UK Ofcom has published a spectrum roadmap which would require a submission approved by RR TAG at the latest 5 May 2022.</w:t>
        <w:br/>
        <w:br/>
        <w:t>Two US FCC dockets have not yet been posted, so we have no clarity on deadlines as of yet.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ETSI BRAN: </w:t>
        <w:br/>
        <w:br/>
      </w:r>
      <w:hyperlink r:id="rId6">
        <w:r>
          <w:rPr>
            <w:rStyle w:val="Internetlnk"/>
            <w:sz w:val="24"/>
            <w:szCs w:val="24"/>
          </w:rPr>
          <w:t>ETSI Seminar</w:t>
        </w:r>
      </w:hyperlink>
      <w:r>
        <w:rPr>
          <w:sz w:val="24"/>
          <w:szCs w:val="24"/>
        </w:rPr>
        <w:t xml:space="preserve"> is being organized on 19 May 2022. 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CEPT:</w:t>
        <w:br/>
        <w:br/>
        <w:t>Nothing to report.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Ofcom: </w:t>
        <w:br/>
        <w:br/>
        <w:t>Nothing to report.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FCC:</w:t>
        <w:br/>
        <w:br/>
        <w:t>Next Open Commission meeting is 21 April 2022 at 10:30 ET.</w:t>
        <w:br/>
        <w:t>Chairwoman Rosenworcel announced staff changes on 4 April 2022.</w:t>
        <w:br/>
        <w:t xml:space="preserve">Commissioner Starks announced staff changes on 7 April 2022. 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Asia Pacific:</w:t>
        <w:br/>
        <w:br/>
        <w:t>The 4th Meeting of the APT Conference Preparatory Group for WRC-23 (APG23-4) is scheduled as a hybrid event from 15 to 20 August 2022. The venue is Thailand.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  <w:t>The 30th Meeting of APT Wireless Group (AWG-30) is scheduled as a hybrid event from 5 to 9 September 2022.  The venue is Thailand</w:t>
        <w:br/>
        <w:br/>
        <w:t>India TRAI released its annual report for 2020-2021 on 5 April 2022.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ITU-R</w:t>
        <w:br/>
        <w:br/>
        <w:t>Nothing to report.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Wireless interim meeting in May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/>
        <w:t>Reminder that the interim meeting is a credited session with attendance credit.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Registration deadlines and fees (early bird registration expired on 8 April 2022). Standard registration rates will apply until 29 April.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Links for registration and applicable cancellation policy.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Early bird registration rates until 29 April. Hotel reservations are quickly running out.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802.18 and 802.19 Frequency ad-hoc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Reminder about comment collection for frequency table. Responding does not affect voting rights - it's a voluntary comment collection activity. Next joint call on Tuesday 26 April 2022, 15:00-16:00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AOB?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>No one raises other issues.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>
          <w:sz w:val="24"/>
          <w:szCs w:val="24"/>
        </w:rPr>
        <w:t xml:space="preserve">15 participants and 12 voters (including the chair) [Report by Stuart Kerry]. </w:t>
      </w:r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“weekly” teleconference: 21 April 2022</w:t>
      </w:r>
      <w:r>
        <w:rPr>
          <w:b/>
          <w:bCs/>
          <w:sz w:val="24"/>
          <w:szCs w:val="24"/>
          <w:highlight w:val="cyan"/>
        </w:rPr>
        <w:t xml:space="preserve">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</w:t>
      </w:r>
      <w:hyperlink r:id="rId7">
        <w:r>
          <w:rPr>
            <w:rStyle w:val="Internetlnk"/>
            <w:sz w:val="24"/>
            <w:szCs w:val="24"/>
          </w:rPr>
          <w:t>https://mentor.ieee.org/802.18/dcn/16/18-16-0038-20-0000-teleconference-call-in-info.pptx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Currently, weekly teleconferences are scheduled until 19 May 2022.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8">
        <w:r>
          <w:rPr>
            <w:rStyle w:val="Internetlnk"/>
            <w:sz w:val="24"/>
            <w:szCs w:val="24"/>
          </w:rPr>
          <w:t>http://ieee802.org/802tele_calendar.html</w:t>
        </w:r>
      </w:hyperlink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or only 802.18:  </w:t>
      </w:r>
      <w:hyperlink r:id="rId9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3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 xml:space="preserve">Any objection to Adjourn. 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None heard.</w:t>
      </w:r>
    </w:p>
    <w:p>
      <w:pPr>
        <w:pStyle w:val="Normal"/>
        <w:numPr>
          <w:ilvl w:val="2"/>
          <w:numId w:val="3"/>
        </w:numPr>
        <w:spacing w:before="0" w:after="0"/>
        <w:contextualSpacing/>
        <w:rPr/>
      </w:pPr>
      <w:r>
        <w:rPr>
          <w:sz w:val="24"/>
          <w:szCs w:val="24"/>
        </w:rPr>
        <w:t>Adjourn at 15:32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/>
        <w:t>ATTENDANCE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eastAsia="Times New Roman" w:cs="Arial" w:ascii="Arial" w:hAnsi="Arial"/>
          <w:b/>
          <w:bCs/>
          <w:sz w:val="20"/>
        </w:rPr>
        <w:t>Weekly Meeting Attendance Names and Affiliations:</w:t>
      </w:r>
    </w:p>
    <w:p>
      <w:pPr>
        <w:pStyle w:val="Normal"/>
        <w:rPr>
          <w:rFonts w:eastAsia="Calibri" w:eastAsiaTheme="minorHAnsi"/>
          <w:b/>
          <w:b/>
          <w:bCs/>
          <w:sz w:val="20"/>
        </w:rPr>
      </w:pPr>
      <w:r>
        <w:rPr>
          <w:rFonts w:eastAsia="Calibri" w:eastAsiaTheme="minorHAnsi"/>
          <w:b/>
          <w:bCs/>
          <w:sz w:val="20"/>
        </w:rPr>
      </w:r>
    </w:p>
    <w:p>
      <w:pPr>
        <w:pStyle w:val="Normal"/>
        <w:rPr/>
      </w:pPr>
      <w:r>
        <w:rPr/>
      </w:r>
    </w:p>
    <w:tbl>
      <w:tblPr>
        <w:tblW w:w="693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66"/>
        <w:gridCol w:w="1442"/>
        <w:gridCol w:w="1927"/>
        <w:gridCol w:w="2668"/>
        <w:gridCol w:w="629"/>
      </w:tblGrid>
      <w:tr>
        <w:trPr/>
        <w:tc>
          <w:tcPr>
            <w:tcW w:w="1708" w:type="dxa"/>
            <w:gridSpan w:val="2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14-Apr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da Silva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Claudio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Meta Platforms, Inc.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Itron Inc.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Yucek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Tevfik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635" w:type="dxa"/>
            <w:gridSpan w:val="3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66" w:type="dxa"/>
            <w:tcBorders/>
            <w:vAlign w:val="center"/>
          </w:tcPr>
          <w:p>
            <w:pPr>
              <w:pStyle w:val="Tabellinnehll"/>
              <w:widowControl w:val="false"/>
              <w:jc w:val="right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27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266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629" w:type="dxa"/>
            <w:tcBorders/>
            <w:vAlign w:val="center"/>
          </w:tcPr>
          <w:p>
            <w:pPr>
              <w:pStyle w:val="Tabellinnehll"/>
              <w:widowControl w:val="false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10"/>
      <w:footerReference w:type="default" r:id="rId11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14 April 2022</w:t>
      <w:tab/>
      <w:tab/>
      <w:t>doc.: IEEE.18-22-00</w:t>
    </w:r>
    <w:r>
      <w:rPr/>
      <w:t>48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</w:lvl>
  </w:abstractNum>
  <w:abstractNum w:abstractNumId="3"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i w:val="false"/>
        <w:b/>
        <w:iCs w:val="false"/>
        <w:bCs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uiPriority w:val="99"/>
    <w:rPr>
      <w:color w:val="0000FF"/>
      <w:u w:val="single"/>
    </w:rPr>
  </w:style>
  <w:style w:type="character" w:styleId="AnvndInternetlnk" w:customStyle="1">
    <w:name w:val="Använd Internetlänk"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link w:val="BodyText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link w:val="FootnoteText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UnresolvedMention" w:customStyle="1">
    <w:name w:val="Unresolved Mention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link w:val="BodyTextChar"/>
    <w:rsid w:val="006c5e1c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Brdtext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"/>
    <w:qFormat/>
    <w:pPr/>
    <w:rPr/>
  </w:style>
  <w:style w:type="paragraph" w:styleId="Objektutanfyllningochutanlinjer" w:customStyle="1">
    <w:name w:val="Objekt utan fyllning och utan linjer"/>
    <w:basedOn w:val="Standard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www.ieee802.org/18/RRTAG_Voters.pdf" TargetMode="External"/><Relationship Id="rId4" Type="http://schemas.openxmlformats.org/officeDocument/2006/relationships/hyperlink" Target="https://mentor.ieee.org/802.18/dcn/22/18-22-0042-00-0000-minutes-teleconference-7-april-2022.docx" TargetMode="External"/><Relationship Id="rId5" Type="http://schemas.openxmlformats.org/officeDocument/2006/relationships/hyperlink" Target="https://mentor.ieee.org/802.18/dcn/22/18-22-0035-05-0000-status-of-ongoing-consultations-and-tag-documents-for-approval.docx" TargetMode="External"/><Relationship Id="rId6" Type="http://schemas.openxmlformats.org/officeDocument/2006/relationships/hyperlink" Target="https://www.etsi.org/events/etsi-seminar" TargetMode="External"/><Relationship Id="rId7" Type="http://schemas.openxmlformats.org/officeDocument/2006/relationships/hyperlink" Target="https://mentor.ieee.org/802.18/dcn/16/18-16-0038-20-0000-teleconference-call-in-info.pptx" TargetMode="External"/><Relationship Id="rId8" Type="http://schemas.openxmlformats.org/officeDocument/2006/relationships/hyperlink" Target="http://ieee802.org/802tele_calendar.html" TargetMode="External"/><Relationship Id="rId9" Type="http://schemas.openxmlformats.org/officeDocument/2006/relationships/hyperlink" Target="https://calendar.google.com/calendar/embed?src=c2gedttabtbj4bps23j4847004@group.calendar.google.com&amp;ctz=America%2FNew_York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409B-B03B-469B-A92C-E1AED0D5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11387</TotalTime>
  <Application>LibreOffice/7.2.6.2$Linux_X86_64 LibreOffice_project/20$Build-2</Application>
  <AppVersion>15.0000</AppVersion>
  <Pages>4</Pages>
  <Words>873</Words>
  <Characters>4662</Characters>
  <CharactersWithSpaces>5396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2021-11-24T22:14:00Z</dcterms:created>
  <dc:creator>author</dc:creator>
  <dc:description>________ (____)</dc:description>
  <cp:keywords>24mar22 24mar22 24mar22 24mar22 24mar22</cp:keywords>
  <dc:language>sv-SE</dc:language>
  <cp:lastModifiedBy>Amelia Andersdotter</cp:lastModifiedBy>
  <cp:lastPrinted>2012-05-15T22:13:00Z</cp:lastPrinted>
  <dcterms:modified xsi:type="dcterms:W3CDTF">2022-04-19T11:55:00Z</dcterms:modified>
  <cp:revision>126</cp:revision>
  <dc:subject>RR-TAG Minutes</dc:subject>
  <dc:title>doc: 18-22/0026r00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