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F1E9593" w:rsidR="00AA4B89" w:rsidRDefault="00AA4B89" w:rsidP="006A7BEC">
            <w:pPr>
              <w:pStyle w:val="T2"/>
              <w:ind w:left="0"/>
              <w:rPr>
                <w:sz w:val="20"/>
              </w:rPr>
            </w:pPr>
            <w:r w:rsidRPr="00D341FF">
              <w:rPr>
                <w:sz w:val="20"/>
              </w:rPr>
              <w:t>Date:</w:t>
            </w:r>
            <w:r w:rsidRPr="00D341FF">
              <w:rPr>
                <w:b w:val="0"/>
                <w:sz w:val="20"/>
              </w:rPr>
              <w:t xml:space="preserve">  2022-</w:t>
            </w:r>
            <w:r w:rsidR="00AF36AC">
              <w:rPr>
                <w:b w:val="0"/>
                <w:sz w:val="20"/>
              </w:rPr>
              <w:t>1</w:t>
            </w:r>
            <w:r w:rsidR="005C43DF">
              <w:rPr>
                <w:b w:val="0"/>
                <w:sz w:val="20"/>
              </w:rPr>
              <w:t>2-15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773B79" w:rsidRDefault="00773B79">
                            <w:pPr>
                              <w:pStyle w:val="T1"/>
                              <w:spacing w:after="120"/>
                            </w:pPr>
                            <w:r>
                              <w:t>Abstract</w:t>
                            </w:r>
                          </w:p>
                          <w:p w14:paraId="2FD9DF29" w14:textId="77777777" w:rsidR="00773B79" w:rsidRDefault="00773B79">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773B79" w:rsidRDefault="00773B79">
                      <w:pPr>
                        <w:pStyle w:val="T1"/>
                        <w:spacing w:after="120"/>
                      </w:pPr>
                      <w:r>
                        <w:t>Abstract</w:t>
                      </w:r>
                    </w:p>
                    <w:p w14:paraId="2FD9DF29" w14:textId="77777777" w:rsidR="00773B79" w:rsidRDefault="00773B79">
                      <w:pPr>
                        <w:jc w:val="both"/>
                      </w:pPr>
                      <w:r>
                        <w:t xml:space="preserve">This document summarizes the status of ongoing consultations and IEEE 802.18 documents required for approval. </w:t>
                      </w:r>
                    </w:p>
                  </w:txbxContent>
                </v:textbox>
              </v:shape>
            </w:pict>
          </mc:Fallback>
        </mc:AlternateContent>
      </w:r>
    </w:p>
    <w:p w14:paraId="24103F93" w14:textId="1F18990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773B79" w:rsidRDefault="00773B7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773B79" w:rsidRDefault="00773B7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773B79" w:rsidRDefault="00773B7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773B79" w:rsidRDefault="00773B7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5C43DF">
        <w:rPr>
          <w:rFonts w:ascii="Arial" w:hAnsi="Arial" w:cs="Arial"/>
          <w:b/>
          <w:u w:val="single"/>
        </w:rPr>
        <w:t>15</w:t>
      </w:r>
      <w:r w:rsidR="000B35E1">
        <w:rPr>
          <w:rFonts w:ascii="Arial" w:hAnsi="Arial" w:cs="Arial"/>
          <w:b/>
          <w:u w:val="single"/>
        </w:rPr>
        <w:t xml:space="preserve"> December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A0D41" w:rsidRPr="00B664C5" w14:paraId="24CCD27A"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89559C" w14:textId="63E38508" w:rsidR="006A0D41" w:rsidRPr="00B664C5" w:rsidRDefault="006A0D41" w:rsidP="006A0D41">
            <w:pPr>
              <w:spacing w:before="60" w:after="60"/>
              <w:rPr>
                <w:rFonts w:ascii="Arial" w:hAnsi="Arial" w:cs="Arial"/>
                <w:sz w:val="20"/>
              </w:rPr>
            </w:pPr>
            <w:r>
              <w:rPr>
                <w:rFonts w:ascii="Arial" w:hAnsi="Arial" w:cs="Arial"/>
                <w:sz w:val="20"/>
              </w:rPr>
              <w:t>Japan MIC</w:t>
            </w:r>
          </w:p>
          <w:p w14:paraId="2FFF2C19" w14:textId="12B8B656" w:rsidR="006A0D41" w:rsidRPr="008E1D90" w:rsidRDefault="0046076B" w:rsidP="008E1D90">
            <w:pPr>
              <w:spacing w:before="60" w:after="60"/>
              <w:rPr>
                <w:rFonts w:ascii="Arial" w:hAnsi="Arial" w:cs="Arial"/>
                <w:b w:val="0"/>
                <w:sz w:val="20"/>
              </w:rPr>
            </w:pPr>
            <w:hyperlink r:id="rId8" w:history="1">
              <w:r w:rsidR="008E1D90" w:rsidRPr="008E1D90">
                <w:rPr>
                  <w:rStyle w:val="Hyperlink"/>
                  <w:rFonts w:ascii="Arial" w:hAnsi="Arial" w:cs="Arial"/>
                  <w:b w:val="0"/>
                  <w:bCs w:val="0"/>
                  <w:sz w:val="20"/>
                </w:rPr>
                <w:t>Request for comments on Japan’s posit</w:t>
              </w:r>
              <w:r w:rsidR="008D27EE">
                <w:rPr>
                  <w:rStyle w:val="Hyperlink"/>
                  <w:rFonts w:ascii="Arial" w:hAnsi="Arial" w:cs="Arial"/>
                  <w:b w:val="0"/>
                  <w:bCs w:val="0"/>
                  <w:sz w:val="20"/>
                </w:rPr>
                <w:t>i</w:t>
              </w:r>
              <w:r w:rsidR="008E1D90" w:rsidRPr="008E1D90">
                <w:rPr>
                  <w:rStyle w:val="Hyperlink"/>
                  <w:rFonts w:ascii="Arial" w:hAnsi="Arial" w:cs="Arial"/>
                  <w:b w:val="0"/>
                  <w:bCs w:val="0"/>
                  <w:sz w:val="20"/>
                </w:rPr>
                <w:t>ons on the 2023 World Radiocommunication Conference (WRC-23)</w:t>
              </w:r>
            </w:hyperlink>
          </w:p>
        </w:tc>
        <w:tc>
          <w:tcPr>
            <w:tcW w:w="1890" w:type="dxa"/>
          </w:tcPr>
          <w:p w14:paraId="77A919BD" w14:textId="2A7370DB"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ADF92F6" w14:textId="15420302" w:rsidR="006A0D41" w:rsidRPr="00B664C5" w:rsidRDefault="005C43DF" w:rsidP="006A0D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Pr="005C43DF">
                <w:rPr>
                  <w:rStyle w:val="Hyperlink"/>
                  <w:rFonts w:ascii="Arial" w:hAnsi="Arial" w:cs="Arial"/>
                  <w:sz w:val="20"/>
                </w:rPr>
                <w:t>18-22/0152r9</w:t>
              </w:r>
            </w:hyperlink>
          </w:p>
        </w:tc>
        <w:tc>
          <w:tcPr>
            <w:tcW w:w="2695" w:type="dxa"/>
          </w:tcPr>
          <w:p w14:paraId="49C69BE2" w14:textId="77777777" w:rsidR="006A0D41" w:rsidRDefault="006A0D41" w:rsidP="006A0D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p w14:paraId="7E15C8FF" w14:textId="1BF7E68C" w:rsidR="005C43DF" w:rsidRPr="006A0D41" w:rsidRDefault="005C43DF" w:rsidP="005C43D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r w:rsidRPr="005C43DF">
              <w:rPr>
                <w:rStyle w:val="Hyperlink"/>
                <w:rFonts w:ascii="Arial" w:hAnsi="Arial" w:cs="Arial"/>
                <w:color w:val="auto"/>
                <w:sz w:val="20"/>
                <w:u w:val="none"/>
              </w:rPr>
              <w:t>approves</w:t>
            </w:r>
            <w:r w:rsidRPr="005C43DF">
              <w:rPr>
                <w:rStyle w:val="Hyperlink"/>
                <w:rFonts w:ascii="Arial" w:hAnsi="Arial" w:cs="Arial"/>
                <w:color w:val="auto"/>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 xml:space="preserve">document on </w:t>
            </w:r>
            <w:r>
              <w:rPr>
                <w:rStyle w:val="Hyperlink"/>
                <w:rFonts w:ascii="Arial" w:hAnsi="Arial" w:cs="Arial"/>
                <w:color w:val="auto"/>
                <w:sz w:val="20"/>
                <w:u w:val="none"/>
              </w:rPr>
              <w:t>13</w:t>
            </w:r>
            <w:r>
              <w:rPr>
                <w:rStyle w:val="Hyperlink"/>
                <w:rFonts w:ascii="Arial" w:hAnsi="Arial" w:cs="Arial"/>
                <w:color w:val="auto"/>
                <w:sz w:val="20"/>
                <w:u w:val="none"/>
              </w:rPr>
              <w:t xml:space="preserve"> December</w:t>
            </w:r>
            <w:r w:rsidRPr="00E95B10">
              <w:rPr>
                <w:rStyle w:val="Hyperlink"/>
                <w:rFonts w:ascii="Arial" w:hAnsi="Arial" w:cs="Arial"/>
                <w:color w:val="auto"/>
                <w:sz w:val="20"/>
                <w:u w:val="none"/>
              </w:rPr>
              <w:t xml:space="preserve"> 2022.</w:t>
            </w:r>
          </w:p>
        </w:tc>
      </w:tr>
      <w:tr w:rsidR="00773B79" w:rsidRPr="00B664C5" w14:paraId="3586D58F"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26150B08" w14:textId="77777777" w:rsidR="00773B79" w:rsidRPr="00B664C5" w:rsidRDefault="00773B79" w:rsidP="00773B79">
            <w:pPr>
              <w:spacing w:before="60" w:after="60"/>
              <w:rPr>
                <w:rFonts w:ascii="Arial" w:hAnsi="Arial" w:cs="Arial"/>
                <w:sz w:val="20"/>
              </w:rPr>
            </w:pPr>
            <w:r>
              <w:rPr>
                <w:rFonts w:ascii="Arial" w:hAnsi="Arial" w:cs="Arial"/>
                <w:sz w:val="20"/>
              </w:rPr>
              <w:t>Australia ACMA</w:t>
            </w:r>
          </w:p>
          <w:p w14:paraId="105507B4" w14:textId="77777777" w:rsidR="00773B79" w:rsidRPr="009C4063" w:rsidRDefault="0046076B" w:rsidP="00773B79">
            <w:pPr>
              <w:spacing w:before="60" w:after="60"/>
              <w:rPr>
                <w:rFonts w:ascii="Arial" w:hAnsi="Arial" w:cs="Arial"/>
                <w:b w:val="0"/>
                <w:sz w:val="20"/>
              </w:rPr>
            </w:pPr>
            <w:hyperlink r:id="rId10" w:history="1">
              <w:r w:rsidR="00773B79" w:rsidRPr="00701C2A">
                <w:rPr>
                  <w:rStyle w:val="Hyperlink"/>
                  <w:rFonts w:ascii="Arial" w:hAnsi="Arial" w:cs="Arial"/>
                  <w:b w:val="0"/>
                  <w:bCs w:val="0"/>
                  <w:sz w:val="20"/>
                </w:rPr>
                <w:t>New arrangements for low interference potential devices</w:t>
              </w:r>
            </w:hyperlink>
          </w:p>
        </w:tc>
        <w:tc>
          <w:tcPr>
            <w:tcW w:w="1890" w:type="dxa"/>
          </w:tcPr>
          <w:p w14:paraId="2915370B" w14:textId="77777777" w:rsidR="00773B79" w:rsidRPr="00B664C5" w:rsidRDefault="00773B79"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2DED72BF" w14:textId="77777777" w:rsidR="00773B79" w:rsidRPr="00B664C5" w:rsidRDefault="00773B79"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57C363" w14:textId="3A7831FA" w:rsidR="00773B79" w:rsidRPr="00B664C5" w:rsidRDefault="0046076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1" w:history="1">
              <w:r w:rsidR="0010511E">
                <w:rPr>
                  <w:rStyle w:val="Hyperlink"/>
                  <w:rFonts w:ascii="Arial" w:hAnsi="Arial" w:cs="Arial"/>
                  <w:sz w:val="20"/>
                </w:rPr>
                <w:t>18-22/0142r8</w:t>
              </w:r>
            </w:hyperlink>
          </w:p>
        </w:tc>
        <w:tc>
          <w:tcPr>
            <w:tcW w:w="2695" w:type="dxa"/>
          </w:tcPr>
          <w:p w14:paraId="06EF50B6" w14:textId="77777777" w:rsidR="00773B79" w:rsidRPr="00E95B10" w:rsidRDefault="00773B79" w:rsidP="00773B7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25F7FBE2" w14:textId="4845614D" w:rsidR="0010511E" w:rsidRPr="0010511E" w:rsidRDefault="0010511E" w:rsidP="0010511E">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hyperlink r:id="rId1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tc>
      </w:tr>
      <w:tr w:rsidR="008D27EE" w:rsidRPr="00B664C5" w14:paraId="4A46650A"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DBC1C0C" w14:textId="77777777" w:rsidR="008D27EE" w:rsidRPr="00B664C5" w:rsidRDefault="008D27EE" w:rsidP="008D27EE">
            <w:pPr>
              <w:spacing w:before="60" w:after="60"/>
              <w:rPr>
                <w:rFonts w:ascii="Arial" w:hAnsi="Arial" w:cs="Arial"/>
                <w:sz w:val="20"/>
              </w:rPr>
            </w:pPr>
            <w:r w:rsidRPr="00B664C5">
              <w:rPr>
                <w:rFonts w:ascii="Arial" w:hAnsi="Arial" w:cs="Arial"/>
                <w:sz w:val="20"/>
              </w:rPr>
              <w:t>UK Ofcom</w:t>
            </w:r>
          </w:p>
          <w:p w14:paraId="5ACDAF81" w14:textId="5DA15EA5" w:rsidR="008D27EE" w:rsidRPr="008D27EE" w:rsidRDefault="0046076B" w:rsidP="008D27EE">
            <w:pPr>
              <w:spacing w:before="60" w:after="60"/>
              <w:rPr>
                <w:rFonts w:ascii="Arial" w:hAnsi="Arial" w:cs="Arial"/>
                <w:b w:val="0"/>
                <w:sz w:val="20"/>
              </w:rPr>
            </w:pPr>
            <w:hyperlink r:id="rId14" w:history="1">
              <w:r w:rsidR="008D27EE"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2EA7037A" w14:textId="5061B924" w:rsidR="008D27EE" w:rsidRPr="00B664C5" w:rsidRDefault="008D27EE" w:rsidP="008D27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1FD2CDD8" w14:textId="77777777" w:rsidR="008D27EE" w:rsidRDefault="008D27EE"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52F931C" w14:textId="665ECD8A" w:rsidR="008D27EE" w:rsidRDefault="008D27EE" w:rsidP="00773B7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D2B897D" w14:textId="1D980BF0" w:rsidR="008D27EE" w:rsidRPr="00E95B10" w:rsidRDefault="008D27EE" w:rsidP="00773B7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r w:rsidR="005C43DF" w:rsidRPr="00B664C5" w14:paraId="2926EB01" w14:textId="77777777" w:rsidTr="00CD0FAA">
        <w:tc>
          <w:tcPr>
            <w:cnfStyle w:val="001000000000" w:firstRow="0" w:lastRow="0" w:firstColumn="1" w:lastColumn="0" w:oddVBand="0" w:evenVBand="0" w:oddHBand="0" w:evenHBand="0" w:firstRowFirstColumn="0" w:firstRowLastColumn="0" w:lastRowFirstColumn="0" w:lastRowLastColumn="0"/>
            <w:tcW w:w="3145" w:type="dxa"/>
          </w:tcPr>
          <w:p w14:paraId="17CA69BE" w14:textId="68CF40B0" w:rsidR="005C43DF" w:rsidRPr="00B664C5" w:rsidRDefault="005C43DF" w:rsidP="00CD0FAA">
            <w:pPr>
              <w:spacing w:before="60" w:after="60"/>
              <w:rPr>
                <w:rFonts w:ascii="Arial" w:hAnsi="Arial" w:cs="Arial"/>
                <w:sz w:val="20"/>
              </w:rPr>
            </w:pPr>
            <w:r>
              <w:rPr>
                <w:rFonts w:ascii="Arial" w:hAnsi="Arial" w:cs="Arial"/>
                <w:sz w:val="20"/>
              </w:rPr>
              <w:t>Brazil ANATEL</w:t>
            </w:r>
          </w:p>
          <w:p w14:paraId="4B475D1D" w14:textId="6627635F" w:rsidR="005C43DF" w:rsidRPr="005C43DF" w:rsidRDefault="005C43DF" w:rsidP="00CD0FAA">
            <w:pPr>
              <w:spacing w:before="60" w:after="60"/>
              <w:rPr>
                <w:rFonts w:ascii="Arial" w:hAnsi="Arial" w:cs="Arial"/>
                <w:b w:val="0"/>
                <w:sz w:val="20"/>
              </w:rPr>
            </w:pPr>
            <w:hyperlink r:id="rId15" w:history="1">
              <w:r w:rsidRPr="005C43DF">
                <w:rPr>
                  <w:rStyle w:val="Hyperlink"/>
                  <w:rFonts w:ascii="Arial" w:hAnsi="Arial" w:cs="Arial"/>
                  <w:b w:val="0"/>
                  <w:bCs w:val="0"/>
                  <w:sz w:val="20"/>
                </w:rPr>
                <w:t>Automated Frequency Coordination System (5.925-7.125 MHz band)</w:t>
              </w:r>
            </w:hyperlink>
          </w:p>
        </w:tc>
        <w:tc>
          <w:tcPr>
            <w:tcW w:w="1890" w:type="dxa"/>
          </w:tcPr>
          <w:p w14:paraId="0BCBF921" w14:textId="3EB140B5" w:rsidR="005C43DF" w:rsidRPr="00B664C5" w:rsidRDefault="005C43DF" w:rsidP="00CD0F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w:t>
            </w:r>
            <w:r>
              <w:rPr>
                <w:rFonts w:ascii="Arial" w:hAnsi="Arial" w:cs="Arial"/>
                <w:sz w:val="20"/>
              </w:rPr>
              <w:t xml:space="preserve"> January 2023 </w:t>
            </w:r>
            <w:r w:rsidRPr="00B664C5">
              <w:rPr>
                <w:rFonts w:ascii="Arial" w:hAnsi="Arial" w:cs="Arial"/>
                <w:sz w:val="20"/>
              </w:rPr>
              <w:t xml:space="preserve">/ </w:t>
            </w:r>
            <w:r>
              <w:rPr>
                <w:rFonts w:ascii="Arial" w:hAnsi="Arial" w:cs="Arial"/>
                <w:sz w:val="20"/>
              </w:rPr>
              <w:t>5 January 2023</w:t>
            </w:r>
          </w:p>
          <w:p w14:paraId="2B21276E" w14:textId="77777777" w:rsidR="005C43DF" w:rsidRDefault="005C43DF" w:rsidP="00CD0F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1F26288" w14:textId="77777777" w:rsidR="005C43DF" w:rsidRDefault="005C43DF" w:rsidP="00CD0F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ABABE65" w14:textId="77777777" w:rsidR="005C43DF" w:rsidRPr="00E95B10" w:rsidRDefault="005C43DF" w:rsidP="00CD0F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7D70933F"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5C43DF">
        <w:rPr>
          <w:rFonts w:ascii="Arial" w:hAnsi="Arial" w:cs="Arial"/>
          <w:b/>
          <w:u w:val="single"/>
        </w:rPr>
        <w:t>15</w:t>
      </w:r>
      <w:r w:rsidR="00DB2AAB">
        <w:rPr>
          <w:rFonts w:ascii="Arial" w:hAnsi="Arial" w:cs="Arial"/>
          <w:b/>
          <w:u w:val="single"/>
        </w:rPr>
        <w:t xml:space="preserve"> December</w:t>
      </w:r>
      <w:r w:rsidR="00677672">
        <w:rPr>
          <w:rFonts w:ascii="Arial" w:hAnsi="Arial" w:cs="Arial"/>
          <w:b/>
          <w:u w:val="single"/>
        </w:rPr>
        <w:t xml:space="preserve">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46076B" w:rsidP="003D1D29">
            <w:pPr>
              <w:spacing w:before="60" w:after="60"/>
              <w:rPr>
                <w:rFonts w:ascii="Arial" w:hAnsi="Arial" w:cs="Arial"/>
                <w:sz w:val="20"/>
              </w:rPr>
            </w:pPr>
            <w:hyperlink r:id="rId16"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46076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46076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46076B" w:rsidP="003D1D29">
            <w:pPr>
              <w:spacing w:before="60" w:after="60"/>
              <w:rPr>
                <w:rFonts w:ascii="Arial" w:hAnsi="Arial" w:cs="Arial"/>
                <w:sz w:val="20"/>
              </w:rPr>
            </w:pPr>
            <w:hyperlink r:id="rId19"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46076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46076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46076B" w:rsidP="00220D5E">
            <w:pPr>
              <w:spacing w:before="60" w:after="60"/>
              <w:rPr>
                <w:rFonts w:ascii="Arial" w:hAnsi="Arial" w:cs="Arial"/>
                <w:b w:val="0"/>
                <w:sz w:val="20"/>
              </w:rPr>
            </w:pPr>
            <w:hyperlink r:id="rId22"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3"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4"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46076B" w:rsidP="00220D5E">
            <w:pPr>
              <w:spacing w:before="60" w:after="60"/>
              <w:rPr>
                <w:rFonts w:ascii="Arial" w:hAnsi="Arial" w:cs="Arial"/>
                <w:b w:val="0"/>
                <w:sz w:val="20"/>
              </w:rPr>
            </w:pPr>
            <w:hyperlink r:id="rId25"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6" w:history="1">
              <w:r w:rsidRPr="009B3280">
                <w:rPr>
                  <w:rStyle w:val="Hyperlink"/>
                  <w:rFonts w:ascii="Arial" w:hAnsi="Arial" w:cs="Arial"/>
                  <w:sz w:val="20"/>
                </w:rPr>
                <w:t>DSB-06 RABC edits v6</w:t>
              </w:r>
            </w:hyperlink>
            <w:r>
              <w:rPr>
                <w:rFonts w:ascii="Arial" w:hAnsi="Arial" w:cs="Arial"/>
                <w:sz w:val="20"/>
              </w:rPr>
              <w:t xml:space="preserve">) and a </w:t>
            </w:r>
            <w:hyperlink r:id="rId27"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46076B" w:rsidP="00220D5E">
            <w:pPr>
              <w:spacing w:before="60" w:after="60"/>
              <w:rPr>
                <w:rFonts w:ascii="Arial" w:hAnsi="Arial" w:cs="Arial"/>
                <w:b w:val="0"/>
                <w:sz w:val="20"/>
              </w:rPr>
            </w:pPr>
            <w:hyperlink r:id="rId28"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46076B"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0"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46076B" w:rsidP="00E44A54">
            <w:pPr>
              <w:spacing w:before="60" w:after="60"/>
              <w:rPr>
                <w:rFonts w:ascii="Arial" w:hAnsi="Arial" w:cs="Arial"/>
                <w:b w:val="0"/>
                <w:sz w:val="20"/>
              </w:rPr>
            </w:pPr>
            <w:hyperlink r:id="rId31"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BFFB1C" w14:textId="76F62163" w:rsidR="00394B9E"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p w14:paraId="51F563E7" w14:textId="77777777" w:rsidR="009920CC" w:rsidRPr="00B664C5" w:rsidRDefault="009920C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355A0"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46076B" w:rsidP="00B664C5">
            <w:pPr>
              <w:spacing w:before="60" w:after="60"/>
              <w:rPr>
                <w:rFonts w:ascii="Arial" w:hAnsi="Arial" w:cs="Arial"/>
                <w:b w:val="0"/>
                <w:sz w:val="20"/>
              </w:rPr>
            </w:pPr>
            <w:hyperlink r:id="rId32"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lastRenderedPageBreak/>
              <w:t>China MIIT</w:t>
            </w:r>
          </w:p>
          <w:p w14:paraId="13FC6050" w14:textId="77777777" w:rsidR="00DB2AAB" w:rsidRPr="00B3289C" w:rsidRDefault="0046076B" w:rsidP="00773B79">
            <w:pPr>
              <w:spacing w:before="60" w:after="60"/>
              <w:rPr>
                <w:rFonts w:ascii="Arial" w:hAnsi="Arial" w:cs="Arial"/>
                <w:b w:val="0"/>
                <w:sz w:val="20"/>
              </w:rPr>
            </w:pPr>
            <w:hyperlink r:id="rId33"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46076B" w:rsidP="00B664C5">
            <w:pPr>
              <w:spacing w:before="60" w:after="60"/>
              <w:rPr>
                <w:rFonts w:ascii="Arial" w:hAnsi="Arial" w:cs="Arial"/>
                <w:b w:val="0"/>
                <w:sz w:val="20"/>
              </w:rPr>
            </w:pPr>
            <w:hyperlink r:id="rId34"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46076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7"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46076B"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46076B" w:rsidP="00B664C5">
            <w:pPr>
              <w:spacing w:before="60" w:after="60"/>
              <w:rPr>
                <w:rFonts w:ascii="Arial" w:hAnsi="Arial" w:cs="Arial"/>
                <w:b w:val="0"/>
                <w:sz w:val="20"/>
              </w:rPr>
            </w:pPr>
            <w:hyperlink r:id="rId39" w:history="1">
              <w:r w:rsidR="00F869E3"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46076B"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46076B" w:rsidP="00B664C5">
            <w:pPr>
              <w:spacing w:before="60" w:after="60"/>
              <w:rPr>
                <w:rFonts w:ascii="Arial" w:hAnsi="Arial" w:cs="Arial"/>
                <w:b w:val="0"/>
                <w:color w:val="0000FF"/>
                <w:sz w:val="20"/>
              </w:rPr>
            </w:pPr>
            <w:hyperlink r:id="rId43"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46076B" w:rsidP="00B664C5">
            <w:pPr>
              <w:spacing w:before="60" w:after="60"/>
              <w:rPr>
                <w:rFonts w:ascii="Arial" w:hAnsi="Arial" w:cs="Arial"/>
                <w:b w:val="0"/>
                <w:sz w:val="20"/>
              </w:rPr>
            </w:pPr>
            <w:hyperlink r:id="rId44"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46076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5"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79133C"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46076B" w:rsidP="00E44A54">
            <w:pPr>
              <w:spacing w:before="60" w:after="60"/>
              <w:rPr>
                <w:rFonts w:ascii="Arial" w:hAnsi="Arial" w:cs="Arial"/>
                <w:sz w:val="20"/>
              </w:rPr>
            </w:pPr>
            <w:hyperlink r:id="rId48"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46076B" w:rsidP="00E44A54">
            <w:pPr>
              <w:spacing w:before="60" w:after="60"/>
              <w:rPr>
                <w:rFonts w:ascii="Arial" w:hAnsi="Arial" w:cs="Arial"/>
                <w:b w:val="0"/>
                <w:sz w:val="20"/>
              </w:rPr>
            </w:pPr>
            <w:hyperlink r:id="rId49"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46076B"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0"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2"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513792"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46076B" w:rsidP="00405641">
            <w:pPr>
              <w:spacing w:before="60" w:after="60"/>
              <w:rPr>
                <w:rFonts w:ascii="Arial" w:hAnsi="Arial" w:cs="Arial"/>
                <w:b w:val="0"/>
                <w:sz w:val="20"/>
              </w:rPr>
            </w:pPr>
            <w:hyperlink r:id="rId53"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5282A"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46076B" w:rsidP="00405641">
            <w:pPr>
              <w:spacing w:before="60" w:after="60"/>
              <w:rPr>
                <w:rFonts w:ascii="Arial" w:hAnsi="Arial" w:cs="Arial"/>
                <w:b w:val="0"/>
                <w:sz w:val="20"/>
              </w:rPr>
            </w:pPr>
            <w:hyperlink r:id="rId54"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46076B"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5"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6"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7"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133C" w:rsidRPr="00B664C5" w14:paraId="21F25083"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Norway Nkom</w:t>
            </w:r>
          </w:p>
          <w:p w14:paraId="4EA04B53" w14:textId="77777777" w:rsidR="0079133C" w:rsidRPr="00B664C5" w:rsidRDefault="0046076B" w:rsidP="00E44A54">
            <w:pPr>
              <w:spacing w:before="60" w:after="60"/>
              <w:rPr>
                <w:rFonts w:ascii="Arial" w:hAnsi="Arial" w:cs="Arial"/>
                <w:b w:val="0"/>
                <w:sz w:val="20"/>
              </w:rPr>
            </w:pPr>
            <w:hyperlink r:id="rId58"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B664C5" w14:paraId="225169F4"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138203C" w14:textId="77777777" w:rsidR="00513792" w:rsidRPr="00B664C5" w:rsidRDefault="00513792" w:rsidP="00405641">
            <w:pPr>
              <w:spacing w:before="60" w:after="60"/>
              <w:rPr>
                <w:rFonts w:ascii="Arial" w:hAnsi="Arial" w:cs="Arial"/>
                <w:sz w:val="20"/>
              </w:rPr>
            </w:pPr>
            <w:r w:rsidRPr="00B664C5">
              <w:rPr>
                <w:rFonts w:ascii="Arial" w:hAnsi="Arial" w:cs="Arial"/>
                <w:sz w:val="20"/>
              </w:rPr>
              <w:t>Portugal ANACOM</w:t>
            </w:r>
          </w:p>
          <w:p w14:paraId="113995C3" w14:textId="77777777" w:rsidR="00513792" w:rsidRPr="00B664C5" w:rsidRDefault="0046076B" w:rsidP="00405641">
            <w:pPr>
              <w:spacing w:before="60" w:after="60"/>
              <w:rPr>
                <w:rFonts w:ascii="Arial" w:hAnsi="Arial" w:cs="Arial"/>
                <w:b w:val="0"/>
                <w:sz w:val="20"/>
              </w:rPr>
            </w:pPr>
            <w:hyperlink r:id="rId59" w:history="1">
              <w:r w:rsidR="00513792" w:rsidRPr="00B664C5">
                <w:rPr>
                  <w:rStyle w:val="Hyperlink"/>
                  <w:rFonts w:ascii="Arial" w:hAnsi="Arial" w:cs="Arial"/>
                  <w:b w:val="0"/>
                  <w:bCs w:val="0"/>
                  <w:sz w:val="20"/>
                </w:rPr>
                <w:t>Consultation on the Spectrum strategic plan</w:t>
              </w:r>
            </w:hyperlink>
          </w:p>
        </w:tc>
        <w:tc>
          <w:tcPr>
            <w:tcW w:w="1890" w:type="dxa"/>
          </w:tcPr>
          <w:p w14:paraId="693305F8"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6578FAC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D39452F"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9201250"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E6B52D0" w14:textId="1A6FE3FE"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54E7E8" w14:textId="6EA785E5"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46076B" w:rsidP="00405641">
            <w:pPr>
              <w:spacing w:before="60" w:after="60"/>
              <w:rPr>
                <w:rFonts w:ascii="Arial" w:hAnsi="Arial" w:cs="Arial"/>
                <w:sz w:val="20"/>
              </w:rPr>
            </w:pPr>
            <w:hyperlink r:id="rId60"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46076B" w:rsidP="00B664C5">
            <w:pPr>
              <w:spacing w:before="60" w:after="60"/>
              <w:rPr>
                <w:rFonts w:ascii="Arial" w:hAnsi="Arial" w:cs="Arial"/>
                <w:sz w:val="20"/>
              </w:rPr>
            </w:pPr>
            <w:hyperlink r:id="rId61"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2"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9133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46076B" w:rsidP="00B664C5">
            <w:pPr>
              <w:spacing w:before="60" w:after="60"/>
              <w:rPr>
                <w:rFonts w:ascii="Arial" w:hAnsi="Arial" w:cs="Arial"/>
                <w:sz w:val="20"/>
              </w:rPr>
            </w:pPr>
            <w:hyperlink r:id="rId63"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4"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79133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46076B" w:rsidP="00B664C5">
            <w:pPr>
              <w:spacing w:before="60" w:after="60"/>
              <w:rPr>
                <w:rFonts w:ascii="Arial" w:hAnsi="Arial" w:cs="Arial"/>
                <w:sz w:val="20"/>
              </w:rPr>
            </w:pPr>
            <w:hyperlink r:id="rId65"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6"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21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2126B8">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2126B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2126B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CD0FAA">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CD0FAA">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CD0F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CD0FA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34DA9BAD" w:rsidR="00953D59" w:rsidRPr="00B664C5" w:rsidRDefault="005C43DF" w:rsidP="006A7BEC">
            <w:pPr>
              <w:spacing w:before="60" w:after="60"/>
              <w:rPr>
                <w:rFonts w:ascii="Arial" w:hAnsi="Arial" w:cs="Arial"/>
                <w:sz w:val="18"/>
                <w:szCs w:val="18"/>
              </w:rPr>
            </w:pPr>
            <w:r>
              <w:rPr>
                <w:rFonts w:ascii="Arial" w:hAnsi="Arial" w:cs="Arial"/>
                <w:sz w:val="18"/>
                <w:szCs w:val="18"/>
              </w:rPr>
              <w:t>50</w:t>
            </w:r>
          </w:p>
        </w:tc>
        <w:tc>
          <w:tcPr>
            <w:tcW w:w="1890" w:type="dxa"/>
          </w:tcPr>
          <w:p w14:paraId="7CB06350" w14:textId="70929914" w:rsidR="00953D59" w:rsidRPr="00B664C5" w:rsidRDefault="005C43DF" w:rsidP="009872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15 </w:t>
            </w:r>
            <w:r w:rsidR="000B35E1">
              <w:rPr>
                <w:rFonts w:ascii="Arial" w:hAnsi="Arial" w:cs="Arial"/>
                <w:sz w:val="18"/>
                <w:szCs w:val="18"/>
              </w:rPr>
              <w:t>December</w:t>
            </w:r>
            <w:r w:rsidR="007A6B7A" w:rsidRPr="00B664C5">
              <w:rPr>
                <w:rFonts w:ascii="Arial" w:hAnsi="Arial" w:cs="Arial"/>
                <w:sz w:val="18"/>
                <w:szCs w:val="18"/>
              </w:rPr>
              <w:t xml:space="preserve"> 2022</w:t>
            </w:r>
          </w:p>
        </w:tc>
        <w:tc>
          <w:tcPr>
            <w:tcW w:w="6475" w:type="dxa"/>
          </w:tcPr>
          <w:p w14:paraId="15DEF3BE" w14:textId="1B771AF1" w:rsidR="00953D59" w:rsidRPr="00B664C5" w:rsidRDefault="00DC0E5C" w:rsidP="005C4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sidR="005C43DF">
              <w:rPr>
                <w:rFonts w:ascii="Arial" w:hAnsi="Arial" w:cs="Arial"/>
                <w:sz w:val="18"/>
                <w:szCs w:val="18"/>
              </w:rPr>
              <w:t>open</w:t>
            </w:r>
            <w:bookmarkStart w:id="0" w:name="_GoBack"/>
            <w:bookmarkEnd w:id="0"/>
            <w:r>
              <w:rPr>
                <w:rFonts w:ascii="Arial" w:hAnsi="Arial" w:cs="Arial"/>
                <w:sz w:val="18"/>
                <w:szCs w:val="18"/>
              </w:rPr>
              <w:t xml:space="preserve">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D3D0" w14:textId="77777777" w:rsidR="0046076B" w:rsidRDefault="0046076B">
      <w:r>
        <w:separator/>
      </w:r>
    </w:p>
  </w:endnote>
  <w:endnote w:type="continuationSeparator" w:id="0">
    <w:p w14:paraId="23730BF5" w14:textId="77777777" w:rsidR="0046076B" w:rsidRDefault="004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773B79" w:rsidRPr="00F869E3" w:rsidRDefault="00773B79">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07475C">
      <w:rPr>
        <w:noProof/>
        <w:lang w:val="fr-CA"/>
      </w:rPr>
      <w:t>1</w:t>
    </w:r>
    <w:r>
      <w:fldChar w:fldCharType="end"/>
    </w:r>
    <w:r w:rsidRPr="00F869E3">
      <w:rPr>
        <w:lang w:val="fr-CA"/>
      </w:rPr>
      <w:tab/>
      <w:t>Edward Au, Huawei</w:t>
    </w:r>
  </w:p>
  <w:p w14:paraId="64FB0C97" w14:textId="77777777" w:rsidR="00773B79" w:rsidRPr="00F869E3" w:rsidRDefault="00773B7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51457" w14:textId="77777777" w:rsidR="0046076B" w:rsidRDefault="0046076B">
      <w:r>
        <w:separator/>
      </w:r>
    </w:p>
  </w:footnote>
  <w:footnote w:type="continuationSeparator" w:id="0">
    <w:p w14:paraId="16061005" w14:textId="77777777" w:rsidR="0046076B" w:rsidRDefault="0046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6ACDDAE" w:rsidR="00773B79" w:rsidRDefault="00773B79" w:rsidP="0012286A">
    <w:pPr>
      <w:pStyle w:val="Header"/>
      <w:tabs>
        <w:tab w:val="clear" w:pos="6480"/>
        <w:tab w:val="center" w:pos="4680"/>
        <w:tab w:val="right" w:pos="9360"/>
      </w:tabs>
      <w:jc w:val="both"/>
    </w:pPr>
    <w:r>
      <w:t>December 2022</w:t>
    </w:r>
    <w:r>
      <w:tab/>
    </w:r>
    <w:r>
      <w:tab/>
    </w:r>
    <w:fldSimple w:instr=" TITLE  \* MERGEFORMAT ">
      <w:r>
        <w:t>doc.: IEEE 802.18-22/0035r</w:t>
      </w:r>
      <w:r w:rsidR="005C43DF">
        <w:t>50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81B7B"/>
    <w:rsid w:val="00096943"/>
    <w:rsid w:val="000A04CA"/>
    <w:rsid w:val="000A45A3"/>
    <w:rsid w:val="000A5C2C"/>
    <w:rsid w:val="000A5D5D"/>
    <w:rsid w:val="000B20BE"/>
    <w:rsid w:val="000B35E1"/>
    <w:rsid w:val="000C6212"/>
    <w:rsid w:val="000D126D"/>
    <w:rsid w:val="000D14E0"/>
    <w:rsid w:val="000D4BC3"/>
    <w:rsid w:val="000F09E4"/>
    <w:rsid w:val="0010511E"/>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37534"/>
    <w:rsid w:val="00342F11"/>
    <w:rsid w:val="00343020"/>
    <w:rsid w:val="00344D79"/>
    <w:rsid w:val="00367330"/>
    <w:rsid w:val="00372096"/>
    <w:rsid w:val="003800E3"/>
    <w:rsid w:val="00382E4A"/>
    <w:rsid w:val="00386112"/>
    <w:rsid w:val="00392A27"/>
    <w:rsid w:val="00394B9E"/>
    <w:rsid w:val="003A188C"/>
    <w:rsid w:val="003A23DF"/>
    <w:rsid w:val="003A6C0C"/>
    <w:rsid w:val="003D1D29"/>
    <w:rsid w:val="003F2A42"/>
    <w:rsid w:val="004047B6"/>
    <w:rsid w:val="00405641"/>
    <w:rsid w:val="00406A80"/>
    <w:rsid w:val="00411B0F"/>
    <w:rsid w:val="004129A5"/>
    <w:rsid w:val="004158AC"/>
    <w:rsid w:val="00417E1F"/>
    <w:rsid w:val="00440D82"/>
    <w:rsid w:val="004417F5"/>
    <w:rsid w:val="00443E15"/>
    <w:rsid w:val="00444243"/>
    <w:rsid w:val="00446B85"/>
    <w:rsid w:val="00451D27"/>
    <w:rsid w:val="00457969"/>
    <w:rsid w:val="0046076B"/>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D4A14"/>
    <w:rsid w:val="005E2F85"/>
    <w:rsid w:val="005E3EB0"/>
    <w:rsid w:val="005E6530"/>
    <w:rsid w:val="006022D2"/>
    <w:rsid w:val="006112ED"/>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540A"/>
    <w:rsid w:val="00821BBF"/>
    <w:rsid w:val="008504AF"/>
    <w:rsid w:val="00852D2A"/>
    <w:rsid w:val="00854F01"/>
    <w:rsid w:val="00860292"/>
    <w:rsid w:val="00864197"/>
    <w:rsid w:val="00874BCE"/>
    <w:rsid w:val="00882708"/>
    <w:rsid w:val="0089231A"/>
    <w:rsid w:val="00892CEC"/>
    <w:rsid w:val="00892E52"/>
    <w:rsid w:val="008B2412"/>
    <w:rsid w:val="008B778E"/>
    <w:rsid w:val="008C2F20"/>
    <w:rsid w:val="008C4D70"/>
    <w:rsid w:val="008D27EE"/>
    <w:rsid w:val="008D5BF1"/>
    <w:rsid w:val="008E1D90"/>
    <w:rsid w:val="008E21C9"/>
    <w:rsid w:val="008F0ABE"/>
    <w:rsid w:val="008F2B2A"/>
    <w:rsid w:val="008F6950"/>
    <w:rsid w:val="00911708"/>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E0A"/>
    <w:rsid w:val="00DC0E5C"/>
    <w:rsid w:val="00DC408B"/>
    <w:rsid w:val="00DC499A"/>
    <w:rsid w:val="00DD4412"/>
    <w:rsid w:val="00DD48A1"/>
    <w:rsid w:val="00DE1B00"/>
    <w:rsid w:val="00DE37A1"/>
    <w:rsid w:val="00DF1C9F"/>
    <w:rsid w:val="00DF6B6D"/>
    <w:rsid w:val="00DF7709"/>
    <w:rsid w:val="00DF7CB3"/>
    <w:rsid w:val="00E002FE"/>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secmail/msg27904.html" TargetMode="External"/><Relationship Id="rId18" Type="http://schemas.openxmlformats.org/officeDocument/2006/relationships/hyperlink" Target="https://www.ic.gc.ca/eic/site/smt-gst.nsf/eng/sf11790.html" TargetMode="External"/><Relationship Id="rId26" Type="http://schemas.openxmlformats.org/officeDocument/2006/relationships/hyperlink" Target="https://www.rabc-cccr.ca/download/41/closed-consultations/10681/dbs-06-rabc-edits-v6.docx" TargetMode="External"/><Relationship Id="rId39" Type="http://schemas.openxmlformats.org/officeDocument/2006/relationships/hyperlink" Target="https://rspg-spectrum.eu/wp-content/uploads/2022/06/RSPG22-014final-Draft_RSPG_Opinion_WRC23.pdf" TargetMode="External"/><Relationship Id="rId21" Type="http://schemas.openxmlformats.org/officeDocument/2006/relationships/hyperlink" Target="https://www.ic.gc.ca/eic/site/smt-gst.nsf/eng/sf11791.html" TargetMode="External"/><Relationship Id="rId34" Type="http://schemas.openxmlformats.org/officeDocument/2006/relationships/hyperlink" Target="https://ec.europa.eu/info/law/better-regulation/have-your-say/initiatives/13445-World-Radiocommunication-Conference-2023-EU-position_en" TargetMode="External"/><Relationship Id="rId42" Type="http://schemas.openxmlformats.org/officeDocument/2006/relationships/hyperlink" Target="https://www.ieee802.org/secmail/msg27559.html" TargetMode="External"/><Relationship Id="rId47" Type="http://schemas.openxmlformats.org/officeDocument/2006/relationships/hyperlink" Target="https://www.ieee802.org/secmail/msg27630.html" TargetMode="External"/><Relationship Id="rId50" Type="http://schemas.openxmlformats.org/officeDocument/2006/relationships/hyperlink" Target="https://mentor.ieee.org/802.18/dcn/22/18-22-0119-09-0000-proposed-response-to-india-trai-consultation-on-ai-and-bd.docx" TargetMode="External"/><Relationship Id="rId55" Type="http://schemas.openxmlformats.org/officeDocument/2006/relationships/hyperlink" Target="https://mentor.ieee.org/802.18/dcn/22/18-22-0120-07-0000-contribution-for-nkcom-consultation.docx" TargetMode="External"/><Relationship Id="rId63" Type="http://schemas.openxmlformats.org/officeDocument/2006/relationships/hyperlink" Target="https://www.govinfo.gov/content/pkg/FR-2022-05-13/pdf/2022-09938.pdf" TargetMode="External"/><Relationship Id="rId68"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c.gc.ca/eic/site/smt-gst.nsf/eng/sf11767.html" TargetMode="External"/><Relationship Id="rId29" Type="http://schemas.openxmlformats.org/officeDocument/2006/relationships/hyperlink" Target="https://www.rabc-cccr.ca/download/41/closed-consultations/10683/cpc-4-1-01-application-procedures-for-dsasas-rabc-edits-v1.docx" TargetMode="External"/><Relationship Id="rId11" Type="http://schemas.openxmlformats.org/officeDocument/2006/relationships/hyperlink" Target="https://mentor.ieee.org/802.18/dcn/22/18-22-0142-08-0000-acma-response.docx" TargetMode="External"/><Relationship Id="rId24" Type="http://schemas.openxmlformats.org/officeDocument/2006/relationships/hyperlink" Target="https://www.rabc-cccr.ca/download/41/closed-consultations/10684/letter-6-ghz-standards-2022-07-18.pdf" TargetMode="External"/><Relationship Id="rId32" Type="http://schemas.openxmlformats.org/officeDocument/2006/relationships/hyperlink" Target="https://www.miit.gov.cn/gzcy/yjzj/art/2022/art_9229ec0d785a4261a2b7be2454efa9ab.html" TargetMode="External"/><Relationship Id="rId37" Type="http://schemas.openxmlformats.org/officeDocument/2006/relationships/hyperlink" Target="https://www.ieee802.org/secmail/msg27487.html" TargetMode="External"/><Relationship Id="rId40" Type="http://schemas.openxmlformats.org/officeDocument/2006/relationships/hyperlink" Target="https://mentor.ieee.org/802.18/dcn/22/18-22-0077-10-0000-proposed-response-to-rspg.docx" TargetMode="External"/><Relationship Id="rId45" Type="http://schemas.openxmlformats.org/officeDocument/2006/relationships/hyperlink" Target="https://mentor.ieee.org/802.18/dcn/22/18-22-0111-07-0000-proposed-response-to-france-arcep-on-preparing-for-the-future-of-mobile-networks.docx" TargetMode="External"/><Relationship Id="rId53"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8" Type="http://schemas.openxmlformats.org/officeDocument/2006/relationships/hyperlink" Target="https://www.nkom.no/aktuelt/frekvensbehov-mot-2030" TargetMode="External"/><Relationship Id="rId66" Type="http://schemas.openxmlformats.org/officeDocument/2006/relationships/hyperlink" Target="https://www.fcc.gov/ecfs/search/search-filings/results?proceedings_name=22-248" TargetMode="External"/><Relationship Id="rId5" Type="http://schemas.openxmlformats.org/officeDocument/2006/relationships/webSettings" Target="webSettings.xml"/><Relationship Id="rId15" Type="http://schemas.openxmlformats.org/officeDocument/2006/relationships/hyperlink" Target="https://apps.anatel.gov.br/ParticipaAnatel/VisualizarTextoConsulta.aspx?TelaDeOrigem=2&amp;ConsultaId=10088" TargetMode="External"/><Relationship Id="rId23" Type="http://schemas.openxmlformats.org/officeDocument/2006/relationships/hyperlink" Target="https://www.rabc-cccr.ca/download/41/closed-consultations/10682/rss-248-issue-2-rabc-edits-v4.docx" TargetMode="External"/><Relationship Id="rId28" Type="http://schemas.openxmlformats.org/officeDocument/2006/relationships/hyperlink" Target="https://www.rabc-cccr.ca/ised-application-procedures-cpc-4-1-01-issue-2-may-2022-draft-application-procedures-for-dynamic-spectrum-access-system-administrators-dsasas/" TargetMode="External"/><Relationship Id="rId36" Type="http://schemas.openxmlformats.org/officeDocument/2006/relationships/hyperlink" Target="https://mentor.ieee.org/802.18/dcn/22/18-22-0062-03-0000-rr-tag-2022-july-plenary-agenda.pptx" TargetMode="External"/><Relationship Id="rId49" Type="http://schemas.openxmlformats.org/officeDocument/2006/relationships/hyperlink" Target="https://www.trai.gov.in/sites/default/files/CP_05082022_0.pdf" TargetMode="External"/><Relationship Id="rId57" Type="http://schemas.openxmlformats.org/officeDocument/2006/relationships/hyperlink" Target="https://mentor.ieee.org/802-ec/dcn/22/ec-22-0176-00-00EC-04-oct-2022-802-ec-monthly-teleconference-minutes.pdf" TargetMode="External"/><Relationship Id="rId6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0" Type="http://schemas.openxmlformats.org/officeDocument/2006/relationships/hyperlink" Target="https://www.acma.gov.au/consultations/2022-10/new-arrangements-low-interference-potential-devices-consultation-352022" TargetMode="External"/><Relationship Id="rId19" Type="http://schemas.openxmlformats.org/officeDocument/2006/relationships/hyperlink" Target="https://www.ic.gc.ca/eic/site/smt-gst.nsf/eng/sf11766.html" TargetMode="External"/><Relationship Id="rId31" Type="http://schemas.openxmlformats.org/officeDocument/2006/relationships/hyperlink" Target="https://www.ic.gc.ca/eic/site/smt-gst.nsf/eng/sf11817.html" TargetMode="External"/><Relationship Id="rId44" Type="http://schemas.openxmlformats.org/officeDocument/2006/relationships/hyperlink" Target="http://www.arcep.fr/actualites/les-communiques-de-presse/detail/n/frequences-230522.html" TargetMode="External"/><Relationship Id="rId52" Type="http://schemas.openxmlformats.org/officeDocument/2006/relationships/hyperlink" Target="https://www.trai.gov.in/consultation-paper-leveraging-artificial-intelligence-and-big-data-telecommunication-sector" TargetMode="External"/><Relationship Id="rId60" Type="http://schemas.openxmlformats.org/officeDocument/2006/relationships/hyperlink" Target="https://pts.se/sv/dokument/remisser/radio/2022/pts-efterfragar-synpunkter-i-arbetet-med-ny-spektrumstrategi/" TargetMode="External"/><Relationship Id="rId65" Type="http://schemas.openxmlformats.org/officeDocument/2006/relationships/hyperlink" Target="https://docs.fcc.gov/public/attachments/DA-22-700A1.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2/18-22-0152-09-0000-2022-dec-802-lmsc-response-to-japan-mic.pdf" TargetMode="External"/><Relationship Id="rId14" Type="http://schemas.openxmlformats.org/officeDocument/2006/relationships/hyperlink" Target="https://www.ofcom.org.uk/consultations-and-statements/category-2/proposal-to-make-the-wireless-telegraphy-exemption-amendment-regulations-2023" TargetMode="External"/><Relationship Id="rId22" Type="http://schemas.openxmlformats.org/officeDocument/2006/relationships/hyperlink" Target="https://www.rabc-cccr.ca/ised-radio-standards-specifications-rss-248-issue-2-may-2022-draft-radio-local-area-network-rlan-devices-in-the-5925-7125-mhz-band/"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www.rabc-cccr.ca/download/41/closed-consultations/10684/letter-6-ghz-standards-2022-07-18.pdf" TargetMode="External"/><Relationship Id="rId35" Type="http://schemas.openxmlformats.org/officeDocument/2006/relationships/hyperlink" Target="https://mentor.ieee.org/802.18/dcn/22/18-22-0073-08-0000-proposed-response-to-ec-consultation-on-better-regulation-initative.docx" TargetMode="External"/><Relationship Id="rId43" Type="http://schemas.openxmlformats.org/officeDocument/2006/relationships/hyperlink" Target="https://www.arcep.fr/actualites/les-consultations-publiques/p/gp/detail/utilisation-spectre-radioelectrique-frequences-wifi-5ghz-010722.html" TargetMode="External"/><Relationship Id="rId48" Type="http://schemas.openxmlformats.org/officeDocument/2006/relationships/hyperlink" Target="https://dot.gov.in/relatedlinks/indian-telecommunication-bill-2022" TargetMode="External"/><Relationship Id="rId56" Type="http://schemas.openxmlformats.org/officeDocument/2006/relationships/hyperlink" Target="https://mentor.ieee.org/802.18/dcn/22/18-22-0115-03-0000-rr-tag-agenda-29-september-2022.pptx" TargetMode="External"/><Relationship Id="rId64" Type="http://schemas.openxmlformats.org/officeDocument/2006/relationships/hyperlink" Target="https://www.fcc.gov/ecfs/search/search-filings/results?proceedings_name=22-137" TargetMode="External"/><Relationship Id="rId69" Type="http://schemas.openxmlformats.org/officeDocument/2006/relationships/hyperlink" Target="https://www.ofcom.org.uk/consultations-and-statements/category-2/spectrum-sharing-upper-6-ghz-band" TargetMode="External"/><Relationship Id="rId8" Type="http://schemas.openxmlformats.org/officeDocument/2006/relationships/hyperlink" Target="https://www.soumu.go.jp/menu_news/s-news/01kiban10_02000041.html" TargetMode="External"/><Relationship Id="rId51" Type="http://schemas.openxmlformats.org/officeDocument/2006/relationships/hyperlink" Target="https://mentor.ieee.org/802.18/dcn/22/18-22-0139-02-0000-rr-tag-agenda-3-november-2022.ppt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2/18-22-0126-06-0000-rr-tag-2022-november-plenary-agenda.pptx" TargetMode="External"/><Relationship Id="rId17" Type="http://schemas.openxmlformats.org/officeDocument/2006/relationships/hyperlink" Target="https://www.ic.gc.ca/eic/site/smt-gst.nsf/eng/sf11785.html" TargetMode="External"/><Relationship Id="rId25" Type="http://schemas.openxmlformats.org/officeDocument/2006/relationships/hyperlink" Target="https://www.rabc-cccr.ca/ised-database-specifications-dbs-06-issue-1-may-2022-draft-automated-frequency-coordination-afc-system-specifications-for-the-6-ghz-5925-6875-mhz-frequency-band/" TargetMode="External"/><Relationship Id="rId33" Type="http://schemas.openxmlformats.org/officeDocument/2006/relationships/hyperlink" Target="https://www.miit.gov.cn/gzcy/yjzj/art/2022/art_1fade0b65d8140698eb6c7ae1714ec73.html" TargetMode="External"/><Relationship Id="rId38" Type="http://schemas.openxmlformats.org/officeDocument/2006/relationships/hyperlink" Target="https://ec.europa.eu/info/law/better-regulation/have-your-say/initiatives/13445-World-Radiocommunication-Conference-2023-EU-position/feedback_en?p_id=31242292" TargetMode="External"/><Relationship Id="rId46" Type="http://schemas.openxmlformats.org/officeDocument/2006/relationships/hyperlink" Target="https://mentor.ieee.org/802.18/dcn/22/18-22-0109-02-0000-rr-tag-agenda-8-september-2022.pptx" TargetMode="External"/><Relationship Id="rId59" Type="http://schemas.openxmlformats.org/officeDocument/2006/relationships/hyperlink" Target="https://www.anacom.pt/render.jsp?contentId=1728783" TargetMode="External"/><Relationship Id="rId67" Type="http://schemas.openxmlformats.org/officeDocument/2006/relationships/hyperlink" Target="https://www.fcc.gov/document/fcc-launches-proceeding-promoting-receiver-performance-0" TargetMode="External"/><Relationship Id="rId20" Type="http://schemas.openxmlformats.org/officeDocument/2006/relationships/hyperlink" Target="https://www.ic.gc.ca/eic/site/smt-gst.nsf/eng/sf11786.html" TargetMode="External"/><Relationship Id="rId41" Type="http://schemas.openxmlformats.org/officeDocument/2006/relationships/hyperlink" Target="https://mentor.ieee.org/802.18/dcn/22/18-22-0079-01-0000-rr-tag-agenda-28-july-2022.pptx" TargetMode="External"/><Relationship Id="rId54" Type="http://schemas.openxmlformats.org/officeDocument/2006/relationships/hyperlink" Target="https://www.nkom.no/aktuelt/horing-av-forslag-til-endringer-i-fribruksforskriften-2022" TargetMode="External"/><Relationship Id="rId62" Type="http://schemas.openxmlformats.org/officeDocument/2006/relationships/hyperlink" Target="https://www.fcc.gov/ecfs/search/search-filings/results?proceedings_name=18-29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FF85-1471-46E5-AE23-E1517834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1214</TotalTime>
  <Pages>1</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802.18-22/0035r49</vt:lpstr>
    </vt:vector>
  </TitlesOfParts>
  <Manager/>
  <Company>Some Company</Company>
  <LinksUpToDate>false</LinksUpToDate>
  <CharactersWithSpaces>20110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802.18-22/0035r50</dc:title>
  <dc:subject>Submission</dc:subject>
  <dc:creator>Edward Au</dc:creator>
  <cp:keywords>Status of ongoing consultations and TAG documents for approval</cp:keywords>
  <dc:description/>
  <cp:lastModifiedBy>Edward Au</cp:lastModifiedBy>
  <cp:revision>233</cp:revision>
  <cp:lastPrinted>2022-03-23T17:30:00Z</cp:lastPrinted>
  <dcterms:created xsi:type="dcterms:W3CDTF">2022-06-06T09:38:00Z</dcterms:created>
  <dcterms:modified xsi:type="dcterms:W3CDTF">2022-12-15T14:47:00Z</dcterms:modified>
  <cp:category/>
</cp:coreProperties>
</file>