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word/footer1.xml" ContentType="application/vnd.openxmlformats-officedocument.wordprocessingml.footer+xml"/>
  <Default Extension="jpeg" ContentType="image/jpe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00002pt;width:13.15pt;height:842pt;mso-position-horizontal-relative:page;mso-position-vertical-relative:page;z-index:-45736" coordorigin="0,0" coordsize="263,16840">
            <v:shape style="position:absolute;left:0;top:0;width:263;height:16840" type="#_x0000_t75" stroked="false">
              <v:imagedata r:id="rId5" o:title=""/>
            </v:shape>
            <v:rect style="position:absolute;left:0;top:0;width:198;height:16837" filled="true" fillcolor="#404040" stroked="false">
              <v:fill type="solid"/>
            </v:rect>
            <w10:wrap type="none"/>
          </v:group>
        </w:pic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5"/>
        <w:rPr>
          <w:rFonts w:ascii="Times New Roman"/>
          <w:sz w:val="24"/>
        </w:rPr>
      </w:pPr>
    </w:p>
    <w:p>
      <w:pPr>
        <w:pStyle w:val="BodyText"/>
        <w:ind w:left="8484"/>
        <w:rPr>
          <w:rFonts w:ascii="Times New Roman"/>
          <w:sz w:val="20"/>
        </w:rPr>
      </w:pPr>
      <w:r>
        <w:rPr>
          <w:rFonts w:ascii="Times New Roman"/>
          <w:sz w:val="20"/>
        </w:rPr>
        <w:drawing>
          <wp:inline distT="0" distB="0" distL="0" distR="0">
            <wp:extent cx="1735502" cy="676846"/>
            <wp:effectExtent l="0" t="0" r="0" b="0"/>
            <wp:docPr id="1" name="image2.png" descr=""/>
            <wp:cNvGraphicFramePr>
              <a:graphicFrameLocks noChangeAspect="1"/>
            </wp:cNvGraphicFramePr>
            <a:graphic>
              <a:graphicData uri="http://schemas.openxmlformats.org/drawingml/2006/picture">
                <pic:pic>
                  <pic:nvPicPr>
                    <pic:cNvPr id="2" name="image2.png"/>
                    <pic:cNvPicPr/>
                  </pic:nvPicPr>
                  <pic:blipFill>
                    <a:blip r:embed="rId6" cstate="print"/>
                    <a:stretch>
                      <a:fillRect/>
                    </a:stretch>
                  </pic:blipFill>
                  <pic:spPr>
                    <a:xfrm>
                      <a:off x="0" y="0"/>
                      <a:ext cx="1735502" cy="676846"/>
                    </a:xfrm>
                    <a:prstGeom prst="rect">
                      <a:avLst/>
                    </a:prstGeom>
                  </pic:spPr>
                </pic:pic>
              </a:graphicData>
            </a:graphic>
          </wp:inline>
        </w:drawing>
      </w:r>
      <w:r>
        <w:rPr>
          <w:rFonts w:ascii="Times New Roman"/>
          <w:sz w:val="20"/>
        </w:rPr>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3"/>
        <w:rPr>
          <w:rFonts w:ascii="Times New Roman"/>
          <w:sz w:val="12"/>
        </w:rPr>
      </w:pPr>
      <w:r>
        <w:rPr/>
        <w:pict>
          <v:line style="position:absolute;mso-position-horizontal-relative:page;mso-position-vertical-relative:paragraph;z-index:0;mso-wrap-distance-left:0;mso-wrap-distance-right:0" from="70.5pt,9.256329pt" to="524.52pt,9.256329pt" stroked="true" strokeweight=".481pt" strokecolor="#000000">
            <v:stroke dashstyle="solid"/>
            <w10:wrap type="topAndBottom"/>
          </v:line>
        </w:pict>
      </w:r>
    </w:p>
    <w:p>
      <w:pPr>
        <w:pStyle w:val="BodyText"/>
        <w:spacing w:before="9"/>
        <w:rPr>
          <w:rFonts w:ascii="Times New Roman"/>
          <w:sz w:val="25"/>
        </w:rPr>
      </w:pPr>
    </w:p>
    <w:p>
      <w:pPr>
        <w:spacing w:line="276" w:lineRule="auto" w:before="3"/>
        <w:ind w:left="1440" w:right="1834" w:firstLine="0"/>
        <w:jc w:val="left"/>
        <w:rPr>
          <w:b/>
          <w:sz w:val="48"/>
        </w:rPr>
      </w:pPr>
      <w:bookmarkStart w:name="Enabling spectrum sharing in the upper 6" w:id="1"/>
      <w:bookmarkEnd w:id="1"/>
      <w:r>
        <w:rPr/>
      </w:r>
      <w:r>
        <w:rPr>
          <w:b/>
          <w:color w:val="CC0044"/>
          <w:sz w:val="48"/>
        </w:rPr>
        <w:t>Enabling spectrum sharing in the upper 6 GHz band</w:t>
      </w:r>
    </w:p>
    <w:p>
      <w:pPr>
        <w:spacing w:before="237"/>
        <w:ind w:left="1440" w:right="1106" w:firstLine="0"/>
        <w:jc w:val="left"/>
        <w:rPr>
          <w:sz w:val="40"/>
        </w:rPr>
      </w:pPr>
      <w:r>
        <w:rPr>
          <w:sz w:val="40"/>
        </w:rPr>
        <w:t>Shared licences for local, low-power indoor use of the upper 6 GHz band (6425-7070 MHz)</w:t>
      </w:r>
    </w:p>
    <w:p>
      <w:pPr>
        <w:pStyle w:val="BodyText"/>
        <w:rPr>
          <w:sz w:val="20"/>
        </w:rPr>
      </w:pPr>
    </w:p>
    <w:p>
      <w:pPr>
        <w:pStyle w:val="BodyText"/>
        <w:spacing w:before="6"/>
        <w:rPr>
          <w:sz w:val="23"/>
        </w:rPr>
      </w:pPr>
      <w:r>
        <w:rPr/>
        <w:pict>
          <v:line style="position:absolute;mso-position-horizontal-relative:page;mso-position-vertical-relative:paragraph;z-index:1048;mso-wrap-distance-left:0;mso-wrap-distance-right:0" from="70.5pt,16.554237pt" to="524.52pt,16.554237pt" stroked="true" strokeweight=".48pt" strokecolor="#000000">
            <v:stroke dashstyle="solid"/>
            <w10:wrap type="topAndBottom"/>
          </v:lin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17"/>
        </w:rPr>
      </w:pPr>
    </w:p>
    <w:p>
      <w:pPr>
        <w:pStyle w:val="Heading3"/>
        <w:spacing w:before="43"/>
        <w:ind w:left="1440"/>
      </w:pPr>
      <w:r>
        <w:rPr>
          <w:color w:val="CC0031"/>
        </w:rPr>
        <w:t>CONSULTATION:</w:t>
      </w:r>
    </w:p>
    <w:p>
      <w:pPr>
        <w:spacing w:line="276" w:lineRule="auto" w:before="171"/>
        <w:ind w:left="1439" w:right="5124" w:firstLine="0"/>
        <w:jc w:val="left"/>
        <w:rPr>
          <w:sz w:val="28"/>
        </w:rPr>
      </w:pPr>
      <w:r>
        <w:rPr>
          <w:color w:val="CC0031"/>
          <w:sz w:val="28"/>
        </w:rPr>
        <w:t>Publication Date: </w:t>
      </w:r>
      <w:r>
        <w:rPr>
          <w:color w:val="404040"/>
          <w:sz w:val="28"/>
        </w:rPr>
        <w:t>28 February 2022 </w:t>
      </w:r>
      <w:r>
        <w:rPr>
          <w:color w:val="CC0031"/>
          <w:sz w:val="28"/>
        </w:rPr>
        <w:t>Closing Date for Responses: </w:t>
      </w:r>
      <w:r>
        <w:rPr>
          <w:color w:val="404040"/>
          <w:sz w:val="28"/>
        </w:rPr>
        <w:t>11 April 2022</w:t>
      </w:r>
    </w:p>
    <w:p>
      <w:pPr>
        <w:spacing w:after="0" w:line="276" w:lineRule="auto"/>
        <w:jc w:val="left"/>
        <w:rPr>
          <w:sz w:val="28"/>
        </w:rPr>
        <w:sectPr>
          <w:type w:val="continuous"/>
          <w:pgSz w:w="11910" w:h="16840"/>
          <w:pgMar w:top="0" w:bottom="0" w:left="0" w:right="600"/>
        </w:sectPr>
      </w:pPr>
    </w:p>
    <w:p>
      <w:pPr>
        <w:pStyle w:val="BodyText"/>
        <w:rPr>
          <w:sz w:val="20"/>
        </w:rPr>
      </w:pPr>
    </w:p>
    <w:p>
      <w:pPr>
        <w:pStyle w:val="BodyText"/>
        <w:rPr>
          <w:sz w:val="20"/>
        </w:rPr>
      </w:pPr>
    </w:p>
    <w:p>
      <w:pPr>
        <w:pStyle w:val="BodyText"/>
        <w:spacing w:before="5"/>
        <w:rPr>
          <w:sz w:val="24"/>
        </w:rPr>
      </w:pPr>
    </w:p>
    <w:p>
      <w:pPr>
        <w:pStyle w:val="Heading1"/>
        <w:ind w:left="140"/>
      </w:pPr>
      <w:r>
        <w:rPr/>
        <w:pict>
          <v:line style="position:absolute;mso-position-horizontal-relative:page;mso-position-vertical-relative:paragraph;z-index:1096;mso-wrap-distance-left:0;mso-wrap-distance-right:0" from="70.5pt,35.661537pt" to="524.52pt,35.661537pt" stroked="true" strokeweight=".48pt" strokecolor="#000000">
            <v:stroke dashstyle="solid"/>
            <w10:wrap type="topAndBottom"/>
          </v:line>
        </w:pict>
      </w:r>
      <w:bookmarkStart w:name="Contents" w:id="2"/>
      <w:bookmarkEnd w:id="2"/>
      <w:r>
        <w:rPr/>
      </w:r>
      <w:r>
        <w:rPr>
          <w:color w:val="CC0044"/>
        </w:rPr>
        <w:t>Contents</w:t>
      </w:r>
    </w:p>
    <w:p>
      <w:pPr>
        <w:pStyle w:val="BodyText"/>
        <w:spacing w:before="8"/>
        <w:rPr>
          <w:sz w:val="13"/>
        </w:rPr>
      </w:pPr>
    </w:p>
    <w:p>
      <w:pPr>
        <w:pStyle w:val="Heading3"/>
        <w:spacing w:before="44"/>
        <w:ind w:left="140"/>
      </w:pPr>
      <w:r>
        <w:rPr>
          <w:color w:val="CC0044"/>
        </w:rPr>
        <w:t>Section</w:t>
      </w:r>
    </w:p>
    <w:sdt>
      <w:sdtPr>
        <w:docPartObj>
          <w:docPartGallery w:val="Table of Contents"/>
          <w:docPartUnique/>
        </w:docPartObj>
      </w:sdtPr>
      <w:sdtEndPr/>
      <w:sdtContent>
        <w:p>
          <w:pPr>
            <w:pStyle w:val="TOC2"/>
            <w:numPr>
              <w:ilvl w:val="0"/>
              <w:numId w:val="1"/>
            </w:numPr>
            <w:tabs>
              <w:tab w:pos="377" w:val="left" w:leader="none"/>
              <w:tab w:pos="9149" w:val="right" w:leader="none"/>
            </w:tabs>
            <w:spacing w:line="240" w:lineRule="auto" w:before="238" w:after="0"/>
            <w:ind w:left="376" w:right="0" w:hanging="236"/>
            <w:jc w:val="left"/>
          </w:pPr>
          <w:hyperlink w:history="true" w:anchor="_bookmark0">
            <w:r>
              <w:rPr/>
              <w:t>Overview</w:t>
              <w:tab/>
              <w:t>3</w:t>
            </w:r>
          </w:hyperlink>
        </w:p>
        <w:p>
          <w:pPr>
            <w:pStyle w:val="TOC2"/>
            <w:numPr>
              <w:ilvl w:val="0"/>
              <w:numId w:val="1"/>
            </w:numPr>
            <w:tabs>
              <w:tab w:pos="377" w:val="left" w:leader="none"/>
              <w:tab w:pos="9149" w:val="right" w:leader="none"/>
            </w:tabs>
            <w:spacing w:line="240" w:lineRule="auto" w:before="120" w:after="0"/>
            <w:ind w:left="376" w:right="0" w:hanging="236"/>
            <w:jc w:val="left"/>
          </w:pPr>
          <w:hyperlink w:history="true" w:anchor="_bookmark1">
            <w:r>
              <w:rPr/>
              <w:t>Background</w:t>
              <w:tab/>
              <w:t>6</w:t>
            </w:r>
          </w:hyperlink>
        </w:p>
        <w:p>
          <w:pPr>
            <w:pStyle w:val="TOC2"/>
            <w:numPr>
              <w:ilvl w:val="0"/>
              <w:numId w:val="1"/>
            </w:numPr>
            <w:tabs>
              <w:tab w:pos="377" w:val="left" w:leader="none"/>
              <w:tab w:pos="9148" w:val="right" w:leader="none"/>
            </w:tabs>
            <w:spacing w:line="240" w:lineRule="auto" w:before="119" w:after="0"/>
            <w:ind w:left="376" w:right="0" w:hanging="236"/>
            <w:jc w:val="left"/>
          </w:pPr>
          <w:hyperlink w:history="true" w:anchor="_bookmark5">
            <w:r>
              <w:rPr/>
              <w:t>Our proposal: authorising the 6425-7070 MHz band for</w:t>
            </w:r>
            <w:r>
              <w:rPr>
                <w:spacing w:val="-8"/>
              </w:rPr>
              <w:t> </w:t>
            </w:r>
            <w:r>
              <w:rPr/>
              <w:t>licensed</w:t>
            </w:r>
            <w:r>
              <w:rPr>
                <w:spacing w:val="-2"/>
              </w:rPr>
              <w:t> </w:t>
            </w:r>
            <w:r>
              <w:rPr/>
              <w:t>use</w:t>
              <w:tab/>
              <w:t>11</w:t>
            </w:r>
          </w:hyperlink>
        </w:p>
        <w:p>
          <w:pPr>
            <w:pStyle w:val="TOC2"/>
            <w:numPr>
              <w:ilvl w:val="0"/>
              <w:numId w:val="1"/>
            </w:numPr>
            <w:tabs>
              <w:tab w:pos="377" w:val="left" w:leader="none"/>
              <w:tab w:pos="9148" w:val="right" w:leader="none"/>
            </w:tabs>
            <w:spacing w:line="240" w:lineRule="auto" w:before="119" w:after="0"/>
            <w:ind w:left="376" w:right="0" w:hanging="236"/>
            <w:jc w:val="left"/>
          </w:pPr>
          <w:hyperlink w:history="true" w:anchor="_bookmark15">
            <w:r>
              <w:rPr/>
              <w:t>Our rationale for making upper 6 GHz Shared Access licences</w:t>
            </w:r>
            <w:r>
              <w:rPr>
                <w:spacing w:val="-14"/>
              </w:rPr>
              <w:t> </w:t>
            </w:r>
            <w:r>
              <w:rPr/>
              <w:t>available</w:t>
            </w:r>
            <w:r>
              <w:rPr>
                <w:spacing w:val="-1"/>
              </w:rPr>
              <w:t> </w:t>
            </w:r>
            <w:r>
              <w:rPr/>
              <w:t>now</w:t>
              <w:tab/>
              <w:t>16</w:t>
            </w:r>
          </w:hyperlink>
        </w:p>
        <w:p>
          <w:pPr>
            <w:pStyle w:val="TOC1"/>
          </w:pPr>
          <w:r>
            <w:rPr>
              <w:color w:val="CC0044"/>
            </w:rPr>
            <w:t>Annex</w:t>
          </w:r>
        </w:p>
        <w:p>
          <w:pPr>
            <w:pStyle w:val="TOC2"/>
            <w:tabs>
              <w:tab w:pos="9148" w:val="right" w:leader="none"/>
            </w:tabs>
            <w:spacing w:before="239"/>
          </w:pPr>
          <w:hyperlink w:history="true" w:anchor="_bookmark16">
            <w:r>
              <w:rPr/>
              <w:t>A1. Responding to</w:t>
            </w:r>
            <w:r>
              <w:rPr>
                <w:spacing w:val="-2"/>
              </w:rPr>
              <w:t> </w:t>
            </w:r>
            <w:r>
              <w:rPr/>
              <w:t>this</w:t>
            </w:r>
            <w:r>
              <w:rPr>
                <w:spacing w:val="-2"/>
              </w:rPr>
              <w:t> </w:t>
            </w:r>
            <w:r>
              <w:rPr/>
              <w:t>consultation</w:t>
              <w:tab/>
              <w:t>21</w:t>
            </w:r>
          </w:hyperlink>
        </w:p>
        <w:p>
          <w:pPr>
            <w:pStyle w:val="TOC2"/>
            <w:tabs>
              <w:tab w:pos="9148" w:val="right" w:leader="none"/>
            </w:tabs>
          </w:pPr>
          <w:hyperlink w:history="true" w:anchor="_bookmark17">
            <w:r>
              <w:rPr/>
              <w:t>A2. Ofcom’s</w:t>
            </w:r>
            <w:r>
              <w:rPr>
                <w:spacing w:val="-3"/>
              </w:rPr>
              <w:t> </w:t>
            </w:r>
            <w:r>
              <w:rPr/>
              <w:t>consultation</w:t>
            </w:r>
            <w:r>
              <w:rPr>
                <w:spacing w:val="-2"/>
              </w:rPr>
              <w:t> </w:t>
            </w:r>
            <w:r>
              <w:rPr/>
              <w:t>principles</w:t>
              <w:tab/>
              <w:t>24</w:t>
            </w:r>
          </w:hyperlink>
        </w:p>
        <w:p>
          <w:pPr>
            <w:pStyle w:val="TOC2"/>
            <w:tabs>
              <w:tab w:pos="9148" w:val="right" w:leader="none"/>
            </w:tabs>
          </w:pPr>
          <w:hyperlink w:history="true" w:anchor="_bookmark18">
            <w:r>
              <w:rPr/>
              <w:t>A3.</w:t>
            </w:r>
            <w:r>
              <w:rPr>
                <w:spacing w:val="-1"/>
              </w:rPr>
              <w:t> </w:t>
            </w:r>
            <w:r>
              <w:rPr/>
              <w:t>Consultation</w:t>
            </w:r>
            <w:r>
              <w:rPr>
                <w:spacing w:val="-2"/>
              </w:rPr>
              <w:t> </w:t>
            </w:r>
            <w:r>
              <w:rPr/>
              <w:t>coversheet</w:t>
              <w:tab/>
              <w:t>25</w:t>
            </w:r>
          </w:hyperlink>
        </w:p>
        <w:p>
          <w:pPr>
            <w:pStyle w:val="TOC2"/>
            <w:tabs>
              <w:tab w:pos="9148" w:val="right" w:leader="none"/>
            </w:tabs>
          </w:pPr>
          <w:hyperlink w:history="true" w:anchor="_bookmark19">
            <w:r>
              <w:rPr/>
              <w:t>A4.</w:t>
            </w:r>
            <w:r>
              <w:rPr>
                <w:spacing w:val="-1"/>
              </w:rPr>
              <w:t> </w:t>
            </w:r>
            <w:r>
              <w:rPr/>
              <w:t>Consultation</w:t>
            </w:r>
            <w:r>
              <w:rPr>
                <w:spacing w:val="-2"/>
              </w:rPr>
              <w:t> </w:t>
            </w:r>
            <w:r>
              <w:rPr/>
              <w:t>questions</w:t>
              <w:tab/>
              <w:t>26</w:t>
            </w:r>
          </w:hyperlink>
        </w:p>
        <w:p>
          <w:pPr>
            <w:pStyle w:val="TOC2"/>
            <w:tabs>
              <w:tab w:pos="9148" w:val="right" w:leader="none"/>
            </w:tabs>
            <w:spacing w:before="120"/>
          </w:pPr>
          <w:hyperlink w:history="true" w:anchor="_bookmark20">
            <w:r>
              <w:rPr/>
              <w:t>A5. Technical analysis in the 6425-7070</w:t>
            </w:r>
            <w:r>
              <w:rPr>
                <w:spacing w:val="-6"/>
              </w:rPr>
              <w:t> </w:t>
            </w:r>
            <w:r>
              <w:rPr/>
              <w:t>MHz</w:t>
            </w:r>
            <w:r>
              <w:rPr>
                <w:spacing w:val="-2"/>
              </w:rPr>
              <w:t> </w:t>
            </w:r>
            <w:r>
              <w:rPr/>
              <w:t>band</w:t>
              <w:tab/>
              <w:t>27</w:t>
            </w:r>
          </w:hyperlink>
        </w:p>
        <w:p>
          <w:pPr>
            <w:pStyle w:val="TOC2"/>
            <w:tabs>
              <w:tab w:pos="9148" w:val="right" w:leader="none"/>
            </w:tabs>
          </w:pPr>
          <w:hyperlink w:history="true" w:anchor="_bookmark48">
            <w:r>
              <w:rPr/>
              <w:t>A6.</w:t>
            </w:r>
            <w:r>
              <w:rPr>
                <w:spacing w:val="-1"/>
              </w:rPr>
              <w:t> </w:t>
            </w:r>
            <w:r>
              <w:rPr/>
              <w:t>Legal</w:t>
            </w:r>
            <w:r>
              <w:rPr>
                <w:spacing w:val="-2"/>
              </w:rPr>
              <w:t> </w:t>
            </w:r>
            <w:r>
              <w:rPr/>
              <w:t>framework</w:t>
              <w:tab/>
              <w:t>39</w:t>
            </w:r>
          </w:hyperlink>
        </w:p>
        <w:p>
          <w:pPr>
            <w:pStyle w:val="TOC2"/>
            <w:tabs>
              <w:tab w:pos="9148" w:val="right" w:leader="none"/>
            </w:tabs>
          </w:pPr>
          <w:hyperlink w:history="true" w:anchor="_bookmark49">
            <w:r>
              <w:rPr/>
              <w:t>A7.</w:t>
            </w:r>
            <w:r>
              <w:rPr>
                <w:spacing w:val="-1"/>
              </w:rPr>
              <w:t> </w:t>
            </w:r>
            <w:r>
              <w:rPr/>
              <w:t>Draft</w:t>
            </w:r>
            <w:r>
              <w:rPr>
                <w:spacing w:val="-2"/>
              </w:rPr>
              <w:t> </w:t>
            </w:r>
            <w:r>
              <w:rPr/>
              <w:t>licence</w:t>
              <w:tab/>
              <w:t>42</w:t>
            </w:r>
          </w:hyperlink>
        </w:p>
        <w:p>
          <w:pPr>
            <w:pStyle w:val="TOC2"/>
            <w:tabs>
              <w:tab w:pos="9148" w:val="right" w:leader="none"/>
            </w:tabs>
          </w:pPr>
          <w:hyperlink w:history="true" w:anchor="_bookmark51">
            <w:r>
              <w:rPr/>
              <w:t>A8. Draft amendment to</w:t>
            </w:r>
            <w:r>
              <w:rPr>
                <w:spacing w:val="-3"/>
              </w:rPr>
              <w:t> </w:t>
            </w:r>
            <w:r>
              <w:rPr/>
              <w:t>IR</w:t>
            </w:r>
            <w:r>
              <w:rPr>
                <w:spacing w:val="-1"/>
              </w:rPr>
              <w:t> </w:t>
            </w:r>
            <w:r>
              <w:rPr/>
              <w:t>2103</w:t>
              <w:tab/>
              <w:t>50</w:t>
            </w:r>
          </w:hyperlink>
        </w:p>
      </w:sdtContent>
    </w:sdt>
    <w:p>
      <w:pPr>
        <w:spacing w:after="0"/>
        <w:sectPr>
          <w:pgSz w:w="11910" w:h="16840"/>
          <w:pgMar w:top="1580" w:bottom="280" w:left="1300" w:right="1300"/>
        </w:sectPr>
      </w:pPr>
    </w:p>
    <w:p>
      <w:pPr>
        <w:pStyle w:val="BodyText"/>
        <w:rPr>
          <w:sz w:val="48"/>
        </w:rPr>
      </w:pPr>
    </w:p>
    <w:p>
      <w:pPr>
        <w:pStyle w:val="Heading1"/>
        <w:numPr>
          <w:ilvl w:val="1"/>
          <w:numId w:val="1"/>
        </w:numPr>
        <w:tabs>
          <w:tab w:pos="739" w:val="left" w:leader="none"/>
        </w:tabs>
        <w:spacing w:line="240" w:lineRule="auto" w:before="309" w:after="0"/>
        <w:ind w:left="120" w:right="0" w:firstLine="120"/>
        <w:jc w:val="left"/>
      </w:pPr>
      <w:bookmarkStart w:name="1. Overview" w:id="3"/>
      <w:bookmarkEnd w:id="3"/>
      <w:r>
        <w:rPr/>
      </w:r>
      <w:bookmarkStart w:name="_bookmark0" w:id="4"/>
      <w:bookmarkEnd w:id="4"/>
      <w:r>
        <w:rPr/>
      </w:r>
      <w:bookmarkStart w:name="_bookmark0" w:id="5"/>
      <w:bookmarkEnd w:id="5"/>
      <w:r>
        <w:rPr>
          <w:color w:val="CC0044"/>
        </w:rPr>
        <w:t>Ov</w:t>
      </w:r>
      <w:r>
        <w:rPr>
          <w:color w:val="CC0044"/>
        </w:rPr>
        <w:t>erview</w:t>
      </w:r>
    </w:p>
    <w:p>
      <w:pPr>
        <w:pStyle w:val="ListParagraph"/>
        <w:numPr>
          <w:ilvl w:val="2"/>
          <w:numId w:val="1"/>
        </w:numPr>
        <w:tabs>
          <w:tab w:pos="1090" w:val="left" w:leader="none"/>
          <w:tab w:pos="1091" w:val="left" w:leader="none"/>
        </w:tabs>
        <w:spacing w:line="276" w:lineRule="auto" w:before="240" w:after="0"/>
        <w:ind w:left="1090" w:right="779" w:hanging="850"/>
        <w:jc w:val="left"/>
        <w:rPr>
          <w:sz w:val="22"/>
        </w:rPr>
      </w:pPr>
      <w:r>
        <w:rPr>
          <w:sz w:val="22"/>
        </w:rPr>
        <w:t>The radio spectrum is a limited resource crucial to delivering all wireless services, and Ofcom is responsible for ensuring that it is used in the best interests of people and businesses in the</w:t>
      </w:r>
      <w:r>
        <w:rPr>
          <w:spacing w:val="-13"/>
          <w:sz w:val="22"/>
        </w:rPr>
        <w:t> </w:t>
      </w:r>
      <w:r>
        <w:rPr>
          <w:sz w:val="22"/>
        </w:rPr>
        <w:t>UK.</w:t>
      </w:r>
    </w:p>
    <w:p>
      <w:pPr>
        <w:pStyle w:val="ListParagraph"/>
        <w:numPr>
          <w:ilvl w:val="2"/>
          <w:numId w:val="1"/>
        </w:numPr>
        <w:tabs>
          <w:tab w:pos="1091" w:val="left" w:leader="none"/>
          <w:tab w:pos="1092" w:val="left" w:leader="none"/>
        </w:tabs>
        <w:spacing w:line="276" w:lineRule="auto" w:before="119" w:after="0"/>
        <w:ind w:left="1091" w:right="249" w:hanging="851"/>
        <w:jc w:val="left"/>
        <w:rPr>
          <w:sz w:val="22"/>
        </w:rPr>
      </w:pPr>
      <w:r>
        <w:rPr/>
        <w:pict>
          <v:shape style="position:absolute;margin-left:65.279999pt;margin-top:58.543926pt;width:464.5pt;height:217.5pt;mso-position-horizontal-relative:page;mso-position-vertical-relative:paragraph;z-index:1120;mso-wrap-distance-left:0;mso-wrap-distance-right:0" type="#_x0000_t202" filled="true" fillcolor="#f1f1f1" stroked="true" strokeweight=".481pt" strokecolor="#d9d9d9">
            <v:textbox inset="0,0,0,0">
              <w:txbxContent>
                <w:p>
                  <w:pPr>
                    <w:spacing w:before="99"/>
                    <w:ind w:left="129" w:right="0" w:firstLine="0"/>
                    <w:jc w:val="left"/>
                    <w:rPr>
                      <w:b/>
                      <w:sz w:val="24"/>
                    </w:rPr>
                  </w:pPr>
                  <w:bookmarkStart w:name="What we are proposing – in brief" w:id="6"/>
                  <w:bookmarkEnd w:id="6"/>
                  <w:r>
                    <w:rPr/>
                  </w:r>
                  <w:r>
                    <w:rPr>
                      <w:b/>
                      <w:color w:val="632466"/>
                      <w:sz w:val="24"/>
                    </w:rPr>
                    <w:t>What we are proposing – in brief</w:t>
                  </w:r>
                </w:p>
                <w:p>
                  <w:pPr>
                    <w:spacing w:line="276" w:lineRule="auto" w:before="164"/>
                    <w:ind w:left="129" w:right="159" w:firstLine="0"/>
                    <w:jc w:val="left"/>
                    <w:rPr>
                      <w:b/>
                      <w:sz w:val="22"/>
                    </w:rPr>
                  </w:pPr>
                  <w:r>
                    <w:rPr>
                      <w:b/>
                      <w:sz w:val="22"/>
                    </w:rPr>
                    <w:t>We are proposing to add the upper 6 GHz band (6425-7070 MHz) to Ofcom’s </w:t>
                  </w:r>
                  <w:hyperlink r:id="rId9">
                    <w:r>
                      <w:rPr>
                        <w:b/>
                        <w:color w:val="C70044"/>
                        <w:sz w:val="22"/>
                        <w:u w:val="single" w:color="C70044"/>
                      </w:rPr>
                      <w:t>Shared Access licence</w:t>
                    </w:r>
                  </w:hyperlink>
                  <w:r>
                    <w:rPr>
                      <w:b/>
                      <w:color w:val="C70044"/>
                      <w:sz w:val="22"/>
                      <w:u w:val="single" w:color="C70044"/>
                    </w:rPr>
                    <w:t> </w:t>
                  </w:r>
                  <w:r>
                    <w:rPr>
                      <w:b/>
                      <w:sz w:val="22"/>
                    </w:rPr>
                    <w:t>framework for low-power, indoor use.</w:t>
                  </w:r>
                </w:p>
                <w:p>
                  <w:pPr>
                    <w:pStyle w:val="ListParagraph"/>
                    <w:numPr>
                      <w:ilvl w:val="0"/>
                      <w:numId w:val="2"/>
                    </w:numPr>
                    <w:tabs>
                      <w:tab w:pos="414" w:val="left" w:leader="none"/>
                    </w:tabs>
                    <w:spacing w:line="240" w:lineRule="auto" w:before="118" w:after="0"/>
                    <w:ind w:left="414" w:right="0" w:hanging="285"/>
                    <w:jc w:val="left"/>
                    <w:rPr>
                      <w:sz w:val="22"/>
                    </w:rPr>
                  </w:pPr>
                  <w:r>
                    <w:rPr>
                      <w:sz w:val="22"/>
                    </w:rPr>
                    <w:t>Licences</w:t>
                  </w:r>
                  <w:r>
                    <w:rPr>
                      <w:spacing w:val="-3"/>
                      <w:sz w:val="22"/>
                    </w:rPr>
                    <w:t> </w:t>
                  </w:r>
                  <w:r>
                    <w:rPr>
                      <w:sz w:val="22"/>
                    </w:rPr>
                    <w:t>would</w:t>
                  </w:r>
                  <w:r>
                    <w:rPr>
                      <w:spacing w:val="-3"/>
                      <w:sz w:val="22"/>
                    </w:rPr>
                    <w:t> </w:t>
                  </w:r>
                  <w:r>
                    <w:rPr>
                      <w:sz w:val="22"/>
                    </w:rPr>
                    <w:t>cover</w:t>
                  </w:r>
                  <w:r>
                    <w:rPr>
                      <w:spacing w:val="-2"/>
                      <w:sz w:val="22"/>
                    </w:rPr>
                    <w:t> </w:t>
                  </w:r>
                  <w:r>
                    <w:rPr>
                      <w:sz w:val="22"/>
                    </w:rPr>
                    <w:t>the</w:t>
                  </w:r>
                  <w:r>
                    <w:rPr>
                      <w:spacing w:val="-2"/>
                      <w:sz w:val="22"/>
                    </w:rPr>
                    <w:t> </w:t>
                  </w:r>
                  <w:r>
                    <w:rPr>
                      <w:sz w:val="22"/>
                    </w:rPr>
                    <w:t>full</w:t>
                  </w:r>
                  <w:r>
                    <w:rPr>
                      <w:spacing w:val="-3"/>
                      <w:sz w:val="22"/>
                    </w:rPr>
                    <w:t> </w:t>
                  </w:r>
                  <w:r>
                    <w:rPr>
                      <w:sz w:val="22"/>
                    </w:rPr>
                    <w:t>band</w:t>
                  </w:r>
                  <w:r>
                    <w:rPr>
                      <w:spacing w:val="-3"/>
                      <w:sz w:val="22"/>
                    </w:rPr>
                    <w:t> </w:t>
                  </w:r>
                  <w:r>
                    <w:rPr>
                      <w:sz w:val="22"/>
                    </w:rPr>
                    <w:t>for</w:t>
                  </w:r>
                  <w:r>
                    <w:rPr>
                      <w:spacing w:val="-3"/>
                      <w:sz w:val="22"/>
                    </w:rPr>
                    <w:t> </w:t>
                  </w:r>
                  <w:r>
                    <w:rPr>
                      <w:sz w:val="22"/>
                    </w:rPr>
                    <w:t>an</w:t>
                  </w:r>
                  <w:r>
                    <w:rPr>
                      <w:spacing w:val="-3"/>
                      <w:sz w:val="22"/>
                    </w:rPr>
                    <w:t> </w:t>
                  </w:r>
                  <w:r>
                    <w:rPr>
                      <w:sz w:val="22"/>
                    </w:rPr>
                    <w:t>area</w:t>
                  </w:r>
                  <w:r>
                    <w:rPr>
                      <w:spacing w:val="-3"/>
                      <w:sz w:val="22"/>
                    </w:rPr>
                    <w:t> </w:t>
                  </w:r>
                  <w:r>
                    <w:rPr>
                      <w:sz w:val="22"/>
                    </w:rPr>
                    <w:t>within</w:t>
                  </w:r>
                  <w:r>
                    <w:rPr>
                      <w:spacing w:val="-1"/>
                      <w:sz w:val="22"/>
                    </w:rPr>
                    <w:t> </w:t>
                  </w:r>
                  <w:r>
                    <w:rPr>
                      <w:sz w:val="22"/>
                    </w:rPr>
                    <w:t>a</w:t>
                  </w:r>
                  <w:r>
                    <w:rPr>
                      <w:spacing w:val="-3"/>
                      <w:sz w:val="22"/>
                    </w:rPr>
                    <w:t> </w:t>
                  </w:r>
                  <w:r>
                    <w:rPr>
                      <w:sz w:val="22"/>
                    </w:rPr>
                    <w:t>50m</w:t>
                  </w:r>
                  <w:r>
                    <w:rPr>
                      <w:spacing w:val="-3"/>
                      <w:sz w:val="22"/>
                    </w:rPr>
                    <w:t> </w:t>
                  </w:r>
                  <w:r>
                    <w:rPr>
                      <w:sz w:val="22"/>
                    </w:rPr>
                    <w:t>radius of</w:t>
                  </w:r>
                  <w:r>
                    <w:rPr>
                      <w:spacing w:val="-3"/>
                      <w:sz w:val="22"/>
                    </w:rPr>
                    <w:t> </w:t>
                  </w:r>
                  <w:r>
                    <w:rPr>
                      <w:sz w:val="22"/>
                    </w:rPr>
                    <w:t>a</w:t>
                  </w:r>
                  <w:r>
                    <w:rPr>
                      <w:spacing w:val="-3"/>
                      <w:sz w:val="22"/>
                    </w:rPr>
                    <w:t> </w:t>
                  </w:r>
                  <w:r>
                    <w:rPr>
                      <w:sz w:val="22"/>
                    </w:rPr>
                    <w:t>central</w:t>
                  </w:r>
                  <w:r>
                    <w:rPr>
                      <w:spacing w:val="-3"/>
                      <w:sz w:val="22"/>
                    </w:rPr>
                    <w:t> </w:t>
                  </w:r>
                  <w:r>
                    <w:rPr>
                      <w:sz w:val="22"/>
                    </w:rPr>
                    <w:t>point.</w:t>
                  </w:r>
                </w:p>
                <w:p>
                  <w:pPr>
                    <w:pStyle w:val="ListParagraph"/>
                    <w:numPr>
                      <w:ilvl w:val="0"/>
                      <w:numId w:val="2"/>
                    </w:numPr>
                    <w:tabs>
                      <w:tab w:pos="414" w:val="left" w:leader="none"/>
                    </w:tabs>
                    <w:spacing w:line="240" w:lineRule="auto" w:before="39" w:after="0"/>
                    <w:ind w:left="413" w:right="0" w:hanging="284"/>
                    <w:jc w:val="left"/>
                    <w:rPr>
                      <w:sz w:val="22"/>
                    </w:rPr>
                  </w:pPr>
                  <w:r>
                    <w:rPr>
                      <w:sz w:val="22"/>
                    </w:rPr>
                    <w:t>Use</w:t>
                  </w:r>
                  <w:r>
                    <w:rPr>
                      <w:spacing w:val="-4"/>
                      <w:sz w:val="22"/>
                    </w:rPr>
                    <w:t> </w:t>
                  </w:r>
                  <w:r>
                    <w:rPr>
                      <w:sz w:val="22"/>
                    </w:rPr>
                    <w:t>would</w:t>
                  </w:r>
                  <w:r>
                    <w:rPr>
                      <w:spacing w:val="-3"/>
                      <w:sz w:val="22"/>
                    </w:rPr>
                    <w:t> </w:t>
                  </w:r>
                  <w:r>
                    <w:rPr>
                      <w:sz w:val="22"/>
                    </w:rPr>
                    <w:t>be</w:t>
                  </w:r>
                  <w:r>
                    <w:rPr>
                      <w:spacing w:val="-3"/>
                      <w:sz w:val="22"/>
                    </w:rPr>
                    <w:t> </w:t>
                  </w:r>
                  <w:r>
                    <w:rPr>
                      <w:sz w:val="22"/>
                    </w:rPr>
                    <w:t>limited</w:t>
                  </w:r>
                  <w:r>
                    <w:rPr>
                      <w:spacing w:val="-3"/>
                      <w:sz w:val="22"/>
                    </w:rPr>
                    <w:t> </w:t>
                  </w:r>
                  <w:r>
                    <w:rPr>
                      <w:sz w:val="22"/>
                    </w:rPr>
                    <w:t>to</w:t>
                  </w:r>
                  <w:r>
                    <w:rPr>
                      <w:spacing w:val="-3"/>
                      <w:sz w:val="22"/>
                    </w:rPr>
                    <w:t> </w:t>
                  </w:r>
                  <w:r>
                    <w:rPr>
                      <w:sz w:val="22"/>
                    </w:rPr>
                    <w:t>indoor-only,</w:t>
                  </w:r>
                  <w:r>
                    <w:rPr>
                      <w:spacing w:val="-4"/>
                      <w:sz w:val="22"/>
                    </w:rPr>
                    <w:t> </w:t>
                  </w:r>
                  <w:r>
                    <w:rPr>
                      <w:sz w:val="22"/>
                    </w:rPr>
                    <w:t>with</w:t>
                  </w:r>
                  <w:r>
                    <w:rPr>
                      <w:spacing w:val="-4"/>
                      <w:sz w:val="22"/>
                    </w:rPr>
                    <w:t> </w:t>
                  </w:r>
                  <w:r>
                    <w:rPr>
                      <w:sz w:val="22"/>
                    </w:rPr>
                    <w:t>a</w:t>
                  </w:r>
                  <w:r>
                    <w:rPr>
                      <w:spacing w:val="-2"/>
                      <w:sz w:val="22"/>
                    </w:rPr>
                    <w:t> </w:t>
                  </w:r>
                  <w:r>
                    <w:rPr>
                      <w:sz w:val="22"/>
                    </w:rPr>
                    <w:t>maximum</w:t>
                  </w:r>
                  <w:r>
                    <w:rPr>
                      <w:spacing w:val="-4"/>
                      <w:sz w:val="22"/>
                    </w:rPr>
                    <w:t> </w:t>
                  </w:r>
                  <w:r>
                    <w:rPr>
                      <w:sz w:val="22"/>
                    </w:rPr>
                    <w:t>power</w:t>
                  </w:r>
                  <w:r>
                    <w:rPr>
                      <w:spacing w:val="-3"/>
                      <w:sz w:val="22"/>
                    </w:rPr>
                    <w:t> </w:t>
                  </w:r>
                  <w:r>
                    <w:rPr>
                      <w:sz w:val="22"/>
                    </w:rPr>
                    <w:t>limit</w:t>
                  </w:r>
                  <w:r>
                    <w:rPr>
                      <w:spacing w:val="-4"/>
                      <w:sz w:val="22"/>
                    </w:rPr>
                    <w:t> </w:t>
                  </w:r>
                  <w:r>
                    <w:rPr>
                      <w:sz w:val="22"/>
                    </w:rPr>
                    <w:t>of</w:t>
                  </w:r>
                  <w:r>
                    <w:rPr>
                      <w:spacing w:val="-4"/>
                      <w:sz w:val="22"/>
                    </w:rPr>
                    <w:t> </w:t>
                  </w:r>
                  <w:r>
                    <w:rPr>
                      <w:sz w:val="22"/>
                    </w:rPr>
                    <w:t>250mW</w:t>
                  </w:r>
                  <w:r>
                    <w:rPr>
                      <w:spacing w:val="-3"/>
                      <w:sz w:val="22"/>
                    </w:rPr>
                    <w:t> </w:t>
                  </w:r>
                  <w:r>
                    <w:rPr>
                      <w:sz w:val="22"/>
                    </w:rPr>
                    <w:t>EIRP.</w:t>
                  </w:r>
                </w:p>
                <w:p>
                  <w:pPr>
                    <w:pStyle w:val="ListParagraph"/>
                    <w:numPr>
                      <w:ilvl w:val="0"/>
                      <w:numId w:val="2"/>
                    </w:numPr>
                    <w:tabs>
                      <w:tab w:pos="414" w:val="left" w:leader="none"/>
                    </w:tabs>
                    <w:spacing w:line="276" w:lineRule="auto" w:before="39" w:after="0"/>
                    <w:ind w:left="414" w:right="252" w:hanging="285"/>
                    <w:jc w:val="left"/>
                    <w:rPr>
                      <w:sz w:val="22"/>
                    </w:rPr>
                  </w:pPr>
                  <w:r>
                    <w:rPr>
                      <w:sz w:val="22"/>
                    </w:rPr>
                    <w:t>Potential users could apply for multiple licences to cover a larger indoor area – such applications would be considered on a case-by-case</w:t>
                  </w:r>
                  <w:r>
                    <w:rPr>
                      <w:spacing w:val="-21"/>
                      <w:sz w:val="22"/>
                    </w:rPr>
                    <w:t> </w:t>
                  </w:r>
                  <w:r>
                    <w:rPr>
                      <w:sz w:val="22"/>
                    </w:rPr>
                    <w:t>basis.</w:t>
                  </w:r>
                </w:p>
                <w:p>
                  <w:pPr>
                    <w:pStyle w:val="ListParagraph"/>
                    <w:numPr>
                      <w:ilvl w:val="0"/>
                      <w:numId w:val="2"/>
                    </w:numPr>
                    <w:tabs>
                      <w:tab w:pos="414" w:val="left" w:leader="none"/>
                    </w:tabs>
                    <w:spacing w:line="276" w:lineRule="auto" w:before="0" w:after="0"/>
                    <w:ind w:left="414" w:right="225" w:hanging="285"/>
                    <w:jc w:val="left"/>
                    <w:rPr>
                      <w:sz w:val="22"/>
                    </w:rPr>
                  </w:pPr>
                  <w:r>
                    <w:rPr>
                      <w:sz w:val="22"/>
                    </w:rPr>
                    <w:t>Each licence would be subject to an annual fee of £320 and would be for an indefinite term, with Ofcom reserving the right to revoke licences for spectrum management purposes subject to a one-month minimum revocation notice</w:t>
                  </w:r>
                  <w:r>
                    <w:rPr>
                      <w:spacing w:val="-24"/>
                      <w:sz w:val="22"/>
                    </w:rPr>
                    <w:t> </w:t>
                  </w:r>
                  <w:r>
                    <w:rPr>
                      <w:sz w:val="22"/>
                    </w:rPr>
                    <w:t>period.</w:t>
                  </w:r>
                </w:p>
                <w:p>
                  <w:pPr>
                    <w:pStyle w:val="BodyText"/>
                    <w:spacing w:line="276" w:lineRule="auto" w:before="121"/>
                    <w:ind w:left="129" w:right="325"/>
                  </w:pPr>
                  <w:r>
                    <w:rPr/>
                    <w:t>We believe that these proposals would enable greater access to the 6 GHz band without impacting incumbent users or precluding future uses.</w:t>
                  </w:r>
                </w:p>
              </w:txbxContent>
            </v:textbox>
            <v:fill type="solid"/>
            <v:stroke dashstyle="solid"/>
            <w10:wrap type="topAndBottom"/>
          </v:shape>
        </w:pict>
      </w:r>
      <w:r>
        <w:rPr>
          <w:sz w:val="22"/>
        </w:rPr>
        <w:t>This document is a consultation on whether we should offer licences in the 6425-7070 MHz band (the ‘upper 6 GHz band’) for low-power communications indoors. We anticipate that such</w:t>
      </w:r>
      <w:r>
        <w:rPr>
          <w:spacing w:val="-5"/>
          <w:sz w:val="22"/>
        </w:rPr>
        <w:t> </w:t>
      </w:r>
      <w:r>
        <w:rPr>
          <w:sz w:val="22"/>
        </w:rPr>
        <w:t>licences</w:t>
      </w:r>
      <w:r>
        <w:rPr>
          <w:spacing w:val="-3"/>
          <w:sz w:val="22"/>
        </w:rPr>
        <w:t> </w:t>
      </w:r>
      <w:r>
        <w:rPr>
          <w:sz w:val="22"/>
        </w:rPr>
        <w:t>could</w:t>
      </w:r>
      <w:r>
        <w:rPr>
          <w:spacing w:val="-4"/>
          <w:sz w:val="22"/>
        </w:rPr>
        <w:t> </w:t>
      </w:r>
      <w:r>
        <w:rPr>
          <w:sz w:val="22"/>
        </w:rPr>
        <w:t>be</w:t>
      </w:r>
      <w:r>
        <w:rPr>
          <w:spacing w:val="-4"/>
          <w:sz w:val="22"/>
        </w:rPr>
        <w:t> </w:t>
      </w:r>
      <w:r>
        <w:rPr>
          <w:sz w:val="22"/>
        </w:rPr>
        <w:t>particularly</w:t>
      </w:r>
      <w:r>
        <w:rPr>
          <w:spacing w:val="-5"/>
          <w:sz w:val="22"/>
        </w:rPr>
        <w:t> </w:t>
      </w:r>
      <w:r>
        <w:rPr>
          <w:sz w:val="22"/>
        </w:rPr>
        <w:t>suitable</w:t>
      </w:r>
      <w:r>
        <w:rPr>
          <w:spacing w:val="-5"/>
          <w:sz w:val="22"/>
        </w:rPr>
        <w:t> </w:t>
      </w:r>
      <w:r>
        <w:rPr>
          <w:sz w:val="22"/>
        </w:rPr>
        <w:t>for</w:t>
      </w:r>
      <w:r>
        <w:rPr>
          <w:spacing w:val="-5"/>
          <w:sz w:val="22"/>
        </w:rPr>
        <w:t> </w:t>
      </w:r>
      <w:r>
        <w:rPr>
          <w:sz w:val="22"/>
        </w:rPr>
        <w:t>industrial,</w:t>
      </w:r>
      <w:r>
        <w:rPr>
          <w:spacing w:val="-5"/>
          <w:sz w:val="22"/>
        </w:rPr>
        <w:t> </w:t>
      </w:r>
      <w:r>
        <w:rPr>
          <w:sz w:val="22"/>
        </w:rPr>
        <w:t>business</w:t>
      </w:r>
      <w:r>
        <w:rPr>
          <w:spacing w:val="-3"/>
          <w:sz w:val="22"/>
        </w:rPr>
        <w:t> </w:t>
      </w:r>
      <w:r>
        <w:rPr>
          <w:sz w:val="22"/>
        </w:rPr>
        <w:t>and</w:t>
      </w:r>
      <w:r>
        <w:rPr>
          <w:spacing w:val="-5"/>
          <w:sz w:val="22"/>
        </w:rPr>
        <w:t> </w:t>
      </w:r>
      <w:r>
        <w:rPr>
          <w:sz w:val="22"/>
        </w:rPr>
        <w:t>research</w:t>
      </w:r>
      <w:r>
        <w:rPr>
          <w:spacing w:val="-4"/>
          <w:sz w:val="22"/>
        </w:rPr>
        <w:t> </w:t>
      </w:r>
      <w:r>
        <w:rPr>
          <w:sz w:val="22"/>
        </w:rPr>
        <w:t>uses.</w:t>
      </w:r>
    </w:p>
    <w:p>
      <w:pPr>
        <w:pStyle w:val="BodyText"/>
        <w:spacing w:before="4"/>
        <w:rPr>
          <w:sz w:val="14"/>
        </w:rPr>
      </w:pPr>
    </w:p>
    <w:p>
      <w:pPr>
        <w:spacing w:before="36"/>
        <w:ind w:left="240" w:right="0" w:firstLine="0"/>
        <w:jc w:val="left"/>
        <w:rPr>
          <w:b/>
          <w:sz w:val="32"/>
        </w:rPr>
      </w:pPr>
      <w:bookmarkStart w:name="Our aim" w:id="7"/>
      <w:bookmarkEnd w:id="7"/>
      <w:r>
        <w:rPr/>
      </w:r>
      <w:r>
        <w:rPr>
          <w:b/>
          <w:color w:val="CC0044"/>
          <w:sz w:val="32"/>
        </w:rPr>
        <w:t>Our aim</w:t>
      </w:r>
    </w:p>
    <w:p>
      <w:pPr>
        <w:pStyle w:val="ListParagraph"/>
        <w:numPr>
          <w:ilvl w:val="2"/>
          <w:numId w:val="1"/>
        </w:numPr>
        <w:tabs>
          <w:tab w:pos="1090" w:val="left" w:leader="none"/>
          <w:tab w:pos="1091" w:val="left" w:leader="none"/>
        </w:tabs>
        <w:spacing w:line="276" w:lineRule="auto" w:before="241" w:after="0"/>
        <w:ind w:left="1090" w:right="318" w:hanging="850"/>
        <w:jc w:val="left"/>
        <w:rPr>
          <w:sz w:val="22"/>
        </w:rPr>
      </w:pPr>
      <w:r>
        <w:rPr>
          <w:sz w:val="22"/>
        </w:rPr>
        <w:t>One of the priorities in our spectrum management strategy is to increase opportunities for people and businesses to access spectrum for innovation. In particular, we wish to promote sharing as an effective way of maximising spectrum</w:t>
      </w:r>
      <w:r>
        <w:rPr>
          <w:spacing w:val="-31"/>
          <w:sz w:val="22"/>
        </w:rPr>
        <w:t> </w:t>
      </w:r>
      <w:r>
        <w:rPr>
          <w:sz w:val="22"/>
        </w:rPr>
        <w:t>use.</w:t>
      </w:r>
    </w:p>
    <w:p>
      <w:pPr>
        <w:pStyle w:val="ListParagraph"/>
        <w:numPr>
          <w:ilvl w:val="2"/>
          <w:numId w:val="1"/>
        </w:numPr>
        <w:tabs>
          <w:tab w:pos="1090" w:val="left" w:leader="none"/>
          <w:tab w:pos="1091" w:val="left" w:leader="none"/>
        </w:tabs>
        <w:spacing w:line="276" w:lineRule="auto" w:before="120" w:after="0"/>
        <w:ind w:left="1091" w:right="254" w:hanging="851"/>
        <w:jc w:val="left"/>
        <w:rPr>
          <w:sz w:val="22"/>
        </w:rPr>
      </w:pPr>
      <w:r>
        <w:rPr>
          <w:sz w:val="22"/>
        </w:rPr>
        <w:t>The upper 6 GHz band has been made available in several countries on a licence-exempt basis for Wi-Fi, and a range of low-cost, low-power equipment, capable of high data speeds, is increasingly available as a result. Such equipment could support a wide variety of uses, bringing benefits to the</w:t>
      </w:r>
      <w:r>
        <w:rPr>
          <w:spacing w:val="-15"/>
          <w:sz w:val="22"/>
        </w:rPr>
        <w:t> </w:t>
      </w:r>
      <w:r>
        <w:rPr>
          <w:sz w:val="22"/>
        </w:rPr>
        <w:t>UK.</w:t>
      </w:r>
    </w:p>
    <w:p>
      <w:pPr>
        <w:pStyle w:val="BodyText"/>
        <w:spacing w:before="6"/>
        <w:rPr>
          <w:sz w:val="19"/>
        </w:rPr>
      </w:pPr>
    </w:p>
    <w:p>
      <w:pPr>
        <w:pStyle w:val="Heading2"/>
        <w:spacing w:before="1"/>
        <w:ind w:left="240"/>
      </w:pPr>
      <w:bookmarkStart w:name="Potential uses for this band" w:id="8"/>
      <w:bookmarkEnd w:id="8"/>
      <w:r>
        <w:rPr>
          <w:b w:val="0"/>
        </w:rPr>
      </w:r>
      <w:r>
        <w:rPr>
          <w:color w:val="CC0044"/>
        </w:rPr>
        <w:t>Potential uses for this band</w:t>
      </w:r>
    </w:p>
    <w:p>
      <w:pPr>
        <w:pStyle w:val="ListParagraph"/>
        <w:numPr>
          <w:ilvl w:val="2"/>
          <w:numId w:val="1"/>
        </w:numPr>
        <w:tabs>
          <w:tab w:pos="1090" w:val="left" w:leader="none"/>
          <w:tab w:pos="1091" w:val="left" w:leader="none"/>
        </w:tabs>
        <w:spacing w:line="276" w:lineRule="auto" w:before="241" w:after="0"/>
        <w:ind w:left="1090" w:right="316" w:hanging="850"/>
        <w:jc w:val="left"/>
        <w:rPr>
          <w:sz w:val="22"/>
        </w:rPr>
      </w:pPr>
      <w:r>
        <w:rPr>
          <w:sz w:val="22"/>
        </w:rPr>
        <w:t>We are aware of industry interest in the use of the upper 6 GHz band for licence-exempt consumer Wi-Fi or for licensed 5G mobile networks. Technical compatibility work to establish whether and how 5G mobile and licence-exempt Wi-Fi could share the band with each other or other incumbents is still ongoing. We are actively participating in the international preparations for the World Radiocommunication Conference 2023 (WRC-23) and</w:t>
      </w:r>
      <w:r>
        <w:rPr>
          <w:spacing w:val="-5"/>
          <w:sz w:val="22"/>
        </w:rPr>
        <w:t> </w:t>
      </w:r>
      <w:r>
        <w:rPr>
          <w:sz w:val="22"/>
        </w:rPr>
        <w:t>separate</w:t>
      </w:r>
      <w:r>
        <w:rPr>
          <w:spacing w:val="-3"/>
          <w:sz w:val="22"/>
        </w:rPr>
        <w:t> </w:t>
      </w:r>
      <w:r>
        <w:rPr>
          <w:sz w:val="22"/>
        </w:rPr>
        <w:t>work</w:t>
      </w:r>
      <w:r>
        <w:rPr>
          <w:spacing w:val="-5"/>
          <w:sz w:val="22"/>
        </w:rPr>
        <w:t> </w:t>
      </w:r>
      <w:r>
        <w:rPr>
          <w:sz w:val="22"/>
        </w:rPr>
        <w:t>in</w:t>
      </w:r>
      <w:r>
        <w:rPr>
          <w:spacing w:val="-5"/>
          <w:sz w:val="22"/>
        </w:rPr>
        <w:t> </w:t>
      </w:r>
      <w:r>
        <w:rPr>
          <w:sz w:val="22"/>
        </w:rPr>
        <w:t>CEPT,</w:t>
      </w:r>
      <w:r>
        <w:rPr>
          <w:spacing w:val="-5"/>
          <w:sz w:val="22"/>
        </w:rPr>
        <w:t> </w:t>
      </w:r>
      <w:r>
        <w:rPr>
          <w:sz w:val="22"/>
        </w:rPr>
        <w:t>including</w:t>
      </w:r>
      <w:r>
        <w:rPr>
          <w:spacing w:val="-4"/>
          <w:sz w:val="22"/>
        </w:rPr>
        <w:t> </w:t>
      </w:r>
      <w:r>
        <w:rPr>
          <w:sz w:val="22"/>
        </w:rPr>
        <w:t>technical</w:t>
      </w:r>
      <w:r>
        <w:rPr>
          <w:spacing w:val="-4"/>
          <w:sz w:val="22"/>
        </w:rPr>
        <w:t> </w:t>
      </w:r>
      <w:r>
        <w:rPr>
          <w:sz w:val="22"/>
        </w:rPr>
        <w:t>compatibility</w:t>
      </w:r>
      <w:r>
        <w:rPr>
          <w:spacing w:val="-4"/>
          <w:sz w:val="22"/>
        </w:rPr>
        <w:t> </w:t>
      </w:r>
      <w:r>
        <w:rPr>
          <w:sz w:val="22"/>
        </w:rPr>
        <w:t>activities</w:t>
      </w:r>
      <w:r>
        <w:rPr>
          <w:spacing w:val="-5"/>
          <w:sz w:val="22"/>
        </w:rPr>
        <w:t> </w:t>
      </w:r>
      <w:r>
        <w:rPr>
          <w:sz w:val="22"/>
        </w:rPr>
        <w:t>for</w:t>
      </w:r>
      <w:r>
        <w:rPr>
          <w:spacing w:val="-5"/>
          <w:sz w:val="22"/>
        </w:rPr>
        <w:t> </w:t>
      </w:r>
      <w:r>
        <w:rPr>
          <w:sz w:val="22"/>
        </w:rPr>
        <w:t>the</w:t>
      </w:r>
      <w:r>
        <w:rPr>
          <w:spacing w:val="-4"/>
          <w:sz w:val="22"/>
        </w:rPr>
        <w:t> </w:t>
      </w:r>
      <w:r>
        <w:rPr>
          <w:sz w:val="22"/>
        </w:rPr>
        <w:t>upper</w:t>
      </w:r>
      <w:r>
        <w:rPr>
          <w:spacing w:val="-5"/>
          <w:sz w:val="22"/>
        </w:rPr>
        <w:t> </w:t>
      </w:r>
      <w:r>
        <w:rPr>
          <w:sz w:val="22"/>
        </w:rPr>
        <w:t>6</w:t>
      </w:r>
      <w:r>
        <w:rPr>
          <w:spacing w:val="-3"/>
          <w:sz w:val="22"/>
        </w:rPr>
        <w:t> </w:t>
      </w:r>
      <w:r>
        <w:rPr>
          <w:sz w:val="22"/>
        </w:rPr>
        <w:t>GHz</w:t>
      </w:r>
    </w:p>
    <w:p>
      <w:pPr>
        <w:spacing w:after="0" w:line="276" w:lineRule="auto"/>
        <w:jc w:val="left"/>
        <w:rPr>
          <w:sz w:val="22"/>
        </w:rPr>
        <w:sectPr>
          <w:headerReference w:type="default" r:id="rId7"/>
          <w:footerReference w:type="default" r:id="rId8"/>
          <w:pgSz w:w="11910" w:h="16840"/>
          <w:pgMar w:header="727" w:footer="1309" w:top="920" w:bottom="1500" w:left="1200" w:right="1200"/>
          <w:pgNumType w:start="3"/>
        </w:sectPr>
      </w:pPr>
    </w:p>
    <w:p>
      <w:pPr>
        <w:pStyle w:val="BodyText"/>
        <w:rPr>
          <w:sz w:val="20"/>
        </w:rPr>
      </w:pPr>
    </w:p>
    <w:p>
      <w:pPr>
        <w:pStyle w:val="BodyText"/>
        <w:rPr>
          <w:sz w:val="20"/>
        </w:rPr>
      </w:pPr>
    </w:p>
    <w:p>
      <w:pPr>
        <w:pStyle w:val="BodyText"/>
        <w:spacing w:before="11"/>
        <w:rPr>
          <w:sz w:val="18"/>
        </w:rPr>
      </w:pPr>
    </w:p>
    <w:p>
      <w:pPr>
        <w:pStyle w:val="BodyText"/>
        <w:spacing w:line="276" w:lineRule="auto" w:before="56"/>
        <w:ind w:left="970" w:right="215"/>
      </w:pPr>
      <w:r>
        <w:rPr/>
        <w:t>band, and gauging views from interested UK stakeholders. It may be some time before we can form a view on these uses – therefore they are out of scope of this consultation.</w:t>
      </w:r>
    </w:p>
    <w:p>
      <w:pPr>
        <w:pStyle w:val="ListParagraph"/>
        <w:numPr>
          <w:ilvl w:val="2"/>
          <w:numId w:val="1"/>
        </w:numPr>
        <w:tabs>
          <w:tab w:pos="970" w:val="left" w:leader="none"/>
          <w:tab w:pos="971" w:val="left" w:leader="none"/>
        </w:tabs>
        <w:spacing w:line="276" w:lineRule="auto" w:before="119" w:after="0"/>
        <w:ind w:left="970" w:right="489" w:hanging="851"/>
        <w:jc w:val="left"/>
        <w:rPr>
          <w:sz w:val="22"/>
        </w:rPr>
      </w:pPr>
      <w:r>
        <w:rPr>
          <w:sz w:val="22"/>
        </w:rPr>
        <w:t>On the other hand, our proposals in this document for local, licensed use can be implemented now because they do not impact our ability to consider authorising these uses in the</w:t>
      </w:r>
      <w:r>
        <w:rPr>
          <w:spacing w:val="-10"/>
          <w:sz w:val="22"/>
        </w:rPr>
        <w:t> </w:t>
      </w:r>
      <w:r>
        <w:rPr>
          <w:sz w:val="22"/>
        </w:rPr>
        <w:t>future:</w:t>
      </w:r>
    </w:p>
    <w:p>
      <w:pPr>
        <w:pStyle w:val="ListParagraph"/>
        <w:numPr>
          <w:ilvl w:val="3"/>
          <w:numId w:val="1"/>
        </w:numPr>
        <w:tabs>
          <w:tab w:pos="1312" w:val="left" w:leader="none"/>
        </w:tabs>
        <w:spacing w:line="276" w:lineRule="auto" w:before="119" w:after="0"/>
        <w:ind w:left="1311" w:right="550" w:hanging="341"/>
        <w:jc w:val="left"/>
        <w:rPr>
          <w:sz w:val="22"/>
        </w:rPr>
      </w:pPr>
      <w:r>
        <w:rPr>
          <w:sz w:val="22"/>
        </w:rPr>
        <w:t>If we were to eventually authorise licence exempt Wi-Fi, the proposed licences are likely to be able to</w:t>
      </w:r>
      <w:r>
        <w:rPr>
          <w:spacing w:val="-14"/>
          <w:sz w:val="22"/>
        </w:rPr>
        <w:t> </w:t>
      </w:r>
      <w:r>
        <w:rPr>
          <w:sz w:val="22"/>
        </w:rPr>
        <w:t>coexist.</w:t>
      </w:r>
    </w:p>
    <w:p>
      <w:pPr>
        <w:pStyle w:val="ListParagraph"/>
        <w:numPr>
          <w:ilvl w:val="3"/>
          <w:numId w:val="1"/>
        </w:numPr>
        <w:tabs>
          <w:tab w:pos="1312" w:val="left" w:leader="none"/>
        </w:tabs>
        <w:spacing w:line="276" w:lineRule="auto" w:before="119" w:after="0"/>
        <w:ind w:left="1311" w:right="199" w:hanging="341"/>
        <w:jc w:val="left"/>
        <w:rPr>
          <w:sz w:val="22"/>
        </w:rPr>
      </w:pPr>
      <w:r>
        <w:rPr>
          <w:sz w:val="22"/>
        </w:rPr>
        <w:t>If we were to eventually authorise 5G mobile, there is a risk we might need to revoke these licences – but it is likely to be some time before this materialises. This risk would be most relevant if there was 5G rollout in this band near the specific locations where these licences are deployed, and if technical coexistence in these circumstances was not</w:t>
      </w:r>
      <w:r>
        <w:rPr>
          <w:spacing w:val="-8"/>
          <w:sz w:val="22"/>
        </w:rPr>
        <w:t> </w:t>
      </w:r>
      <w:r>
        <w:rPr>
          <w:sz w:val="22"/>
        </w:rPr>
        <w:t>possible.</w:t>
      </w:r>
    </w:p>
    <w:p>
      <w:pPr>
        <w:pStyle w:val="ListParagraph"/>
        <w:numPr>
          <w:ilvl w:val="2"/>
          <w:numId w:val="1"/>
        </w:numPr>
        <w:tabs>
          <w:tab w:pos="971" w:val="left" w:leader="none"/>
          <w:tab w:pos="972" w:val="left" w:leader="none"/>
        </w:tabs>
        <w:spacing w:line="276" w:lineRule="auto" w:before="119" w:after="0"/>
        <w:ind w:left="971" w:right="175" w:hanging="851"/>
        <w:jc w:val="left"/>
        <w:rPr>
          <w:sz w:val="22"/>
        </w:rPr>
      </w:pPr>
      <w:r>
        <w:rPr>
          <w:sz w:val="22"/>
        </w:rPr>
        <w:t>Only a licensed approach makes revocation possible in scenario (b) above, and is therefore appropriate for this band given the uncertainty around future</w:t>
      </w:r>
      <w:r>
        <w:rPr>
          <w:spacing w:val="-32"/>
          <w:sz w:val="22"/>
        </w:rPr>
        <w:t> </w:t>
      </w:r>
      <w:r>
        <w:rPr>
          <w:sz w:val="22"/>
        </w:rPr>
        <w:t>uses.</w:t>
      </w:r>
    </w:p>
    <w:p>
      <w:pPr>
        <w:pStyle w:val="ListParagraph"/>
        <w:numPr>
          <w:ilvl w:val="2"/>
          <w:numId w:val="1"/>
        </w:numPr>
        <w:tabs>
          <w:tab w:pos="971" w:val="left" w:leader="none"/>
          <w:tab w:pos="972" w:val="left" w:leader="none"/>
        </w:tabs>
        <w:spacing w:line="276" w:lineRule="auto" w:before="120" w:after="0"/>
        <w:ind w:left="971" w:right="295" w:hanging="851"/>
        <w:jc w:val="left"/>
        <w:rPr>
          <w:sz w:val="22"/>
        </w:rPr>
      </w:pPr>
      <w:r>
        <w:rPr>
          <w:sz w:val="22"/>
        </w:rPr>
        <w:t>We anticipate that this licence would be particularly attractive for industrial and research applications, such as factory robots and sensors, Augmented Reality (AR), healthcare monitors,</w:t>
      </w:r>
      <w:r>
        <w:rPr>
          <w:spacing w:val="-6"/>
          <w:sz w:val="22"/>
        </w:rPr>
        <w:t> </w:t>
      </w:r>
      <w:r>
        <w:rPr>
          <w:sz w:val="22"/>
        </w:rPr>
        <w:t>wireless</w:t>
      </w:r>
      <w:r>
        <w:rPr>
          <w:spacing w:val="-6"/>
          <w:sz w:val="22"/>
        </w:rPr>
        <w:t> </w:t>
      </w:r>
      <w:r>
        <w:rPr>
          <w:sz w:val="22"/>
        </w:rPr>
        <w:t>medical</w:t>
      </w:r>
      <w:r>
        <w:rPr>
          <w:spacing w:val="-5"/>
          <w:sz w:val="22"/>
        </w:rPr>
        <w:t> </w:t>
      </w:r>
      <w:r>
        <w:rPr>
          <w:sz w:val="22"/>
        </w:rPr>
        <w:t>equipment</w:t>
      </w:r>
      <w:r>
        <w:rPr>
          <w:spacing w:val="-5"/>
          <w:sz w:val="22"/>
        </w:rPr>
        <w:t> </w:t>
      </w:r>
      <w:r>
        <w:rPr>
          <w:sz w:val="22"/>
        </w:rPr>
        <w:t>and</w:t>
      </w:r>
      <w:r>
        <w:rPr>
          <w:spacing w:val="-6"/>
          <w:sz w:val="22"/>
        </w:rPr>
        <w:t> </w:t>
      </w:r>
      <w:r>
        <w:rPr>
          <w:sz w:val="22"/>
        </w:rPr>
        <w:t>private</w:t>
      </w:r>
      <w:r>
        <w:rPr>
          <w:spacing w:val="-6"/>
          <w:sz w:val="22"/>
        </w:rPr>
        <w:t> </w:t>
      </w:r>
      <w:r>
        <w:rPr>
          <w:sz w:val="22"/>
        </w:rPr>
        <w:t>network</w:t>
      </w:r>
      <w:r>
        <w:rPr>
          <w:spacing w:val="-6"/>
          <w:sz w:val="22"/>
        </w:rPr>
        <w:t> </w:t>
      </w:r>
      <w:r>
        <w:rPr>
          <w:sz w:val="22"/>
        </w:rPr>
        <w:t>connections.</w:t>
      </w:r>
    </w:p>
    <w:p>
      <w:pPr>
        <w:pStyle w:val="BodyText"/>
        <w:spacing w:before="8"/>
        <w:rPr>
          <w:sz w:val="19"/>
        </w:rPr>
      </w:pPr>
    </w:p>
    <w:p>
      <w:pPr>
        <w:pStyle w:val="Heading2"/>
      </w:pPr>
      <w:bookmarkStart w:name="Our rationale for this proposal" w:id="9"/>
      <w:bookmarkEnd w:id="9"/>
      <w:r>
        <w:rPr>
          <w:b w:val="0"/>
        </w:rPr>
      </w:r>
      <w:r>
        <w:rPr>
          <w:color w:val="CC0044"/>
        </w:rPr>
        <w:t>Our rationale for this proposal</w:t>
      </w:r>
    </w:p>
    <w:p>
      <w:pPr>
        <w:pStyle w:val="ListParagraph"/>
        <w:numPr>
          <w:ilvl w:val="2"/>
          <w:numId w:val="1"/>
        </w:numPr>
        <w:tabs>
          <w:tab w:pos="970" w:val="left" w:leader="none"/>
          <w:tab w:pos="971" w:val="left" w:leader="none"/>
        </w:tabs>
        <w:spacing w:line="276" w:lineRule="auto" w:before="239" w:after="0"/>
        <w:ind w:left="971" w:right="118" w:hanging="851"/>
        <w:jc w:val="left"/>
        <w:rPr>
          <w:sz w:val="22"/>
        </w:rPr>
      </w:pPr>
      <w:r>
        <w:rPr>
          <w:sz w:val="22"/>
        </w:rPr>
        <w:t>We consider that adding the upper 6 GHz band to the Shared Access licensing framework is appropriate for the following</w:t>
      </w:r>
      <w:r>
        <w:rPr>
          <w:spacing w:val="-17"/>
          <w:sz w:val="22"/>
        </w:rPr>
        <w:t> </w:t>
      </w:r>
      <w:r>
        <w:rPr>
          <w:sz w:val="22"/>
        </w:rPr>
        <w:t>reasons:</w:t>
      </w:r>
    </w:p>
    <w:p>
      <w:pPr>
        <w:pStyle w:val="ListParagraph"/>
        <w:numPr>
          <w:ilvl w:val="3"/>
          <w:numId w:val="1"/>
        </w:numPr>
        <w:tabs>
          <w:tab w:pos="1312" w:val="left" w:leader="none"/>
        </w:tabs>
        <w:spacing w:line="276" w:lineRule="auto" w:before="119" w:after="0"/>
        <w:ind w:left="1311" w:right="403" w:hanging="340"/>
        <w:jc w:val="left"/>
        <w:rPr>
          <w:sz w:val="22"/>
        </w:rPr>
      </w:pPr>
      <w:r>
        <w:rPr>
          <w:sz w:val="22"/>
        </w:rPr>
        <w:t>The upper 6 GHz band is currently unused in many geographical locations, especially with respect to indoor</w:t>
      </w:r>
      <w:r>
        <w:rPr>
          <w:spacing w:val="-26"/>
          <w:sz w:val="22"/>
        </w:rPr>
        <w:t> </w:t>
      </w:r>
      <w:r>
        <w:rPr>
          <w:sz w:val="22"/>
        </w:rPr>
        <w:t>use;</w:t>
      </w:r>
    </w:p>
    <w:p>
      <w:pPr>
        <w:pStyle w:val="ListParagraph"/>
        <w:numPr>
          <w:ilvl w:val="3"/>
          <w:numId w:val="1"/>
        </w:numPr>
        <w:tabs>
          <w:tab w:pos="1312" w:val="left" w:leader="none"/>
        </w:tabs>
        <w:spacing w:line="276" w:lineRule="auto" w:before="120" w:after="0"/>
        <w:ind w:left="1311" w:right="580" w:hanging="340"/>
        <w:jc w:val="left"/>
        <w:rPr>
          <w:sz w:val="22"/>
        </w:rPr>
      </w:pPr>
      <w:r>
        <w:rPr>
          <w:sz w:val="22"/>
        </w:rPr>
        <w:t>There</w:t>
      </w:r>
      <w:r>
        <w:rPr>
          <w:spacing w:val="-3"/>
          <w:sz w:val="22"/>
        </w:rPr>
        <w:t> </w:t>
      </w:r>
      <w:r>
        <w:rPr>
          <w:sz w:val="22"/>
        </w:rPr>
        <w:t>is</w:t>
      </w:r>
      <w:r>
        <w:rPr>
          <w:spacing w:val="-4"/>
          <w:sz w:val="22"/>
        </w:rPr>
        <w:t> </w:t>
      </w:r>
      <w:r>
        <w:rPr>
          <w:sz w:val="22"/>
        </w:rPr>
        <w:t>potential</w:t>
      </w:r>
      <w:r>
        <w:rPr>
          <w:spacing w:val="-4"/>
          <w:sz w:val="22"/>
        </w:rPr>
        <w:t> </w:t>
      </w:r>
      <w:r>
        <w:rPr>
          <w:sz w:val="22"/>
        </w:rPr>
        <w:t>for</w:t>
      </w:r>
      <w:r>
        <w:rPr>
          <w:spacing w:val="-5"/>
          <w:sz w:val="22"/>
        </w:rPr>
        <w:t> </w:t>
      </w:r>
      <w:r>
        <w:rPr>
          <w:sz w:val="22"/>
        </w:rPr>
        <w:t>either</w:t>
      </w:r>
      <w:r>
        <w:rPr>
          <w:spacing w:val="-6"/>
          <w:sz w:val="22"/>
        </w:rPr>
        <w:t> </w:t>
      </w:r>
      <w:r>
        <w:rPr>
          <w:sz w:val="22"/>
        </w:rPr>
        <w:t>licence-exempt</w:t>
      </w:r>
      <w:r>
        <w:rPr>
          <w:spacing w:val="-4"/>
          <w:sz w:val="22"/>
        </w:rPr>
        <w:t> </w:t>
      </w:r>
      <w:r>
        <w:rPr>
          <w:sz w:val="22"/>
        </w:rPr>
        <w:t>Wi-Fi</w:t>
      </w:r>
      <w:r>
        <w:rPr>
          <w:spacing w:val="-4"/>
          <w:sz w:val="22"/>
        </w:rPr>
        <w:t> </w:t>
      </w:r>
      <w:r>
        <w:rPr>
          <w:sz w:val="22"/>
        </w:rPr>
        <w:t>or</w:t>
      </w:r>
      <w:r>
        <w:rPr>
          <w:spacing w:val="-4"/>
          <w:sz w:val="22"/>
        </w:rPr>
        <w:t> </w:t>
      </w:r>
      <w:r>
        <w:rPr>
          <w:sz w:val="22"/>
        </w:rPr>
        <w:t>licensed</w:t>
      </w:r>
      <w:r>
        <w:rPr>
          <w:spacing w:val="-3"/>
          <w:sz w:val="22"/>
        </w:rPr>
        <w:t> </w:t>
      </w:r>
      <w:r>
        <w:rPr>
          <w:sz w:val="22"/>
        </w:rPr>
        <w:t>5G</w:t>
      </w:r>
      <w:r>
        <w:rPr>
          <w:spacing w:val="-6"/>
          <w:sz w:val="22"/>
        </w:rPr>
        <w:t> </w:t>
      </w:r>
      <w:r>
        <w:rPr>
          <w:sz w:val="22"/>
        </w:rPr>
        <w:t>mobile</w:t>
      </w:r>
      <w:r>
        <w:rPr>
          <w:spacing w:val="-4"/>
          <w:sz w:val="22"/>
        </w:rPr>
        <w:t> </w:t>
      </w:r>
      <w:r>
        <w:rPr>
          <w:sz w:val="22"/>
        </w:rPr>
        <w:t>to</w:t>
      </w:r>
      <w:r>
        <w:rPr>
          <w:spacing w:val="-3"/>
          <w:sz w:val="22"/>
        </w:rPr>
        <w:t> </w:t>
      </w:r>
      <w:r>
        <w:rPr>
          <w:sz w:val="22"/>
        </w:rPr>
        <w:t>use</w:t>
      </w:r>
      <w:r>
        <w:rPr>
          <w:spacing w:val="-5"/>
          <w:sz w:val="22"/>
        </w:rPr>
        <w:t> </w:t>
      </w:r>
      <w:r>
        <w:rPr>
          <w:sz w:val="22"/>
        </w:rPr>
        <w:t>this spectrum</w:t>
      </w:r>
      <w:r>
        <w:rPr>
          <w:spacing w:val="-8"/>
          <w:sz w:val="22"/>
        </w:rPr>
        <w:t> </w:t>
      </w:r>
      <w:r>
        <w:rPr>
          <w:sz w:val="22"/>
        </w:rPr>
        <w:t>and</w:t>
      </w:r>
      <w:r>
        <w:rPr>
          <w:spacing w:val="-8"/>
          <w:sz w:val="22"/>
        </w:rPr>
        <w:t> </w:t>
      </w:r>
      <w:r>
        <w:rPr>
          <w:sz w:val="22"/>
        </w:rPr>
        <w:t>bring</w:t>
      </w:r>
      <w:r>
        <w:rPr>
          <w:spacing w:val="-8"/>
          <w:sz w:val="22"/>
        </w:rPr>
        <w:t> </w:t>
      </w:r>
      <w:r>
        <w:rPr>
          <w:sz w:val="22"/>
        </w:rPr>
        <w:t>benefits</w:t>
      </w:r>
      <w:r>
        <w:rPr>
          <w:spacing w:val="-7"/>
          <w:sz w:val="22"/>
        </w:rPr>
        <w:t> </w:t>
      </w:r>
      <w:r>
        <w:rPr>
          <w:sz w:val="22"/>
        </w:rPr>
        <w:t>to</w:t>
      </w:r>
      <w:r>
        <w:rPr>
          <w:spacing w:val="-8"/>
          <w:sz w:val="22"/>
        </w:rPr>
        <w:t> </w:t>
      </w:r>
      <w:r>
        <w:rPr>
          <w:sz w:val="22"/>
        </w:rPr>
        <w:t>consumers;</w:t>
      </w:r>
    </w:p>
    <w:p>
      <w:pPr>
        <w:pStyle w:val="ListParagraph"/>
        <w:numPr>
          <w:ilvl w:val="3"/>
          <w:numId w:val="1"/>
        </w:numPr>
        <w:tabs>
          <w:tab w:pos="1312" w:val="left" w:leader="none"/>
        </w:tabs>
        <w:spacing w:line="276" w:lineRule="auto" w:before="119" w:after="0"/>
        <w:ind w:left="1311" w:right="175" w:hanging="340"/>
        <w:jc w:val="left"/>
        <w:rPr>
          <w:sz w:val="22"/>
        </w:rPr>
      </w:pPr>
      <w:r>
        <w:rPr>
          <w:sz w:val="22"/>
        </w:rPr>
        <w:t>We</w:t>
      </w:r>
      <w:r>
        <w:rPr>
          <w:spacing w:val="-6"/>
          <w:sz w:val="22"/>
        </w:rPr>
        <w:t> </w:t>
      </w:r>
      <w:r>
        <w:rPr>
          <w:sz w:val="22"/>
        </w:rPr>
        <w:t>will</w:t>
      </w:r>
      <w:r>
        <w:rPr>
          <w:spacing w:val="-5"/>
          <w:sz w:val="22"/>
        </w:rPr>
        <w:t> </w:t>
      </w:r>
      <w:r>
        <w:rPr>
          <w:sz w:val="22"/>
        </w:rPr>
        <w:t>need</w:t>
      </w:r>
      <w:r>
        <w:rPr>
          <w:spacing w:val="-5"/>
          <w:sz w:val="22"/>
        </w:rPr>
        <w:t> </w:t>
      </w:r>
      <w:r>
        <w:rPr>
          <w:sz w:val="22"/>
        </w:rPr>
        <w:t>further</w:t>
      </w:r>
      <w:r>
        <w:rPr>
          <w:spacing w:val="-4"/>
          <w:sz w:val="22"/>
        </w:rPr>
        <w:t> </w:t>
      </w:r>
      <w:r>
        <w:rPr>
          <w:sz w:val="22"/>
        </w:rPr>
        <w:t>work</w:t>
      </w:r>
      <w:r>
        <w:rPr>
          <w:spacing w:val="-5"/>
          <w:sz w:val="22"/>
        </w:rPr>
        <w:t> </w:t>
      </w:r>
      <w:r>
        <w:rPr>
          <w:sz w:val="22"/>
        </w:rPr>
        <w:t>to</w:t>
      </w:r>
      <w:r>
        <w:rPr>
          <w:spacing w:val="-5"/>
          <w:sz w:val="22"/>
        </w:rPr>
        <w:t> </w:t>
      </w:r>
      <w:r>
        <w:rPr>
          <w:sz w:val="22"/>
        </w:rPr>
        <w:t>understand</w:t>
      </w:r>
      <w:r>
        <w:rPr>
          <w:spacing w:val="-6"/>
          <w:sz w:val="22"/>
        </w:rPr>
        <w:t> </w:t>
      </w:r>
      <w:r>
        <w:rPr>
          <w:sz w:val="22"/>
        </w:rPr>
        <w:t>whether</w:t>
      </w:r>
      <w:r>
        <w:rPr>
          <w:spacing w:val="-4"/>
          <w:sz w:val="22"/>
        </w:rPr>
        <w:t> </w:t>
      </w:r>
      <w:r>
        <w:rPr>
          <w:sz w:val="22"/>
        </w:rPr>
        <w:t>and</w:t>
      </w:r>
      <w:r>
        <w:rPr>
          <w:spacing w:val="-6"/>
          <w:sz w:val="22"/>
        </w:rPr>
        <w:t> </w:t>
      </w:r>
      <w:r>
        <w:rPr>
          <w:sz w:val="22"/>
        </w:rPr>
        <w:t>how</w:t>
      </w:r>
      <w:r>
        <w:rPr>
          <w:spacing w:val="-6"/>
          <w:sz w:val="22"/>
        </w:rPr>
        <w:t> </w:t>
      </w:r>
      <w:r>
        <w:rPr>
          <w:sz w:val="22"/>
        </w:rPr>
        <w:t>licence-exempt</w:t>
      </w:r>
      <w:r>
        <w:rPr>
          <w:spacing w:val="-5"/>
          <w:sz w:val="22"/>
        </w:rPr>
        <w:t> </w:t>
      </w:r>
      <w:r>
        <w:rPr>
          <w:sz w:val="22"/>
        </w:rPr>
        <w:t>Wi-Fi</w:t>
      </w:r>
      <w:r>
        <w:rPr>
          <w:spacing w:val="-6"/>
          <w:sz w:val="22"/>
        </w:rPr>
        <w:t> </w:t>
      </w:r>
      <w:r>
        <w:rPr>
          <w:sz w:val="22"/>
        </w:rPr>
        <w:t>or</w:t>
      </w:r>
      <w:r>
        <w:rPr>
          <w:spacing w:val="-6"/>
          <w:sz w:val="22"/>
        </w:rPr>
        <w:t> </w:t>
      </w:r>
      <w:r>
        <w:rPr>
          <w:sz w:val="22"/>
        </w:rPr>
        <w:t>5G mobile can share the</w:t>
      </w:r>
      <w:r>
        <w:rPr>
          <w:spacing w:val="-24"/>
          <w:sz w:val="22"/>
        </w:rPr>
        <w:t> </w:t>
      </w:r>
      <w:r>
        <w:rPr>
          <w:sz w:val="22"/>
        </w:rPr>
        <w:t>band;</w:t>
      </w:r>
    </w:p>
    <w:p>
      <w:pPr>
        <w:pStyle w:val="ListParagraph"/>
        <w:numPr>
          <w:ilvl w:val="3"/>
          <w:numId w:val="1"/>
        </w:numPr>
        <w:tabs>
          <w:tab w:pos="1312" w:val="left" w:leader="none"/>
        </w:tabs>
        <w:spacing w:line="276" w:lineRule="auto" w:before="119" w:after="0"/>
        <w:ind w:left="1311" w:right="223" w:hanging="340"/>
        <w:jc w:val="left"/>
        <w:rPr>
          <w:sz w:val="22"/>
        </w:rPr>
      </w:pPr>
      <w:r>
        <w:rPr>
          <w:sz w:val="22"/>
        </w:rPr>
        <w:t>The Shared Access licences can bring added value to the band in both scenarios, and will</w:t>
      </w:r>
      <w:r>
        <w:rPr>
          <w:spacing w:val="-4"/>
          <w:sz w:val="22"/>
        </w:rPr>
        <w:t> </w:t>
      </w:r>
      <w:r>
        <w:rPr>
          <w:sz w:val="22"/>
        </w:rPr>
        <w:t>not</w:t>
      </w:r>
      <w:r>
        <w:rPr>
          <w:spacing w:val="-3"/>
          <w:sz w:val="22"/>
        </w:rPr>
        <w:t> </w:t>
      </w:r>
      <w:r>
        <w:rPr>
          <w:sz w:val="22"/>
        </w:rPr>
        <w:t>preclude</w:t>
      </w:r>
      <w:r>
        <w:rPr>
          <w:spacing w:val="-4"/>
          <w:sz w:val="22"/>
        </w:rPr>
        <w:t> </w:t>
      </w:r>
      <w:r>
        <w:rPr>
          <w:sz w:val="22"/>
        </w:rPr>
        <w:t>our</w:t>
      </w:r>
      <w:r>
        <w:rPr>
          <w:spacing w:val="-2"/>
          <w:sz w:val="22"/>
        </w:rPr>
        <w:t> </w:t>
      </w:r>
      <w:r>
        <w:rPr>
          <w:sz w:val="22"/>
        </w:rPr>
        <w:t>ability</w:t>
      </w:r>
      <w:r>
        <w:rPr>
          <w:spacing w:val="-4"/>
          <w:sz w:val="22"/>
        </w:rPr>
        <w:t> </w:t>
      </w:r>
      <w:r>
        <w:rPr>
          <w:sz w:val="22"/>
        </w:rPr>
        <w:t>to</w:t>
      </w:r>
      <w:r>
        <w:rPr>
          <w:spacing w:val="-3"/>
          <w:sz w:val="22"/>
        </w:rPr>
        <w:t> </w:t>
      </w:r>
      <w:r>
        <w:rPr>
          <w:sz w:val="22"/>
        </w:rPr>
        <w:t>authorise</w:t>
      </w:r>
      <w:r>
        <w:rPr>
          <w:spacing w:val="-4"/>
          <w:sz w:val="22"/>
        </w:rPr>
        <w:t> </w:t>
      </w:r>
      <w:r>
        <w:rPr>
          <w:sz w:val="22"/>
        </w:rPr>
        <w:t>either</w:t>
      </w:r>
      <w:r>
        <w:rPr>
          <w:spacing w:val="-4"/>
          <w:sz w:val="22"/>
        </w:rPr>
        <w:t> </w:t>
      </w:r>
      <w:r>
        <w:rPr>
          <w:sz w:val="22"/>
        </w:rPr>
        <w:t>use.</w:t>
      </w:r>
      <w:r>
        <w:rPr>
          <w:spacing w:val="-2"/>
          <w:sz w:val="22"/>
        </w:rPr>
        <w:t> </w:t>
      </w:r>
      <w:r>
        <w:rPr>
          <w:sz w:val="22"/>
        </w:rPr>
        <w:t>For</w:t>
      </w:r>
      <w:r>
        <w:rPr>
          <w:spacing w:val="-3"/>
          <w:sz w:val="22"/>
        </w:rPr>
        <w:t> </w:t>
      </w:r>
      <w:r>
        <w:rPr>
          <w:sz w:val="22"/>
        </w:rPr>
        <w:t>this</w:t>
      </w:r>
      <w:r>
        <w:rPr>
          <w:spacing w:val="-4"/>
          <w:sz w:val="22"/>
        </w:rPr>
        <w:t> </w:t>
      </w:r>
      <w:r>
        <w:rPr>
          <w:sz w:val="22"/>
        </w:rPr>
        <w:t>reason,</w:t>
      </w:r>
      <w:r>
        <w:rPr>
          <w:spacing w:val="-5"/>
          <w:sz w:val="22"/>
        </w:rPr>
        <w:t> </w:t>
      </w:r>
      <w:r>
        <w:rPr>
          <w:sz w:val="22"/>
        </w:rPr>
        <w:t>we</w:t>
      </w:r>
      <w:r>
        <w:rPr>
          <w:spacing w:val="-3"/>
          <w:sz w:val="22"/>
        </w:rPr>
        <w:t> </w:t>
      </w:r>
      <w:r>
        <w:rPr>
          <w:sz w:val="22"/>
        </w:rPr>
        <w:t>do</w:t>
      </w:r>
      <w:r>
        <w:rPr>
          <w:spacing w:val="-3"/>
          <w:sz w:val="22"/>
        </w:rPr>
        <w:t> </w:t>
      </w:r>
      <w:r>
        <w:rPr>
          <w:sz w:val="22"/>
        </w:rPr>
        <w:t>not</w:t>
      </w:r>
      <w:r>
        <w:rPr>
          <w:spacing w:val="-2"/>
          <w:sz w:val="22"/>
        </w:rPr>
        <w:t> </w:t>
      </w:r>
      <w:r>
        <w:rPr>
          <w:sz w:val="22"/>
        </w:rPr>
        <w:t>need</w:t>
      </w:r>
      <w:r>
        <w:rPr>
          <w:spacing w:val="-2"/>
          <w:sz w:val="22"/>
        </w:rPr>
        <w:t> </w:t>
      </w:r>
      <w:r>
        <w:rPr>
          <w:sz w:val="22"/>
        </w:rPr>
        <w:t>to wait</w:t>
      </w:r>
      <w:r>
        <w:rPr>
          <w:spacing w:val="-5"/>
          <w:sz w:val="22"/>
        </w:rPr>
        <w:t> </w:t>
      </w:r>
      <w:r>
        <w:rPr>
          <w:sz w:val="22"/>
        </w:rPr>
        <w:t>for</w:t>
      </w:r>
      <w:r>
        <w:rPr>
          <w:spacing w:val="-5"/>
          <w:sz w:val="22"/>
        </w:rPr>
        <w:t> </w:t>
      </w:r>
      <w:r>
        <w:rPr>
          <w:sz w:val="22"/>
        </w:rPr>
        <w:t>a</w:t>
      </w:r>
      <w:r>
        <w:rPr>
          <w:spacing w:val="-5"/>
          <w:sz w:val="22"/>
        </w:rPr>
        <w:t> </w:t>
      </w:r>
      <w:r>
        <w:rPr>
          <w:sz w:val="22"/>
        </w:rPr>
        <w:t>resolution</w:t>
      </w:r>
      <w:r>
        <w:rPr>
          <w:spacing w:val="-7"/>
          <w:sz w:val="22"/>
        </w:rPr>
        <w:t> </w:t>
      </w:r>
      <w:r>
        <w:rPr>
          <w:sz w:val="22"/>
        </w:rPr>
        <w:t>to</w:t>
      </w:r>
      <w:r>
        <w:rPr>
          <w:spacing w:val="-3"/>
          <w:sz w:val="22"/>
        </w:rPr>
        <w:t> </w:t>
      </w:r>
      <w:r>
        <w:rPr>
          <w:sz w:val="22"/>
        </w:rPr>
        <w:t>(c)</w:t>
      </w:r>
      <w:r>
        <w:rPr>
          <w:spacing w:val="-3"/>
          <w:sz w:val="22"/>
        </w:rPr>
        <w:t> </w:t>
      </w:r>
      <w:r>
        <w:rPr>
          <w:sz w:val="22"/>
        </w:rPr>
        <w:t>above,</w:t>
      </w:r>
      <w:r>
        <w:rPr>
          <w:spacing w:val="-5"/>
          <w:sz w:val="22"/>
        </w:rPr>
        <w:t> </w:t>
      </w:r>
      <w:r>
        <w:rPr>
          <w:sz w:val="22"/>
        </w:rPr>
        <w:t>before</w:t>
      </w:r>
      <w:r>
        <w:rPr>
          <w:spacing w:val="-6"/>
          <w:sz w:val="22"/>
        </w:rPr>
        <w:t> </w:t>
      </w:r>
      <w:r>
        <w:rPr>
          <w:sz w:val="22"/>
        </w:rPr>
        <w:t>adding</w:t>
      </w:r>
      <w:r>
        <w:rPr>
          <w:spacing w:val="-4"/>
          <w:sz w:val="22"/>
        </w:rPr>
        <w:t> </w:t>
      </w:r>
      <w:r>
        <w:rPr>
          <w:sz w:val="22"/>
        </w:rPr>
        <w:t>benefits</w:t>
      </w:r>
      <w:r>
        <w:rPr>
          <w:spacing w:val="-5"/>
          <w:sz w:val="22"/>
        </w:rPr>
        <w:t> </w:t>
      </w:r>
      <w:r>
        <w:rPr>
          <w:sz w:val="22"/>
        </w:rPr>
        <w:t>to</w:t>
      </w:r>
      <w:r>
        <w:rPr>
          <w:spacing w:val="-3"/>
          <w:sz w:val="22"/>
        </w:rPr>
        <w:t> </w:t>
      </w:r>
      <w:r>
        <w:rPr>
          <w:sz w:val="22"/>
        </w:rPr>
        <w:t>the</w:t>
      </w:r>
      <w:r>
        <w:rPr>
          <w:spacing w:val="-4"/>
          <w:sz w:val="22"/>
        </w:rPr>
        <w:t> </w:t>
      </w:r>
      <w:r>
        <w:rPr>
          <w:sz w:val="22"/>
        </w:rPr>
        <w:t>band;</w:t>
      </w:r>
    </w:p>
    <w:p>
      <w:pPr>
        <w:pStyle w:val="ListParagraph"/>
        <w:numPr>
          <w:ilvl w:val="3"/>
          <w:numId w:val="1"/>
        </w:numPr>
        <w:tabs>
          <w:tab w:pos="1312" w:val="left" w:leader="none"/>
        </w:tabs>
        <w:spacing w:line="276" w:lineRule="auto" w:before="119" w:after="0"/>
        <w:ind w:left="1311" w:right="175" w:hanging="340"/>
        <w:jc w:val="left"/>
        <w:rPr>
          <w:sz w:val="22"/>
        </w:rPr>
      </w:pPr>
      <w:r>
        <w:rPr>
          <w:sz w:val="22"/>
        </w:rPr>
        <w:t>This proposal is likely to bring benefits to the UK by enabling industrial, business and research users to make the most of existing low-cost equipment and chipsets. We believe</w:t>
      </w:r>
      <w:r>
        <w:rPr>
          <w:spacing w:val="-4"/>
          <w:sz w:val="22"/>
        </w:rPr>
        <w:t> </w:t>
      </w:r>
      <w:r>
        <w:rPr>
          <w:sz w:val="22"/>
        </w:rPr>
        <w:t>that</w:t>
      </w:r>
      <w:r>
        <w:rPr>
          <w:spacing w:val="-5"/>
          <w:sz w:val="22"/>
        </w:rPr>
        <w:t> </w:t>
      </w:r>
      <w:r>
        <w:rPr>
          <w:sz w:val="22"/>
        </w:rPr>
        <w:t>the</w:t>
      </w:r>
      <w:r>
        <w:rPr>
          <w:spacing w:val="-6"/>
          <w:sz w:val="22"/>
        </w:rPr>
        <w:t> </w:t>
      </w:r>
      <w:r>
        <w:rPr>
          <w:sz w:val="22"/>
        </w:rPr>
        <w:t>licences</w:t>
      </w:r>
      <w:r>
        <w:rPr>
          <w:spacing w:val="-4"/>
          <w:sz w:val="22"/>
        </w:rPr>
        <w:t> </w:t>
      </w:r>
      <w:r>
        <w:rPr>
          <w:sz w:val="22"/>
        </w:rPr>
        <w:t>proposed</w:t>
      </w:r>
      <w:r>
        <w:rPr>
          <w:spacing w:val="-6"/>
          <w:sz w:val="22"/>
        </w:rPr>
        <w:t> </w:t>
      </w:r>
      <w:r>
        <w:rPr>
          <w:sz w:val="22"/>
        </w:rPr>
        <w:t>in</w:t>
      </w:r>
      <w:r>
        <w:rPr>
          <w:spacing w:val="-5"/>
          <w:sz w:val="22"/>
        </w:rPr>
        <w:t> </w:t>
      </w:r>
      <w:r>
        <w:rPr>
          <w:sz w:val="22"/>
        </w:rPr>
        <w:t>this</w:t>
      </w:r>
      <w:r>
        <w:rPr>
          <w:spacing w:val="-6"/>
          <w:sz w:val="22"/>
        </w:rPr>
        <w:t> </w:t>
      </w:r>
      <w:r>
        <w:rPr>
          <w:sz w:val="22"/>
        </w:rPr>
        <w:t>document</w:t>
      </w:r>
      <w:r>
        <w:rPr>
          <w:spacing w:val="-4"/>
          <w:sz w:val="22"/>
        </w:rPr>
        <w:t> </w:t>
      </w:r>
      <w:r>
        <w:rPr>
          <w:sz w:val="22"/>
        </w:rPr>
        <w:t>would</w:t>
      </w:r>
      <w:r>
        <w:rPr>
          <w:spacing w:val="-6"/>
          <w:sz w:val="22"/>
        </w:rPr>
        <w:t> </w:t>
      </w:r>
      <w:r>
        <w:rPr>
          <w:sz w:val="22"/>
        </w:rPr>
        <w:t>be</w:t>
      </w:r>
      <w:r>
        <w:rPr>
          <w:spacing w:val="-5"/>
          <w:sz w:val="22"/>
        </w:rPr>
        <w:t> </w:t>
      </w:r>
      <w:r>
        <w:rPr>
          <w:sz w:val="22"/>
        </w:rPr>
        <w:t>more</w:t>
      </w:r>
      <w:r>
        <w:rPr>
          <w:spacing w:val="-6"/>
          <w:sz w:val="22"/>
        </w:rPr>
        <w:t> </w:t>
      </w:r>
      <w:r>
        <w:rPr>
          <w:sz w:val="22"/>
        </w:rPr>
        <w:t>suited</w:t>
      </w:r>
      <w:r>
        <w:rPr>
          <w:spacing w:val="-6"/>
          <w:sz w:val="22"/>
        </w:rPr>
        <w:t> </w:t>
      </w:r>
      <w:r>
        <w:rPr>
          <w:sz w:val="22"/>
        </w:rPr>
        <w:t>to,</w:t>
      </w:r>
      <w:r>
        <w:rPr>
          <w:spacing w:val="-4"/>
          <w:sz w:val="22"/>
        </w:rPr>
        <w:t> </w:t>
      </w:r>
      <w:r>
        <w:rPr>
          <w:sz w:val="22"/>
        </w:rPr>
        <w:t>although not limited to, industrial and research</w:t>
      </w:r>
      <w:r>
        <w:rPr>
          <w:spacing w:val="-31"/>
          <w:sz w:val="22"/>
        </w:rPr>
        <w:t> </w:t>
      </w:r>
      <w:r>
        <w:rPr>
          <w:sz w:val="22"/>
        </w:rPr>
        <w:t>users;</w:t>
      </w:r>
    </w:p>
    <w:p>
      <w:pPr>
        <w:pStyle w:val="ListParagraph"/>
        <w:numPr>
          <w:ilvl w:val="3"/>
          <w:numId w:val="1"/>
        </w:numPr>
        <w:tabs>
          <w:tab w:pos="1311" w:val="left" w:leader="none"/>
          <w:tab w:pos="1312" w:val="left" w:leader="none"/>
        </w:tabs>
        <w:spacing w:line="276" w:lineRule="auto" w:before="121" w:after="0"/>
        <w:ind w:left="1311" w:right="299" w:hanging="340"/>
        <w:jc w:val="left"/>
        <w:rPr>
          <w:sz w:val="22"/>
        </w:rPr>
      </w:pPr>
      <w:r>
        <w:rPr>
          <w:sz w:val="22"/>
        </w:rPr>
        <w:t>It</w:t>
      </w:r>
      <w:r>
        <w:rPr>
          <w:spacing w:val="-7"/>
          <w:sz w:val="22"/>
        </w:rPr>
        <w:t> </w:t>
      </w:r>
      <w:r>
        <w:rPr>
          <w:sz w:val="22"/>
        </w:rPr>
        <w:t>would</w:t>
      </w:r>
      <w:r>
        <w:rPr>
          <w:spacing w:val="-6"/>
          <w:sz w:val="22"/>
        </w:rPr>
        <w:t> </w:t>
      </w:r>
      <w:r>
        <w:rPr>
          <w:sz w:val="22"/>
        </w:rPr>
        <w:t>implement</w:t>
      </w:r>
      <w:r>
        <w:rPr>
          <w:spacing w:val="-6"/>
          <w:sz w:val="22"/>
        </w:rPr>
        <w:t> </w:t>
      </w:r>
      <w:r>
        <w:rPr>
          <w:sz w:val="22"/>
        </w:rPr>
        <w:t>commitments</w:t>
      </w:r>
      <w:r>
        <w:rPr>
          <w:spacing w:val="-7"/>
          <w:sz w:val="22"/>
        </w:rPr>
        <w:t> </w:t>
      </w:r>
      <w:r>
        <w:rPr>
          <w:sz w:val="22"/>
        </w:rPr>
        <w:t>made</w:t>
      </w:r>
      <w:r>
        <w:rPr>
          <w:spacing w:val="-7"/>
          <w:sz w:val="22"/>
        </w:rPr>
        <w:t> </w:t>
      </w:r>
      <w:r>
        <w:rPr>
          <w:sz w:val="22"/>
        </w:rPr>
        <w:t>in</w:t>
      </w:r>
      <w:r>
        <w:rPr>
          <w:spacing w:val="-7"/>
          <w:sz w:val="22"/>
        </w:rPr>
        <w:t> </w:t>
      </w:r>
      <w:r>
        <w:rPr>
          <w:sz w:val="22"/>
        </w:rPr>
        <w:t>our</w:t>
      </w:r>
      <w:r>
        <w:rPr>
          <w:spacing w:val="-6"/>
          <w:sz w:val="22"/>
        </w:rPr>
        <w:t> </w:t>
      </w:r>
      <w:hyperlink r:id="rId10">
        <w:r>
          <w:rPr>
            <w:color w:val="C70044"/>
            <w:sz w:val="22"/>
            <w:u w:val="single" w:color="C70044"/>
          </w:rPr>
          <w:t>2021</w:t>
        </w:r>
        <w:r>
          <w:rPr>
            <w:color w:val="C70044"/>
            <w:spacing w:val="-6"/>
            <w:sz w:val="22"/>
            <w:u w:val="single" w:color="C70044"/>
          </w:rPr>
          <w:t> </w:t>
        </w:r>
        <w:r>
          <w:rPr>
            <w:color w:val="C70044"/>
            <w:sz w:val="22"/>
            <w:u w:val="single" w:color="C70044"/>
          </w:rPr>
          <w:t>spectrum</w:t>
        </w:r>
        <w:r>
          <w:rPr>
            <w:color w:val="C70044"/>
            <w:spacing w:val="-6"/>
            <w:sz w:val="22"/>
            <w:u w:val="single" w:color="C70044"/>
          </w:rPr>
          <w:t> </w:t>
        </w:r>
        <w:r>
          <w:rPr>
            <w:color w:val="C70044"/>
            <w:sz w:val="22"/>
            <w:u w:val="single" w:color="C70044"/>
          </w:rPr>
          <w:t>management</w:t>
        </w:r>
        <w:r>
          <w:rPr>
            <w:color w:val="C70044"/>
            <w:spacing w:val="-7"/>
            <w:sz w:val="22"/>
            <w:u w:val="single" w:color="C70044"/>
          </w:rPr>
          <w:t> </w:t>
        </w:r>
        <w:r>
          <w:rPr>
            <w:color w:val="C70044"/>
            <w:sz w:val="22"/>
            <w:u w:val="single" w:color="C70044"/>
          </w:rPr>
          <w:t>strategy</w:t>
        </w:r>
        <w:r>
          <w:rPr>
            <w:sz w:val="22"/>
          </w:rPr>
          <w:t>,</w:t>
        </w:r>
      </w:hyperlink>
      <w:r>
        <w:rPr>
          <w:sz w:val="22"/>
        </w:rPr>
        <w:t> to</w:t>
      </w:r>
      <w:r>
        <w:rPr>
          <w:spacing w:val="-7"/>
          <w:sz w:val="22"/>
        </w:rPr>
        <w:t> </w:t>
      </w:r>
      <w:r>
        <w:rPr>
          <w:sz w:val="22"/>
        </w:rPr>
        <w:t>promote</w:t>
      </w:r>
      <w:r>
        <w:rPr>
          <w:spacing w:val="-7"/>
          <w:sz w:val="22"/>
        </w:rPr>
        <w:t> </w:t>
      </w:r>
      <w:r>
        <w:rPr>
          <w:sz w:val="22"/>
        </w:rPr>
        <w:t>sharing,</w:t>
      </w:r>
      <w:r>
        <w:rPr>
          <w:spacing w:val="-7"/>
          <w:sz w:val="22"/>
        </w:rPr>
        <w:t> </w:t>
      </w:r>
      <w:r>
        <w:rPr>
          <w:sz w:val="22"/>
        </w:rPr>
        <w:t>localised</w:t>
      </w:r>
      <w:r>
        <w:rPr>
          <w:spacing w:val="-8"/>
          <w:sz w:val="22"/>
        </w:rPr>
        <w:t> </w:t>
      </w:r>
      <w:r>
        <w:rPr>
          <w:sz w:val="22"/>
        </w:rPr>
        <w:t>use,</w:t>
      </w:r>
      <w:r>
        <w:rPr>
          <w:spacing w:val="-8"/>
          <w:sz w:val="22"/>
        </w:rPr>
        <w:t> </w:t>
      </w:r>
      <w:r>
        <w:rPr>
          <w:sz w:val="22"/>
        </w:rPr>
        <w:t>and</w:t>
      </w:r>
      <w:r>
        <w:rPr>
          <w:spacing w:val="-8"/>
          <w:sz w:val="22"/>
        </w:rPr>
        <w:t> </w:t>
      </w:r>
      <w:r>
        <w:rPr>
          <w:sz w:val="22"/>
        </w:rPr>
        <w:t>innovation;</w:t>
      </w:r>
      <w:r>
        <w:rPr>
          <w:spacing w:val="-8"/>
          <w:sz w:val="22"/>
        </w:rPr>
        <w:t> </w:t>
      </w:r>
      <w:r>
        <w:rPr>
          <w:sz w:val="22"/>
        </w:rPr>
        <w:t>and</w:t>
      </w:r>
    </w:p>
    <w:p>
      <w:pPr>
        <w:spacing w:after="0" w:line="276" w:lineRule="auto"/>
        <w:jc w:val="left"/>
        <w:rPr>
          <w:sz w:val="22"/>
        </w:rPr>
        <w:sectPr>
          <w:pgSz w:w="11910" w:h="16840"/>
          <w:pgMar w:header="727" w:footer="1309" w:top="920" w:bottom="1520" w:left="1320" w:right="1340"/>
        </w:sectPr>
      </w:pPr>
    </w:p>
    <w:p>
      <w:pPr>
        <w:pStyle w:val="BodyText"/>
        <w:rPr>
          <w:sz w:val="20"/>
        </w:rPr>
      </w:pPr>
    </w:p>
    <w:p>
      <w:pPr>
        <w:pStyle w:val="BodyText"/>
        <w:rPr>
          <w:sz w:val="20"/>
        </w:rPr>
      </w:pPr>
    </w:p>
    <w:p>
      <w:pPr>
        <w:pStyle w:val="BodyText"/>
        <w:spacing w:before="11"/>
        <w:rPr>
          <w:sz w:val="18"/>
        </w:rPr>
      </w:pPr>
    </w:p>
    <w:p>
      <w:pPr>
        <w:pStyle w:val="ListParagraph"/>
        <w:numPr>
          <w:ilvl w:val="3"/>
          <w:numId w:val="1"/>
        </w:numPr>
        <w:tabs>
          <w:tab w:pos="1312" w:val="left" w:leader="none"/>
        </w:tabs>
        <w:spacing w:line="276" w:lineRule="auto" w:before="56" w:after="0"/>
        <w:ind w:left="1311" w:right="205" w:hanging="341"/>
        <w:jc w:val="left"/>
        <w:rPr>
          <w:sz w:val="22"/>
        </w:rPr>
      </w:pPr>
      <w:r>
        <w:rPr>
          <w:sz w:val="22"/>
        </w:rPr>
        <w:t>It would not have a significant impact on present or future users: it is highly unlikely to cause interference to incumbent users or diminish our ability to authorise other potential future</w:t>
      </w:r>
      <w:r>
        <w:rPr>
          <w:spacing w:val="-14"/>
          <w:sz w:val="22"/>
        </w:rPr>
        <w:t> </w:t>
      </w:r>
      <w:r>
        <w:rPr>
          <w:sz w:val="22"/>
        </w:rPr>
        <w:t>uses.</w:t>
      </w:r>
    </w:p>
    <w:p>
      <w:pPr>
        <w:pStyle w:val="ListParagraph"/>
        <w:numPr>
          <w:ilvl w:val="2"/>
          <w:numId w:val="1"/>
        </w:numPr>
        <w:tabs>
          <w:tab w:pos="970" w:val="left" w:leader="none"/>
          <w:tab w:pos="971" w:val="left" w:leader="none"/>
        </w:tabs>
        <w:spacing w:line="276" w:lineRule="auto" w:before="120" w:after="0"/>
        <w:ind w:left="969" w:right="193" w:hanging="850"/>
        <w:jc w:val="left"/>
        <w:rPr>
          <w:sz w:val="22"/>
        </w:rPr>
      </w:pPr>
      <w:r>
        <w:rPr>
          <w:sz w:val="22"/>
        </w:rPr>
        <w:t>As we mentioned above, there is a possibility that, in the future, we would consider repurposing the band for alternative uses, which could lead in some cases to revocation of the proposed licences if ensuring coexistence is not possible. Shared Access licences are subject to a minimum revocation notice period of one month. In this scenario, however, we would take account of the impact of this decision in determining a reasonable notice period.</w:t>
      </w:r>
      <w:r>
        <w:rPr>
          <w:spacing w:val="-3"/>
          <w:sz w:val="22"/>
        </w:rPr>
        <w:t> </w:t>
      </w:r>
      <w:r>
        <w:rPr>
          <w:sz w:val="22"/>
        </w:rPr>
        <w:t>This</w:t>
      </w:r>
      <w:r>
        <w:rPr>
          <w:spacing w:val="-2"/>
          <w:sz w:val="22"/>
        </w:rPr>
        <w:t> </w:t>
      </w:r>
      <w:r>
        <w:rPr>
          <w:sz w:val="22"/>
        </w:rPr>
        <w:t>would</w:t>
      </w:r>
      <w:r>
        <w:rPr>
          <w:spacing w:val="-4"/>
          <w:sz w:val="22"/>
        </w:rPr>
        <w:t> </w:t>
      </w:r>
      <w:r>
        <w:rPr>
          <w:sz w:val="22"/>
        </w:rPr>
        <w:t>not</w:t>
      </w:r>
      <w:r>
        <w:rPr>
          <w:spacing w:val="-3"/>
          <w:sz w:val="22"/>
        </w:rPr>
        <w:t> </w:t>
      </w:r>
      <w:r>
        <w:rPr>
          <w:sz w:val="22"/>
        </w:rPr>
        <w:t>occur</w:t>
      </w:r>
      <w:r>
        <w:rPr>
          <w:spacing w:val="-4"/>
          <w:sz w:val="22"/>
        </w:rPr>
        <w:t> </w:t>
      </w:r>
      <w:r>
        <w:rPr>
          <w:sz w:val="22"/>
        </w:rPr>
        <w:t>without</w:t>
      </w:r>
      <w:r>
        <w:rPr>
          <w:spacing w:val="-3"/>
          <w:sz w:val="22"/>
        </w:rPr>
        <w:t> </w:t>
      </w:r>
      <w:r>
        <w:rPr>
          <w:sz w:val="22"/>
        </w:rPr>
        <w:t>us</w:t>
      </w:r>
      <w:r>
        <w:rPr>
          <w:spacing w:val="-4"/>
          <w:sz w:val="22"/>
        </w:rPr>
        <w:t> </w:t>
      </w:r>
      <w:r>
        <w:rPr>
          <w:sz w:val="22"/>
        </w:rPr>
        <w:t>first</w:t>
      </w:r>
      <w:r>
        <w:rPr>
          <w:spacing w:val="-4"/>
          <w:sz w:val="22"/>
        </w:rPr>
        <w:t> </w:t>
      </w:r>
      <w:r>
        <w:rPr>
          <w:sz w:val="22"/>
        </w:rPr>
        <w:t>conducting</w:t>
      </w:r>
      <w:r>
        <w:rPr>
          <w:spacing w:val="-3"/>
          <w:sz w:val="22"/>
        </w:rPr>
        <w:t> </w:t>
      </w:r>
      <w:r>
        <w:rPr>
          <w:sz w:val="22"/>
        </w:rPr>
        <w:t>a</w:t>
      </w:r>
      <w:r>
        <w:rPr>
          <w:spacing w:val="-4"/>
          <w:sz w:val="22"/>
        </w:rPr>
        <w:t> </w:t>
      </w:r>
      <w:r>
        <w:rPr>
          <w:sz w:val="22"/>
        </w:rPr>
        <w:t>formal</w:t>
      </w:r>
      <w:r>
        <w:rPr>
          <w:spacing w:val="-3"/>
          <w:sz w:val="22"/>
        </w:rPr>
        <w:t> </w:t>
      </w:r>
      <w:r>
        <w:rPr>
          <w:sz w:val="22"/>
        </w:rPr>
        <w:t>consultation.</w:t>
      </w:r>
    </w:p>
    <w:p>
      <w:pPr>
        <w:pStyle w:val="BodyText"/>
        <w:spacing w:before="8"/>
        <w:rPr>
          <w:sz w:val="19"/>
        </w:rPr>
      </w:pPr>
    </w:p>
    <w:p>
      <w:pPr>
        <w:pStyle w:val="Heading2"/>
      </w:pPr>
      <w:bookmarkStart w:name="Next steps" w:id="10"/>
      <w:bookmarkEnd w:id="10"/>
      <w:r>
        <w:rPr>
          <w:b w:val="0"/>
        </w:rPr>
      </w:r>
      <w:r>
        <w:rPr>
          <w:color w:val="CC0044"/>
        </w:rPr>
        <w:t>Next steps</w:t>
      </w:r>
    </w:p>
    <w:p>
      <w:pPr>
        <w:pStyle w:val="ListParagraph"/>
        <w:numPr>
          <w:ilvl w:val="2"/>
          <w:numId w:val="1"/>
        </w:numPr>
        <w:tabs>
          <w:tab w:pos="970" w:val="left" w:leader="none"/>
          <w:tab w:pos="971" w:val="left" w:leader="none"/>
        </w:tabs>
        <w:spacing w:line="276" w:lineRule="auto" w:before="239" w:after="0"/>
        <w:ind w:left="970" w:right="240" w:hanging="850"/>
        <w:jc w:val="left"/>
        <w:rPr>
          <w:sz w:val="22"/>
        </w:rPr>
      </w:pPr>
      <w:r>
        <w:rPr>
          <w:sz w:val="22"/>
        </w:rPr>
        <w:t>This consultation will be open until 11 April 2022. We intend to reach a final decision later in</w:t>
      </w:r>
      <w:r>
        <w:rPr>
          <w:spacing w:val="-3"/>
          <w:sz w:val="22"/>
        </w:rPr>
        <w:t> </w:t>
      </w:r>
      <w:r>
        <w:rPr>
          <w:sz w:val="22"/>
        </w:rPr>
        <w:t>2022.</w:t>
      </w:r>
    </w:p>
    <w:p>
      <w:pPr>
        <w:spacing w:after="0" w:line="276" w:lineRule="auto"/>
        <w:jc w:val="left"/>
        <w:rPr>
          <w:sz w:val="22"/>
        </w:rPr>
        <w:sectPr>
          <w:pgSz w:w="11910" w:h="16840"/>
          <w:pgMar w:header="727" w:footer="1309" w:top="920" w:bottom="1520" w:left="1320" w:right="1340"/>
        </w:sectPr>
      </w:pPr>
    </w:p>
    <w:p>
      <w:pPr>
        <w:pStyle w:val="BodyText"/>
        <w:rPr>
          <w:sz w:val="20"/>
        </w:rPr>
      </w:pPr>
    </w:p>
    <w:p>
      <w:pPr>
        <w:pStyle w:val="BodyText"/>
        <w:rPr>
          <w:sz w:val="20"/>
        </w:rPr>
      </w:pPr>
    </w:p>
    <w:p>
      <w:pPr>
        <w:pStyle w:val="BodyText"/>
        <w:spacing w:before="2"/>
        <w:rPr>
          <w:sz w:val="23"/>
        </w:rPr>
      </w:pPr>
    </w:p>
    <w:p>
      <w:pPr>
        <w:pStyle w:val="Heading1"/>
        <w:numPr>
          <w:ilvl w:val="1"/>
          <w:numId w:val="1"/>
        </w:numPr>
        <w:tabs>
          <w:tab w:pos="619" w:val="left" w:leader="none"/>
        </w:tabs>
        <w:spacing w:line="240" w:lineRule="auto" w:before="3" w:after="0"/>
        <w:ind w:left="618" w:right="0" w:hanging="498"/>
        <w:jc w:val="left"/>
      </w:pPr>
      <w:bookmarkStart w:name="2. Background" w:id="11"/>
      <w:bookmarkEnd w:id="11"/>
      <w:r>
        <w:rPr/>
      </w:r>
      <w:bookmarkStart w:name="_bookmark1" w:id="12"/>
      <w:bookmarkEnd w:id="12"/>
      <w:r>
        <w:rPr/>
      </w:r>
      <w:bookmarkStart w:name="_bookmark1" w:id="13"/>
      <w:bookmarkEnd w:id="13"/>
      <w:r>
        <w:rPr>
          <w:color w:val="CC0044"/>
        </w:rPr>
        <w:t>Ba</w:t>
      </w:r>
      <w:r>
        <w:rPr>
          <w:color w:val="CC0044"/>
        </w:rPr>
        <w:t>ckground</w:t>
      </w:r>
    </w:p>
    <w:p>
      <w:pPr>
        <w:pStyle w:val="Heading2"/>
        <w:spacing w:before="239"/>
      </w:pPr>
      <w:bookmarkStart w:name="Current use of the upper 6 GHz band" w:id="14"/>
      <w:bookmarkEnd w:id="14"/>
      <w:r>
        <w:rPr>
          <w:b w:val="0"/>
        </w:rPr>
      </w:r>
      <w:r>
        <w:rPr>
          <w:color w:val="CC0044"/>
        </w:rPr>
        <w:t>Current use of the upper 6 GHz band</w:t>
      </w:r>
    </w:p>
    <w:p>
      <w:pPr>
        <w:pStyle w:val="ListParagraph"/>
        <w:numPr>
          <w:ilvl w:val="2"/>
          <w:numId w:val="1"/>
        </w:numPr>
        <w:tabs>
          <w:tab w:pos="970" w:val="left" w:leader="none"/>
          <w:tab w:pos="971" w:val="left" w:leader="none"/>
        </w:tabs>
        <w:spacing w:line="276" w:lineRule="auto" w:before="240" w:after="0"/>
        <w:ind w:left="971" w:right="291" w:hanging="851"/>
        <w:jc w:val="both"/>
        <w:rPr>
          <w:sz w:val="22"/>
        </w:rPr>
      </w:pPr>
      <w:r>
        <w:rPr>
          <w:sz w:val="22"/>
        </w:rPr>
        <w:t>In the UK, the upper 6 GHz band is currently used for a variety of services, including fixed links, satellites, space science uses and short-range devices. Fixed links and Fixed Satellite Services</w:t>
      </w:r>
      <w:r>
        <w:rPr>
          <w:spacing w:val="-4"/>
          <w:sz w:val="22"/>
        </w:rPr>
        <w:t> </w:t>
      </w:r>
      <w:r>
        <w:rPr>
          <w:sz w:val="22"/>
        </w:rPr>
        <w:t>(FSS)</w:t>
      </w:r>
      <w:r>
        <w:rPr>
          <w:spacing w:val="-2"/>
          <w:sz w:val="22"/>
        </w:rPr>
        <w:t> </w:t>
      </w:r>
      <w:r>
        <w:rPr>
          <w:sz w:val="22"/>
        </w:rPr>
        <w:t>are</w:t>
      </w:r>
      <w:r>
        <w:rPr>
          <w:spacing w:val="-4"/>
          <w:sz w:val="22"/>
        </w:rPr>
        <w:t> </w:t>
      </w:r>
      <w:r>
        <w:rPr>
          <w:sz w:val="22"/>
        </w:rPr>
        <w:t>licensed.</w:t>
      </w:r>
      <w:r>
        <w:rPr>
          <w:spacing w:val="-3"/>
          <w:sz w:val="22"/>
        </w:rPr>
        <w:t> </w:t>
      </w:r>
      <w:r>
        <w:rPr>
          <w:sz w:val="22"/>
        </w:rPr>
        <w:t>Most</w:t>
      </w:r>
      <w:r>
        <w:rPr>
          <w:spacing w:val="-4"/>
          <w:sz w:val="22"/>
        </w:rPr>
        <w:t> </w:t>
      </w:r>
      <w:r>
        <w:rPr>
          <w:sz w:val="22"/>
        </w:rPr>
        <w:t>of</w:t>
      </w:r>
      <w:r>
        <w:rPr>
          <w:spacing w:val="-4"/>
          <w:sz w:val="22"/>
        </w:rPr>
        <w:t> </w:t>
      </w:r>
      <w:r>
        <w:rPr>
          <w:sz w:val="22"/>
        </w:rPr>
        <w:t>these</w:t>
      </w:r>
      <w:r>
        <w:rPr>
          <w:spacing w:val="-4"/>
          <w:sz w:val="22"/>
        </w:rPr>
        <w:t> </w:t>
      </w:r>
      <w:r>
        <w:rPr>
          <w:sz w:val="22"/>
        </w:rPr>
        <w:t>services</w:t>
      </w:r>
      <w:r>
        <w:rPr>
          <w:spacing w:val="-2"/>
          <w:sz w:val="22"/>
        </w:rPr>
        <w:t> </w:t>
      </w:r>
      <w:r>
        <w:rPr>
          <w:sz w:val="22"/>
        </w:rPr>
        <w:t>use</w:t>
      </w:r>
      <w:r>
        <w:rPr>
          <w:spacing w:val="-4"/>
          <w:sz w:val="22"/>
        </w:rPr>
        <w:t> </w:t>
      </w:r>
      <w:r>
        <w:rPr>
          <w:sz w:val="22"/>
        </w:rPr>
        <w:t>the</w:t>
      </w:r>
      <w:r>
        <w:rPr>
          <w:spacing w:val="-4"/>
          <w:sz w:val="22"/>
        </w:rPr>
        <w:t> </w:t>
      </w:r>
      <w:r>
        <w:rPr>
          <w:sz w:val="22"/>
        </w:rPr>
        <w:t>band</w:t>
      </w:r>
      <w:r>
        <w:rPr>
          <w:spacing w:val="-4"/>
          <w:sz w:val="22"/>
        </w:rPr>
        <w:t> </w:t>
      </w:r>
      <w:r>
        <w:rPr>
          <w:sz w:val="22"/>
        </w:rPr>
        <w:t>outdoors.</w:t>
      </w:r>
    </w:p>
    <w:p>
      <w:pPr>
        <w:pStyle w:val="BodyText"/>
        <w:spacing w:before="4"/>
        <w:rPr>
          <w:sz w:val="16"/>
        </w:rPr>
      </w:pPr>
    </w:p>
    <w:p>
      <w:pPr>
        <w:pStyle w:val="Heading3"/>
      </w:pPr>
      <w:bookmarkStart w:name="Fixed links" w:id="15"/>
      <w:bookmarkEnd w:id="15"/>
      <w:r>
        <w:rPr>
          <w:b w:val="0"/>
        </w:rPr>
      </w:r>
      <w:r>
        <w:rPr/>
        <w:t>Fixed links</w:t>
      </w:r>
    </w:p>
    <w:p>
      <w:pPr>
        <w:pStyle w:val="ListParagraph"/>
        <w:numPr>
          <w:ilvl w:val="2"/>
          <w:numId w:val="1"/>
        </w:numPr>
        <w:tabs>
          <w:tab w:pos="970" w:val="left" w:leader="none"/>
          <w:tab w:pos="971" w:val="left" w:leader="none"/>
        </w:tabs>
        <w:spacing w:line="276" w:lineRule="auto" w:before="241" w:after="0"/>
        <w:ind w:left="970" w:right="357" w:hanging="850"/>
        <w:jc w:val="both"/>
        <w:rPr>
          <w:sz w:val="22"/>
        </w:rPr>
      </w:pPr>
      <w:r>
        <w:rPr>
          <w:sz w:val="22"/>
        </w:rPr>
        <w:t>The spectrum between 6425-7125 MHz is available for fixed link services in the UK. As of January 2022, there are approximately 500 fixed links operating in this range, compared with around 370 links in the adjacent 5925-6425 MHz</w:t>
      </w:r>
      <w:r>
        <w:rPr>
          <w:spacing w:val="-23"/>
          <w:sz w:val="22"/>
        </w:rPr>
        <w:t> </w:t>
      </w:r>
      <w:r>
        <w:rPr>
          <w:sz w:val="22"/>
        </w:rPr>
        <w:t>band.</w:t>
      </w:r>
    </w:p>
    <w:p>
      <w:pPr>
        <w:pStyle w:val="ListParagraph"/>
        <w:numPr>
          <w:ilvl w:val="2"/>
          <w:numId w:val="1"/>
        </w:numPr>
        <w:tabs>
          <w:tab w:pos="970" w:val="left" w:leader="none"/>
          <w:tab w:pos="971" w:val="left" w:leader="none"/>
        </w:tabs>
        <w:spacing w:line="276" w:lineRule="auto" w:before="119" w:after="0"/>
        <w:ind w:left="970" w:right="394" w:hanging="850"/>
        <w:jc w:val="left"/>
        <w:rPr>
          <w:sz w:val="22"/>
        </w:rPr>
      </w:pPr>
      <w:r>
        <w:rPr>
          <w:sz w:val="22"/>
        </w:rPr>
        <w:t>Fixed links have highly directional point-to-point antennas, and therefore interference is generally only caused if devices are in or near the main</w:t>
      </w:r>
      <w:r>
        <w:rPr>
          <w:spacing w:val="-32"/>
          <w:sz w:val="22"/>
        </w:rPr>
        <w:t> </w:t>
      </w:r>
      <w:r>
        <w:rPr>
          <w:sz w:val="22"/>
        </w:rPr>
        <w:t>beam.</w:t>
      </w:r>
    </w:p>
    <w:p>
      <w:pPr>
        <w:pStyle w:val="ListParagraph"/>
        <w:numPr>
          <w:ilvl w:val="2"/>
          <w:numId w:val="1"/>
        </w:numPr>
        <w:tabs>
          <w:tab w:pos="970" w:val="left" w:leader="none"/>
          <w:tab w:pos="971" w:val="left" w:leader="none"/>
        </w:tabs>
        <w:spacing w:line="276" w:lineRule="auto" w:before="120" w:after="0"/>
        <w:ind w:left="970" w:right="746" w:hanging="850"/>
        <w:jc w:val="left"/>
        <w:rPr>
          <w:sz w:val="22"/>
        </w:rPr>
      </w:pPr>
      <w:r>
        <w:rPr>
          <w:sz w:val="22"/>
        </w:rPr>
        <w:t>Fixed links licensed in this band are located across the UK, as illustrated in Figure 2.1 below.</w:t>
      </w:r>
    </w:p>
    <w:p>
      <w:pPr>
        <w:pStyle w:val="Heading5"/>
        <w:spacing w:before="119"/>
      </w:pPr>
      <w:r>
        <w:rPr/>
        <w:t>Figure 2.1: Locations of fixed links in the upper 6 GHz band</w:t>
      </w:r>
    </w:p>
    <w:p>
      <w:pPr>
        <w:pStyle w:val="BodyText"/>
        <w:spacing w:before="1"/>
        <w:rPr>
          <w:b/>
          <w:sz w:val="11"/>
        </w:rPr>
      </w:pPr>
      <w:r>
        <w:rPr/>
        <w:pict>
          <v:group style="position:absolute;margin-left:72.75pt;margin-top:8.743191pt;width:242pt;height:327pt;mso-position-horizontal-relative:page;mso-position-vertical-relative:paragraph;z-index:1144;mso-wrap-distance-left:0;mso-wrap-distance-right:0" coordorigin="1455,175" coordsize="4840,6540">
            <v:shape style="position:absolute;left:1470;top:190;width:4810;height:6510" type="#_x0000_t75" alt="A map illustrating the spread of fixed links in the upper 6 GHz band across the UK. " stroked="false">
              <v:imagedata r:id="rId11" o:title=""/>
            </v:shape>
            <v:rect style="position:absolute;left:1463;top:182;width:4825;height:6525" filled="false" stroked="true" strokeweight=".75pt" strokecolor="#383939">
              <v:stroke dashstyle="solid"/>
            </v:rect>
            <w10:wrap type="topAndBottom"/>
          </v:group>
        </w:pict>
      </w:r>
    </w:p>
    <w:p>
      <w:pPr>
        <w:spacing w:after="0"/>
        <w:rPr>
          <w:sz w:val="11"/>
        </w:rPr>
        <w:sectPr>
          <w:pgSz w:w="11910" w:h="16840"/>
          <w:pgMar w:header="727" w:footer="1309" w:top="920" w:bottom="1520" w:left="1320" w:right="1340"/>
        </w:sectPr>
      </w:pPr>
    </w:p>
    <w:p>
      <w:pPr>
        <w:pStyle w:val="BodyText"/>
        <w:rPr>
          <w:b/>
          <w:sz w:val="20"/>
        </w:rPr>
      </w:pPr>
    </w:p>
    <w:p>
      <w:pPr>
        <w:pStyle w:val="BodyText"/>
        <w:rPr>
          <w:b/>
          <w:sz w:val="20"/>
        </w:rPr>
      </w:pPr>
    </w:p>
    <w:p>
      <w:pPr>
        <w:pStyle w:val="BodyText"/>
        <w:spacing w:before="11"/>
        <w:rPr>
          <w:b/>
          <w:sz w:val="19"/>
        </w:rPr>
      </w:pPr>
    </w:p>
    <w:p>
      <w:pPr>
        <w:spacing w:before="43"/>
        <w:ind w:left="120" w:right="0" w:firstLine="0"/>
        <w:jc w:val="left"/>
        <w:rPr>
          <w:b/>
          <w:sz w:val="28"/>
        </w:rPr>
      </w:pPr>
      <w:bookmarkStart w:name="Fixed Satellite Service (FSS)" w:id="16"/>
      <w:bookmarkEnd w:id="16"/>
      <w:r>
        <w:rPr/>
      </w:r>
      <w:r>
        <w:rPr>
          <w:b/>
          <w:sz w:val="28"/>
        </w:rPr>
        <w:t>Fixed Satellite Service (FSS)</w:t>
      </w:r>
    </w:p>
    <w:p>
      <w:pPr>
        <w:pStyle w:val="ListParagraph"/>
        <w:numPr>
          <w:ilvl w:val="2"/>
          <w:numId w:val="1"/>
        </w:numPr>
        <w:tabs>
          <w:tab w:pos="970" w:val="left" w:leader="none"/>
          <w:tab w:pos="971" w:val="left" w:leader="none"/>
        </w:tabs>
        <w:spacing w:line="276" w:lineRule="auto" w:before="239" w:after="0"/>
        <w:ind w:left="970" w:right="130" w:hanging="850"/>
        <w:jc w:val="left"/>
        <w:rPr>
          <w:sz w:val="22"/>
        </w:rPr>
      </w:pPr>
      <w:r>
        <w:rPr>
          <w:sz w:val="22"/>
        </w:rPr>
        <w:t>The 5925-6700 MHz and 6700-7075 MHz bands are available for both permanent and transportable earth stations to communicate with satellites (uplink). In the 5925-6700 MHz band, there are 20 site licences for permanent earth stations covering a total of 73 earth station deployments and 220 frequency links in the UK. Twenty of the 220 frequency links are in the upper 6 GHz frequency band (6425-6700</w:t>
      </w:r>
      <w:r>
        <w:rPr>
          <w:spacing w:val="-23"/>
          <w:sz w:val="22"/>
        </w:rPr>
        <w:t> </w:t>
      </w:r>
      <w:r>
        <w:rPr>
          <w:sz w:val="22"/>
        </w:rPr>
        <w:t>MHz).</w:t>
      </w:r>
    </w:p>
    <w:p>
      <w:pPr>
        <w:pStyle w:val="ListParagraph"/>
        <w:numPr>
          <w:ilvl w:val="2"/>
          <w:numId w:val="1"/>
        </w:numPr>
        <w:tabs>
          <w:tab w:pos="970" w:val="left" w:leader="none"/>
          <w:tab w:pos="971" w:val="left" w:leader="none"/>
        </w:tabs>
        <w:spacing w:line="276" w:lineRule="auto" w:before="119" w:after="0"/>
        <w:ind w:left="970" w:right="445" w:hanging="851"/>
        <w:jc w:val="left"/>
        <w:rPr>
          <w:sz w:val="22"/>
        </w:rPr>
      </w:pPr>
      <w:r>
        <w:rPr>
          <w:sz w:val="22"/>
        </w:rPr>
        <w:t>In 6700-7075 MHz, there is one licence for seven permanent earth station deployments with 40 frequency links. There are no holders of transportable Earth station licences in either</w:t>
      </w:r>
      <w:r>
        <w:rPr>
          <w:spacing w:val="-7"/>
          <w:sz w:val="22"/>
        </w:rPr>
        <w:t> </w:t>
      </w:r>
      <w:r>
        <w:rPr>
          <w:sz w:val="22"/>
        </w:rPr>
        <w:t>band.</w:t>
      </w:r>
    </w:p>
    <w:p>
      <w:pPr>
        <w:pStyle w:val="ListParagraph"/>
        <w:numPr>
          <w:ilvl w:val="2"/>
          <w:numId w:val="1"/>
        </w:numPr>
        <w:tabs>
          <w:tab w:pos="970" w:val="left" w:leader="none"/>
          <w:tab w:pos="971" w:val="left" w:leader="none"/>
        </w:tabs>
        <w:spacing w:line="276" w:lineRule="auto" w:before="119" w:after="0"/>
        <w:ind w:left="970" w:right="172" w:hanging="850"/>
        <w:jc w:val="left"/>
        <w:rPr>
          <w:sz w:val="22"/>
        </w:rPr>
      </w:pPr>
      <w:r>
        <w:rPr>
          <w:sz w:val="22"/>
        </w:rPr>
        <w:t>In the 6700-7075 MHz band, there is also a downlink allocation for non-geostationary mobile satellite systems, however there are no licensed earth stations operating in the UK. This band can also be used by unlicensed receive-only earth stations, but this is on a non- protection</w:t>
      </w:r>
      <w:r>
        <w:rPr>
          <w:spacing w:val="-8"/>
          <w:sz w:val="22"/>
        </w:rPr>
        <w:t> </w:t>
      </w:r>
      <w:r>
        <w:rPr>
          <w:sz w:val="22"/>
        </w:rPr>
        <w:t>basis.</w:t>
      </w:r>
    </w:p>
    <w:p>
      <w:pPr>
        <w:pStyle w:val="BodyText"/>
        <w:spacing w:before="4"/>
        <w:rPr>
          <w:sz w:val="16"/>
        </w:rPr>
      </w:pPr>
    </w:p>
    <w:p>
      <w:pPr>
        <w:pStyle w:val="Heading3"/>
      </w:pPr>
      <w:bookmarkStart w:name="Earth Exploration Satellite Services (EE" w:id="17"/>
      <w:bookmarkEnd w:id="17"/>
      <w:r>
        <w:rPr>
          <w:b w:val="0"/>
        </w:rPr>
      </w:r>
      <w:r>
        <w:rPr/>
        <w:t>Earth Exploration Satellite Services (EESS)</w:t>
      </w:r>
    </w:p>
    <w:p>
      <w:pPr>
        <w:pStyle w:val="ListParagraph"/>
        <w:numPr>
          <w:ilvl w:val="2"/>
          <w:numId w:val="1"/>
        </w:numPr>
        <w:tabs>
          <w:tab w:pos="970" w:val="left" w:leader="none"/>
          <w:tab w:pos="971" w:val="left" w:leader="none"/>
        </w:tabs>
        <w:spacing w:line="276" w:lineRule="auto" w:before="239" w:after="0"/>
        <w:ind w:left="970" w:right="221" w:hanging="850"/>
        <w:jc w:val="left"/>
        <w:rPr>
          <w:sz w:val="22"/>
        </w:rPr>
      </w:pPr>
      <w:r>
        <w:rPr>
          <w:sz w:val="22"/>
        </w:rPr>
        <w:t>Passive microwave sensor measurements are carried out over the oceans in the 6425- 7075 MHz band by EESS. Measurements include wave height, water temperature, salinity and ozone concentration and other data used for environmental and weather forecasting. The adjacent 7075-7250 MHz band is used for passive measurement over</w:t>
      </w:r>
      <w:r>
        <w:rPr>
          <w:spacing w:val="-30"/>
          <w:sz w:val="22"/>
        </w:rPr>
        <w:t> </w:t>
      </w:r>
      <w:r>
        <w:rPr>
          <w:sz w:val="22"/>
        </w:rPr>
        <w:t>land.</w:t>
      </w:r>
    </w:p>
    <w:p>
      <w:pPr>
        <w:pStyle w:val="ListParagraph"/>
        <w:numPr>
          <w:ilvl w:val="2"/>
          <w:numId w:val="1"/>
        </w:numPr>
        <w:tabs>
          <w:tab w:pos="970" w:val="left" w:leader="none"/>
          <w:tab w:pos="971" w:val="left" w:leader="none"/>
        </w:tabs>
        <w:spacing w:line="276" w:lineRule="auto" w:before="120" w:after="0"/>
        <w:ind w:left="971" w:right="194" w:hanging="851"/>
        <w:jc w:val="left"/>
        <w:rPr>
          <w:sz w:val="22"/>
        </w:rPr>
      </w:pPr>
      <w:r>
        <w:rPr>
          <w:sz w:val="22"/>
        </w:rPr>
        <w:t>EESS does not have primary allocation in this band, however a footnote in the ITU Radio Regulations (5.458) states that Administrations should bear in mind the needs of the Earth Exploration (passive) and space research (passive) services in their future planning of the 6425-7075 and 7075-7250 MHz</w:t>
      </w:r>
      <w:r>
        <w:rPr>
          <w:spacing w:val="-12"/>
          <w:sz w:val="22"/>
        </w:rPr>
        <w:t> </w:t>
      </w:r>
      <w:r>
        <w:rPr>
          <w:sz w:val="22"/>
        </w:rPr>
        <w:t>bands.</w:t>
      </w:r>
    </w:p>
    <w:p>
      <w:pPr>
        <w:pStyle w:val="BodyText"/>
        <w:spacing w:before="3"/>
        <w:rPr>
          <w:sz w:val="16"/>
        </w:rPr>
      </w:pPr>
    </w:p>
    <w:p>
      <w:pPr>
        <w:pStyle w:val="Heading3"/>
      </w:pPr>
      <w:bookmarkStart w:name="Radio Astronomy" w:id="18"/>
      <w:bookmarkEnd w:id="18"/>
      <w:r>
        <w:rPr>
          <w:b w:val="0"/>
        </w:rPr>
      </w:r>
      <w:r>
        <w:rPr/>
        <w:t>Radio Astronomy</w:t>
      </w:r>
    </w:p>
    <w:p>
      <w:pPr>
        <w:pStyle w:val="ListParagraph"/>
        <w:numPr>
          <w:ilvl w:val="2"/>
          <w:numId w:val="1"/>
        </w:numPr>
        <w:tabs>
          <w:tab w:pos="970" w:val="left" w:leader="none"/>
          <w:tab w:pos="971" w:val="left" w:leader="none"/>
        </w:tabs>
        <w:spacing w:line="276" w:lineRule="auto" w:before="240" w:after="0"/>
        <w:ind w:left="970" w:right="220" w:hanging="850"/>
        <w:jc w:val="left"/>
        <w:rPr>
          <w:sz w:val="12"/>
        </w:rPr>
      </w:pPr>
      <w:r>
        <w:rPr>
          <w:sz w:val="22"/>
        </w:rPr>
        <w:t>In the UK, the 6668.518 MHz frequency is used by Radio Astronomy observatories for methanol spectral line measurements, for the study of star formation and the structure of our galaxy. In the UK, these measurements are made at the Cambridge, Darnhall, Defford, Jodrell Bank, Knockin and Pickmere</w:t>
      </w:r>
      <w:r>
        <w:rPr>
          <w:spacing w:val="-10"/>
          <w:sz w:val="22"/>
        </w:rPr>
        <w:t> </w:t>
      </w:r>
      <w:r>
        <w:rPr>
          <w:sz w:val="22"/>
        </w:rPr>
        <w:t>sites.</w:t>
      </w:r>
      <w:hyperlink w:history="true" w:anchor="_bookmark2">
        <w:r>
          <w:rPr>
            <w:position w:val="6"/>
            <w:sz w:val="12"/>
          </w:rPr>
          <w:t>1</w:t>
        </w:r>
      </w:hyperlink>
    </w:p>
    <w:p>
      <w:pPr>
        <w:pStyle w:val="ListParagraph"/>
        <w:numPr>
          <w:ilvl w:val="2"/>
          <w:numId w:val="1"/>
        </w:numPr>
        <w:tabs>
          <w:tab w:pos="970" w:val="left" w:leader="none"/>
          <w:tab w:pos="971" w:val="left" w:leader="none"/>
        </w:tabs>
        <w:spacing w:line="276" w:lineRule="auto" w:before="119" w:after="0"/>
        <w:ind w:left="970" w:right="410" w:hanging="850"/>
        <w:jc w:val="left"/>
        <w:rPr>
          <w:sz w:val="22"/>
        </w:rPr>
      </w:pPr>
      <w:r>
        <w:rPr>
          <w:sz w:val="22"/>
        </w:rPr>
        <w:t>The Radio Astronomy Service does not have Recognised Spectrum Access in the upper 6 GHz band and already shares with high power outdoor fixed links and satellite earth stations with no requirement for coordination. However, a footnote to the Radio Regulations (5.149), advises that administrations should take all practicable steps to protect the Radio Astronomy service from harmful interference when making other assignments in the 6650-6675.2 MHz</w:t>
      </w:r>
      <w:r>
        <w:rPr>
          <w:spacing w:val="-18"/>
          <w:sz w:val="22"/>
        </w:rPr>
        <w:t> </w:t>
      </w:r>
      <w:r>
        <w:rPr>
          <w:sz w:val="22"/>
        </w:rPr>
        <w:t>range.</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14"/>
        </w:rPr>
      </w:pPr>
      <w:r>
        <w:rPr/>
        <w:pict>
          <v:line style="position:absolute;mso-position-horizontal-relative:page;mso-position-vertical-relative:paragraph;z-index:1168;mso-wrap-distance-left:0;mso-wrap-distance-right:0" from="72pt,10.874702pt" to="216pt,10.874702pt" stroked="true" strokeweight=".72pt" strokecolor="#000000">
            <v:stroke dashstyle="solid"/>
            <w10:wrap type="topAndBottom"/>
          </v:line>
        </w:pict>
      </w:r>
    </w:p>
    <w:p>
      <w:pPr>
        <w:pStyle w:val="BodyText"/>
        <w:spacing w:before="6"/>
        <w:rPr>
          <w:sz w:val="12"/>
        </w:rPr>
      </w:pPr>
    </w:p>
    <w:p>
      <w:pPr>
        <w:spacing w:before="76"/>
        <w:ind w:left="120" w:right="0" w:firstLine="0"/>
        <w:jc w:val="left"/>
        <w:rPr>
          <w:sz w:val="18"/>
        </w:rPr>
      </w:pPr>
      <w:bookmarkStart w:name="_bookmark2" w:id="19"/>
      <w:bookmarkEnd w:id="19"/>
      <w:r>
        <w:rPr/>
      </w:r>
      <w:r>
        <w:rPr>
          <w:position w:val="6"/>
          <w:sz w:val="12"/>
        </w:rPr>
        <w:t>1 </w:t>
      </w:r>
      <w:hyperlink r:id="rId12">
        <w:r>
          <w:rPr>
            <w:color w:val="C70044"/>
            <w:sz w:val="18"/>
            <w:u w:val="single" w:color="C70044"/>
          </w:rPr>
          <w:t>Space science and meteorology spectrum allocations in the UK</w:t>
        </w:r>
      </w:hyperlink>
    </w:p>
    <w:p>
      <w:pPr>
        <w:spacing w:after="0"/>
        <w:jc w:val="left"/>
        <w:rPr>
          <w:sz w:val="18"/>
        </w:rPr>
        <w:sectPr>
          <w:pgSz w:w="11910" w:h="16840"/>
          <w:pgMar w:header="727" w:footer="1309" w:top="920" w:bottom="1500" w:left="1320" w:right="1340"/>
        </w:sectPr>
      </w:pPr>
    </w:p>
    <w:p>
      <w:pPr>
        <w:pStyle w:val="BodyText"/>
        <w:rPr>
          <w:sz w:val="20"/>
        </w:rPr>
      </w:pPr>
    </w:p>
    <w:p>
      <w:pPr>
        <w:pStyle w:val="BodyText"/>
        <w:rPr>
          <w:sz w:val="20"/>
        </w:rPr>
      </w:pPr>
    </w:p>
    <w:p>
      <w:pPr>
        <w:pStyle w:val="BodyText"/>
        <w:spacing w:before="11"/>
        <w:rPr>
          <w:sz w:val="19"/>
        </w:rPr>
      </w:pPr>
    </w:p>
    <w:p>
      <w:pPr>
        <w:pStyle w:val="Heading3"/>
        <w:spacing w:before="43"/>
      </w:pPr>
      <w:bookmarkStart w:name="Short Range Devices" w:id="20"/>
      <w:bookmarkEnd w:id="20"/>
      <w:r>
        <w:rPr>
          <w:b w:val="0"/>
        </w:rPr>
      </w:r>
      <w:r>
        <w:rPr/>
        <w:t>Short Range Devices</w:t>
      </w:r>
    </w:p>
    <w:p>
      <w:pPr>
        <w:pStyle w:val="ListParagraph"/>
        <w:numPr>
          <w:ilvl w:val="2"/>
          <w:numId w:val="1"/>
        </w:numPr>
        <w:tabs>
          <w:tab w:pos="970" w:val="left" w:leader="none"/>
          <w:tab w:pos="971" w:val="left" w:leader="none"/>
        </w:tabs>
        <w:spacing w:line="276" w:lineRule="auto" w:before="239" w:after="0"/>
        <w:ind w:left="970" w:right="479" w:hanging="850"/>
        <w:jc w:val="left"/>
        <w:rPr>
          <w:sz w:val="22"/>
        </w:rPr>
      </w:pPr>
      <w:r>
        <w:rPr>
          <w:sz w:val="22"/>
        </w:rPr>
        <w:t>We have implemented various European Commission Decisions that make harmonised spectrum available for Short Range Devices.</w:t>
      </w:r>
      <w:hyperlink w:history="true" w:anchor="_bookmark3">
        <w:r>
          <w:rPr>
            <w:position w:val="6"/>
            <w:sz w:val="12"/>
          </w:rPr>
          <w:t>2</w:t>
        </w:r>
      </w:hyperlink>
      <w:r>
        <w:rPr>
          <w:position w:val="6"/>
          <w:sz w:val="12"/>
        </w:rPr>
        <w:t> </w:t>
      </w:r>
      <w:r>
        <w:rPr>
          <w:sz w:val="22"/>
        </w:rPr>
        <w:t>The 6425-7100 MHz and 4500-7000 MHz bands are available for radio determination devices and radar level gauges (in 5150- 7100 MHz).</w:t>
      </w:r>
      <w:hyperlink w:history="true" w:anchor="_bookmark4">
        <w:r>
          <w:rPr>
            <w:position w:val="6"/>
            <w:sz w:val="12"/>
          </w:rPr>
          <w:t>3</w:t>
        </w:r>
      </w:hyperlink>
      <w:r>
        <w:rPr>
          <w:position w:val="6"/>
          <w:sz w:val="12"/>
        </w:rPr>
        <w:t> </w:t>
      </w:r>
      <w:r>
        <w:rPr>
          <w:sz w:val="22"/>
        </w:rPr>
        <w:t>Tank Level Probing Radar (TLPR) is a specific type of radiodetermination application used to measure the level of liquids or granulates for process control, liquid monitoring, spill prevention and other industrial processes. TLPR sensors are usually installed in metallic or reinforced concrete tanks and are required to have dedicated antennas with strict downwards</w:t>
      </w:r>
      <w:r>
        <w:rPr>
          <w:spacing w:val="-20"/>
          <w:sz w:val="22"/>
        </w:rPr>
        <w:t> </w:t>
      </w:r>
      <w:r>
        <w:rPr>
          <w:sz w:val="22"/>
        </w:rPr>
        <w:t>orientation.</w:t>
      </w:r>
    </w:p>
    <w:p>
      <w:pPr>
        <w:pStyle w:val="ListParagraph"/>
        <w:numPr>
          <w:ilvl w:val="2"/>
          <w:numId w:val="1"/>
        </w:numPr>
        <w:tabs>
          <w:tab w:pos="970" w:val="left" w:leader="none"/>
          <w:tab w:pos="971" w:val="left" w:leader="none"/>
        </w:tabs>
        <w:spacing w:line="276" w:lineRule="auto" w:before="119" w:after="0"/>
        <w:ind w:left="970" w:right="184" w:hanging="850"/>
        <w:jc w:val="left"/>
        <w:rPr>
          <w:sz w:val="22"/>
        </w:rPr>
      </w:pPr>
      <w:r>
        <w:rPr>
          <w:sz w:val="22"/>
        </w:rPr>
        <w:t>The 6000-8500 MHz band is also used by ultra-wideband (UWB) equipment for applications such as location tracking, vehicle access, consumer devices (IoT, smart home), sensors and building material</w:t>
      </w:r>
      <w:r>
        <w:rPr>
          <w:spacing w:val="-16"/>
          <w:sz w:val="22"/>
        </w:rPr>
        <w:t> </w:t>
      </w:r>
      <w:r>
        <w:rPr>
          <w:sz w:val="22"/>
        </w:rPr>
        <w:t>analysis.</w:t>
      </w:r>
    </w:p>
    <w:p>
      <w:pPr>
        <w:pStyle w:val="BodyText"/>
        <w:spacing w:before="7"/>
        <w:rPr>
          <w:sz w:val="19"/>
        </w:rPr>
      </w:pPr>
    </w:p>
    <w:p>
      <w:pPr>
        <w:pStyle w:val="Heading2"/>
        <w:ind w:right="1397"/>
      </w:pPr>
      <w:bookmarkStart w:name="This band has significant industry inter" w:id="21"/>
      <w:bookmarkEnd w:id="21"/>
      <w:r>
        <w:rPr>
          <w:b w:val="0"/>
        </w:rPr>
      </w:r>
      <w:r>
        <w:rPr>
          <w:color w:val="CC0044"/>
        </w:rPr>
        <w:t>This band has significant industry interest, and equipment availability</w:t>
      </w:r>
    </w:p>
    <w:p>
      <w:pPr>
        <w:pStyle w:val="ListParagraph"/>
        <w:numPr>
          <w:ilvl w:val="2"/>
          <w:numId w:val="1"/>
        </w:numPr>
        <w:tabs>
          <w:tab w:pos="970" w:val="left" w:leader="none"/>
          <w:tab w:pos="971" w:val="left" w:leader="none"/>
        </w:tabs>
        <w:spacing w:line="276" w:lineRule="auto" w:before="239" w:after="0"/>
        <w:ind w:left="970" w:right="109" w:hanging="850"/>
        <w:jc w:val="left"/>
        <w:rPr>
          <w:sz w:val="22"/>
        </w:rPr>
      </w:pPr>
      <w:r>
        <w:rPr>
          <w:sz w:val="22"/>
        </w:rPr>
        <w:t>We are aware of industry interest in the use of this band for licence-exempt consumer Wi- Fi or for licensed 5G mobile networks. These and other uses are outside of the scope of this consultation document. Technical compatibility work to establish whether and how 5G mobile and licence-exempt Wi-Fi can share the band with each other or other incumbents is still ongoing, and it may be some time before we can form a view on these uses. On the other hand, our proposals in this document do not impact our ability to consider authorising these uses in the</w:t>
      </w:r>
      <w:r>
        <w:rPr>
          <w:spacing w:val="-20"/>
          <w:sz w:val="22"/>
        </w:rPr>
        <w:t> </w:t>
      </w:r>
      <w:r>
        <w:rPr>
          <w:sz w:val="22"/>
        </w:rPr>
        <w:t>future.</w:t>
      </w:r>
    </w:p>
    <w:p>
      <w:pPr>
        <w:pStyle w:val="ListParagraph"/>
        <w:numPr>
          <w:ilvl w:val="2"/>
          <w:numId w:val="1"/>
        </w:numPr>
        <w:tabs>
          <w:tab w:pos="970" w:val="left" w:leader="none"/>
          <w:tab w:pos="971" w:val="left" w:leader="none"/>
        </w:tabs>
        <w:spacing w:line="276" w:lineRule="auto" w:before="119" w:after="0"/>
        <w:ind w:left="970" w:right="179" w:hanging="850"/>
        <w:jc w:val="left"/>
        <w:rPr>
          <w:sz w:val="22"/>
        </w:rPr>
      </w:pPr>
      <w:r>
        <w:rPr>
          <w:sz w:val="22"/>
        </w:rPr>
        <w:t>We are actively participating in the international preparations for the World Radiocommunication Conference 2023 (WRC-23) and possible CEPT deliverables, including technical compatibility activities for the upper 6 GHz band and gauging views from interested UK stakeholders. We will be consulting separately later this year on our preparatory considerations for WRC-23, including our emerging view on the upper 6 GHz band.</w:t>
      </w:r>
    </w:p>
    <w:p>
      <w:pPr>
        <w:pStyle w:val="ListParagraph"/>
        <w:numPr>
          <w:ilvl w:val="2"/>
          <w:numId w:val="1"/>
        </w:numPr>
        <w:tabs>
          <w:tab w:pos="970" w:val="left" w:leader="none"/>
          <w:tab w:pos="971" w:val="left" w:leader="none"/>
        </w:tabs>
        <w:spacing w:line="276" w:lineRule="auto" w:before="119" w:after="0"/>
        <w:ind w:left="970" w:right="268" w:hanging="850"/>
        <w:jc w:val="left"/>
        <w:rPr>
          <w:sz w:val="22"/>
        </w:rPr>
      </w:pPr>
      <w:r>
        <w:rPr>
          <w:sz w:val="22"/>
        </w:rPr>
        <w:t>To improve consumer and industrial Wi-Fi experience and reduce congestion in existing channels, last year we </w:t>
      </w:r>
      <w:hyperlink r:id="rId14">
        <w:r>
          <w:rPr>
            <w:color w:val="C70044"/>
            <w:sz w:val="22"/>
            <w:u w:val="single" w:color="C70044"/>
          </w:rPr>
          <w:t>made the lower 6 GHz (5925-6425 MHz) band </w:t>
        </w:r>
      </w:hyperlink>
      <w:r>
        <w:rPr>
          <w:sz w:val="22"/>
        </w:rPr>
        <w:t>available for licence- exempt use by RLAN equipment, including Wi-Fi. We said that we anticipated that this would enable new technologies and improvements in equipment</w:t>
      </w:r>
      <w:r>
        <w:rPr>
          <w:spacing w:val="-35"/>
          <w:sz w:val="22"/>
        </w:rPr>
        <w:t> </w:t>
      </w:r>
      <w:r>
        <w:rPr>
          <w:sz w:val="22"/>
        </w:rPr>
        <w:t>performance.</w:t>
      </w:r>
    </w:p>
    <w:p>
      <w:pPr>
        <w:pStyle w:val="ListParagraph"/>
        <w:numPr>
          <w:ilvl w:val="2"/>
          <w:numId w:val="1"/>
        </w:numPr>
        <w:tabs>
          <w:tab w:pos="970" w:val="left" w:leader="none"/>
          <w:tab w:pos="971" w:val="left" w:leader="none"/>
        </w:tabs>
        <w:spacing w:line="276" w:lineRule="auto" w:before="120" w:after="0"/>
        <w:ind w:left="970" w:right="268" w:hanging="850"/>
        <w:jc w:val="left"/>
        <w:rPr>
          <w:sz w:val="22"/>
        </w:rPr>
      </w:pPr>
      <w:r>
        <w:rPr>
          <w:sz w:val="22"/>
        </w:rPr>
        <w:t>There is an increasing amount of low-power equipment and components, such as Wi-Fi routers, chipsets and terminals, available for both the lower and upper parts of the 6 GHz band (5925-7125 MHz). This is driven by a </w:t>
      </w:r>
      <w:hyperlink r:id="rId15">
        <w:r>
          <w:rPr>
            <w:color w:val="C70044"/>
            <w:sz w:val="22"/>
            <w:u w:val="single" w:color="C70044"/>
          </w:rPr>
          <w:t>growing number of countries </w:t>
        </w:r>
      </w:hyperlink>
      <w:r>
        <w:rPr>
          <w:sz w:val="22"/>
        </w:rPr>
        <w:t>that have authorised</w:t>
      </w:r>
      <w:r>
        <w:rPr>
          <w:spacing w:val="-3"/>
          <w:sz w:val="22"/>
        </w:rPr>
        <w:t> </w:t>
      </w:r>
      <w:r>
        <w:rPr>
          <w:sz w:val="22"/>
        </w:rPr>
        <w:t>use</w:t>
      </w:r>
      <w:r>
        <w:rPr>
          <w:spacing w:val="-4"/>
          <w:sz w:val="22"/>
        </w:rPr>
        <w:t> </w:t>
      </w:r>
      <w:r>
        <w:rPr>
          <w:sz w:val="22"/>
        </w:rPr>
        <w:t>of</w:t>
      </w:r>
      <w:r>
        <w:rPr>
          <w:spacing w:val="-4"/>
          <w:sz w:val="22"/>
        </w:rPr>
        <w:t> </w:t>
      </w:r>
      <w:r>
        <w:rPr>
          <w:sz w:val="22"/>
        </w:rPr>
        <w:t>the</w:t>
      </w:r>
      <w:r>
        <w:rPr>
          <w:spacing w:val="-4"/>
          <w:sz w:val="22"/>
        </w:rPr>
        <w:t> </w:t>
      </w:r>
      <w:r>
        <w:rPr>
          <w:sz w:val="22"/>
        </w:rPr>
        <w:t>band,</w:t>
      </w:r>
      <w:r>
        <w:rPr>
          <w:spacing w:val="-4"/>
          <w:sz w:val="22"/>
        </w:rPr>
        <w:t> </w:t>
      </w:r>
      <w:r>
        <w:rPr>
          <w:sz w:val="22"/>
        </w:rPr>
        <w:t>or</w:t>
      </w:r>
      <w:r>
        <w:rPr>
          <w:spacing w:val="-4"/>
          <w:sz w:val="22"/>
        </w:rPr>
        <w:t> </w:t>
      </w:r>
      <w:r>
        <w:rPr>
          <w:sz w:val="22"/>
        </w:rPr>
        <w:t>part</w:t>
      </w:r>
      <w:r>
        <w:rPr>
          <w:spacing w:val="-4"/>
          <w:sz w:val="22"/>
        </w:rPr>
        <w:t> </w:t>
      </w:r>
      <w:r>
        <w:rPr>
          <w:sz w:val="22"/>
        </w:rPr>
        <w:t>of</w:t>
      </w:r>
      <w:r>
        <w:rPr>
          <w:spacing w:val="-3"/>
          <w:sz w:val="22"/>
        </w:rPr>
        <w:t> </w:t>
      </w:r>
      <w:r>
        <w:rPr>
          <w:sz w:val="22"/>
        </w:rPr>
        <w:t>the</w:t>
      </w:r>
      <w:r>
        <w:rPr>
          <w:spacing w:val="-4"/>
          <w:sz w:val="22"/>
        </w:rPr>
        <w:t> </w:t>
      </w:r>
      <w:r>
        <w:rPr>
          <w:sz w:val="22"/>
        </w:rPr>
        <w:t>band,</w:t>
      </w:r>
      <w:r>
        <w:rPr>
          <w:spacing w:val="-2"/>
          <w:sz w:val="22"/>
        </w:rPr>
        <w:t> </w:t>
      </w:r>
      <w:r>
        <w:rPr>
          <w:sz w:val="22"/>
        </w:rPr>
        <w:t>for</w:t>
      </w:r>
      <w:r>
        <w:rPr>
          <w:spacing w:val="-4"/>
          <w:sz w:val="22"/>
        </w:rPr>
        <w:t> </w:t>
      </w:r>
      <w:r>
        <w:rPr>
          <w:sz w:val="22"/>
        </w:rPr>
        <w:t>licence-exempt</w:t>
      </w:r>
      <w:r>
        <w:rPr>
          <w:spacing w:val="-2"/>
          <w:sz w:val="22"/>
        </w:rPr>
        <w:t> </w:t>
      </w:r>
      <w:r>
        <w:rPr>
          <w:sz w:val="22"/>
        </w:rPr>
        <w:t>RLAN</w:t>
      </w:r>
      <w:r>
        <w:rPr>
          <w:spacing w:val="-3"/>
          <w:sz w:val="22"/>
        </w:rPr>
        <w:t> </w:t>
      </w:r>
      <w:r>
        <w:rPr>
          <w:sz w:val="22"/>
        </w:rPr>
        <w:t>use.</w:t>
      </w:r>
      <w:r>
        <w:rPr>
          <w:spacing w:val="-4"/>
          <w:sz w:val="22"/>
        </w:rPr>
        <w:t> </w:t>
      </w:r>
      <w:r>
        <w:rPr>
          <w:sz w:val="22"/>
        </w:rPr>
        <w:t>Making</w:t>
      </w:r>
      <w:r>
        <w:rPr>
          <w:spacing w:val="-3"/>
          <w:sz w:val="22"/>
        </w:rPr>
        <w:t> </w:t>
      </w:r>
      <w:r>
        <w:rPr>
          <w:sz w:val="22"/>
        </w:rPr>
        <w:t>the</w:t>
      </w:r>
    </w:p>
    <w:p>
      <w:pPr>
        <w:pStyle w:val="BodyText"/>
        <w:rPr>
          <w:sz w:val="20"/>
        </w:rPr>
      </w:pPr>
    </w:p>
    <w:p>
      <w:pPr>
        <w:pStyle w:val="BodyText"/>
        <w:rPr>
          <w:sz w:val="20"/>
        </w:rPr>
      </w:pPr>
    </w:p>
    <w:p>
      <w:pPr>
        <w:pStyle w:val="BodyText"/>
        <w:spacing w:before="1"/>
        <w:rPr>
          <w:sz w:val="10"/>
        </w:rPr>
      </w:pPr>
      <w:r>
        <w:rPr/>
        <w:pict>
          <v:line style="position:absolute;mso-position-horizontal-relative:page;mso-position-vertical-relative:paragraph;z-index:1192;mso-wrap-distance-left:0;mso-wrap-distance-right:0" from="72pt,8.521665pt" to="216pt,8.521665pt" stroked="true" strokeweight=".72pt" strokecolor="#000000">
            <v:stroke dashstyle="solid"/>
            <w10:wrap type="topAndBottom"/>
          </v:line>
        </w:pict>
      </w:r>
    </w:p>
    <w:p>
      <w:pPr>
        <w:pStyle w:val="BodyText"/>
        <w:spacing w:before="6"/>
        <w:rPr>
          <w:sz w:val="12"/>
        </w:rPr>
      </w:pPr>
    </w:p>
    <w:p>
      <w:pPr>
        <w:spacing w:line="221" w:lineRule="exact" w:before="76"/>
        <w:ind w:left="120" w:right="0" w:firstLine="0"/>
        <w:jc w:val="left"/>
        <w:rPr>
          <w:sz w:val="18"/>
        </w:rPr>
      </w:pPr>
      <w:bookmarkStart w:name="_bookmark3" w:id="22"/>
      <w:bookmarkEnd w:id="22"/>
      <w:r>
        <w:rPr/>
      </w:r>
      <w:r>
        <w:rPr>
          <w:position w:val="6"/>
          <w:sz w:val="12"/>
        </w:rPr>
        <w:t>2 </w:t>
      </w:r>
      <w:r>
        <w:rPr>
          <w:sz w:val="18"/>
        </w:rPr>
        <w:t>Commission Decisions </w:t>
      </w:r>
      <w:hyperlink r:id="rId16">
        <w:r>
          <w:rPr>
            <w:color w:val="C70044"/>
            <w:sz w:val="18"/>
            <w:u w:val="single" w:color="C70044"/>
          </w:rPr>
          <w:t>2006/771/EC</w:t>
        </w:r>
        <w:r>
          <w:rPr>
            <w:sz w:val="18"/>
          </w:rPr>
          <w:t>,</w:t>
        </w:r>
      </w:hyperlink>
      <w:r>
        <w:rPr>
          <w:sz w:val="18"/>
        </w:rPr>
        <w:t> </w:t>
      </w:r>
      <w:hyperlink r:id="rId17">
        <w:r>
          <w:rPr>
            <w:color w:val="C70044"/>
            <w:sz w:val="18"/>
            <w:u w:val="single" w:color="C70044"/>
          </w:rPr>
          <w:t>2008/432/EC</w:t>
        </w:r>
        <w:r>
          <w:rPr>
            <w:sz w:val="18"/>
          </w:rPr>
          <w:t>,</w:t>
        </w:r>
      </w:hyperlink>
      <w:r>
        <w:rPr>
          <w:sz w:val="18"/>
        </w:rPr>
        <w:t> </w:t>
      </w:r>
      <w:hyperlink r:id="rId18">
        <w:r>
          <w:rPr>
            <w:color w:val="C70044"/>
            <w:sz w:val="18"/>
            <w:u w:val="single" w:color="C70044"/>
          </w:rPr>
          <w:t>2009/381/EC</w:t>
        </w:r>
        <w:r>
          <w:rPr>
            <w:sz w:val="18"/>
          </w:rPr>
          <w:t>,</w:t>
        </w:r>
      </w:hyperlink>
      <w:r>
        <w:rPr>
          <w:sz w:val="18"/>
        </w:rPr>
        <w:t> </w:t>
      </w:r>
      <w:hyperlink r:id="rId19">
        <w:r>
          <w:rPr>
            <w:color w:val="C70044"/>
            <w:sz w:val="18"/>
            <w:u w:val="single" w:color="C70044"/>
          </w:rPr>
          <w:t>2010/368/EU</w:t>
        </w:r>
        <w:r>
          <w:rPr>
            <w:sz w:val="18"/>
          </w:rPr>
          <w:t>,</w:t>
        </w:r>
      </w:hyperlink>
      <w:r>
        <w:rPr>
          <w:sz w:val="18"/>
        </w:rPr>
        <w:t> </w:t>
      </w:r>
      <w:hyperlink r:id="rId20">
        <w:r>
          <w:rPr>
            <w:color w:val="C70044"/>
            <w:sz w:val="18"/>
            <w:u w:val="single" w:color="C70044"/>
          </w:rPr>
          <w:t>2011/829/EU </w:t>
        </w:r>
      </w:hyperlink>
      <w:r>
        <w:rPr>
          <w:sz w:val="18"/>
        </w:rPr>
        <w:t>and </w:t>
      </w:r>
      <w:hyperlink r:id="rId21">
        <w:r>
          <w:rPr>
            <w:color w:val="C70044"/>
            <w:sz w:val="18"/>
            <w:u w:val="single" w:color="C70044"/>
          </w:rPr>
          <w:t>2013/752/EU</w:t>
        </w:r>
      </w:hyperlink>
    </w:p>
    <w:p>
      <w:pPr>
        <w:spacing w:line="221" w:lineRule="exact" w:before="0"/>
        <w:ind w:left="120" w:right="0" w:firstLine="0"/>
        <w:jc w:val="left"/>
        <w:rPr>
          <w:sz w:val="18"/>
        </w:rPr>
      </w:pPr>
      <w:bookmarkStart w:name="_bookmark4" w:id="23"/>
      <w:bookmarkEnd w:id="23"/>
      <w:r>
        <w:rPr/>
      </w:r>
      <w:r>
        <w:rPr>
          <w:position w:val="6"/>
          <w:sz w:val="12"/>
        </w:rPr>
        <w:t>3 </w:t>
      </w:r>
      <w:hyperlink r:id="rId22">
        <w:r>
          <w:rPr>
            <w:color w:val="C70044"/>
            <w:sz w:val="18"/>
            <w:u w:val="single" w:color="C70044"/>
          </w:rPr>
          <w:t>IR 2030 – Licence Exempt Short Range Devices (ofcom.org.uk)</w:t>
        </w:r>
      </w:hyperlink>
    </w:p>
    <w:p>
      <w:pPr>
        <w:spacing w:after="0" w:line="221" w:lineRule="exact"/>
        <w:jc w:val="left"/>
        <w:rPr>
          <w:sz w:val="18"/>
        </w:rPr>
        <w:sectPr>
          <w:footerReference w:type="default" r:id="rId13"/>
          <w:pgSz w:w="11910" w:h="16840"/>
          <w:pgMar w:footer="1309" w:header="727" w:top="920" w:bottom="1500" w:left="1320" w:right="1340"/>
          <w:pgNumType w:start="8"/>
        </w:sectPr>
      </w:pPr>
    </w:p>
    <w:p>
      <w:pPr>
        <w:pStyle w:val="BodyText"/>
        <w:rPr>
          <w:sz w:val="20"/>
        </w:rPr>
      </w:pPr>
    </w:p>
    <w:p>
      <w:pPr>
        <w:pStyle w:val="BodyText"/>
        <w:rPr>
          <w:sz w:val="20"/>
        </w:rPr>
      </w:pPr>
    </w:p>
    <w:p>
      <w:pPr>
        <w:pStyle w:val="BodyText"/>
        <w:spacing w:before="11"/>
        <w:rPr>
          <w:sz w:val="18"/>
        </w:rPr>
      </w:pPr>
    </w:p>
    <w:p>
      <w:pPr>
        <w:pStyle w:val="BodyText"/>
        <w:spacing w:line="276" w:lineRule="auto" w:before="56"/>
        <w:ind w:left="1550" w:right="1069"/>
      </w:pPr>
      <w:r>
        <w:rPr/>
        <w:t>upper part of the band available in the UK would allow users to benefit from this growing market of inexpensive new equipment.</w:t>
      </w:r>
    </w:p>
    <w:p>
      <w:pPr>
        <w:pStyle w:val="ListParagraph"/>
        <w:numPr>
          <w:ilvl w:val="2"/>
          <w:numId w:val="1"/>
        </w:numPr>
        <w:tabs>
          <w:tab w:pos="1550" w:val="left" w:leader="none"/>
          <w:tab w:pos="1551" w:val="left" w:leader="none"/>
        </w:tabs>
        <w:spacing w:line="276" w:lineRule="auto" w:before="119" w:after="0"/>
        <w:ind w:left="1550" w:right="1115" w:hanging="851"/>
        <w:jc w:val="left"/>
        <w:rPr>
          <w:sz w:val="22"/>
        </w:rPr>
      </w:pPr>
      <w:r>
        <w:rPr>
          <w:sz w:val="22"/>
        </w:rPr>
        <w:t>In addition to equipment availability, another benefit of the 6 GHz band is access to wide channels (up to 320 MHz in current and planned equipment). This could have significant benefits</w:t>
      </w:r>
      <w:r>
        <w:rPr>
          <w:spacing w:val="-7"/>
          <w:sz w:val="22"/>
        </w:rPr>
        <w:t> </w:t>
      </w:r>
      <w:r>
        <w:rPr>
          <w:sz w:val="22"/>
        </w:rPr>
        <w:t>for</w:t>
      </w:r>
      <w:r>
        <w:rPr>
          <w:spacing w:val="-8"/>
          <w:sz w:val="22"/>
        </w:rPr>
        <w:t> </w:t>
      </w:r>
      <w:r>
        <w:rPr>
          <w:sz w:val="22"/>
        </w:rPr>
        <w:t>high-capacity,</w:t>
      </w:r>
      <w:r>
        <w:rPr>
          <w:spacing w:val="-7"/>
          <w:sz w:val="22"/>
        </w:rPr>
        <w:t> </w:t>
      </w:r>
      <w:r>
        <w:rPr>
          <w:sz w:val="22"/>
        </w:rPr>
        <w:t>high-reliability</w:t>
      </w:r>
      <w:r>
        <w:rPr>
          <w:spacing w:val="-8"/>
          <w:sz w:val="22"/>
        </w:rPr>
        <w:t> </w:t>
      </w:r>
      <w:r>
        <w:rPr>
          <w:sz w:val="22"/>
        </w:rPr>
        <w:t>industrial</w:t>
      </w:r>
      <w:r>
        <w:rPr>
          <w:spacing w:val="-8"/>
          <w:sz w:val="22"/>
        </w:rPr>
        <w:t> </w:t>
      </w:r>
      <w:r>
        <w:rPr>
          <w:sz w:val="22"/>
        </w:rPr>
        <w:t>uses.</w:t>
      </w:r>
    </w:p>
    <w:p>
      <w:pPr>
        <w:pStyle w:val="ListParagraph"/>
        <w:numPr>
          <w:ilvl w:val="2"/>
          <w:numId w:val="1"/>
        </w:numPr>
        <w:tabs>
          <w:tab w:pos="1550" w:val="left" w:leader="none"/>
          <w:tab w:pos="1551" w:val="left" w:leader="none"/>
        </w:tabs>
        <w:spacing w:line="276" w:lineRule="auto" w:before="119" w:after="0"/>
        <w:ind w:left="1549" w:right="1204" w:hanging="850"/>
        <w:jc w:val="left"/>
        <w:rPr>
          <w:sz w:val="22"/>
        </w:rPr>
      </w:pPr>
      <w:r>
        <w:rPr>
          <w:sz w:val="22"/>
        </w:rPr>
        <w:t>Although this band extends to 7125 MHz in some existing equipment and in some other countries, in this proposal we have only considered authorising up to 7070 MHz. This is because</w:t>
      </w:r>
      <w:r>
        <w:rPr>
          <w:spacing w:val="-3"/>
          <w:sz w:val="22"/>
        </w:rPr>
        <w:t> </w:t>
      </w:r>
      <w:r>
        <w:rPr>
          <w:sz w:val="22"/>
        </w:rPr>
        <w:t>we</w:t>
      </w:r>
      <w:r>
        <w:rPr>
          <w:spacing w:val="-3"/>
          <w:sz w:val="22"/>
        </w:rPr>
        <w:t> </w:t>
      </w:r>
      <w:r>
        <w:rPr>
          <w:sz w:val="22"/>
        </w:rPr>
        <w:t>would</w:t>
      </w:r>
      <w:r>
        <w:rPr>
          <w:spacing w:val="-4"/>
          <w:sz w:val="22"/>
        </w:rPr>
        <w:t> </w:t>
      </w:r>
      <w:r>
        <w:rPr>
          <w:sz w:val="22"/>
        </w:rPr>
        <w:t>need</w:t>
      </w:r>
      <w:r>
        <w:rPr>
          <w:spacing w:val="-4"/>
          <w:sz w:val="22"/>
        </w:rPr>
        <w:t> </w:t>
      </w:r>
      <w:r>
        <w:rPr>
          <w:sz w:val="22"/>
        </w:rPr>
        <w:t>additional</w:t>
      </w:r>
      <w:r>
        <w:rPr>
          <w:spacing w:val="-3"/>
          <w:sz w:val="22"/>
        </w:rPr>
        <w:t> </w:t>
      </w:r>
      <w:r>
        <w:rPr>
          <w:sz w:val="22"/>
        </w:rPr>
        <w:t>time</w:t>
      </w:r>
      <w:r>
        <w:rPr>
          <w:spacing w:val="-4"/>
          <w:sz w:val="22"/>
        </w:rPr>
        <w:t> </w:t>
      </w:r>
      <w:r>
        <w:rPr>
          <w:sz w:val="22"/>
        </w:rPr>
        <w:t>to</w:t>
      </w:r>
      <w:r>
        <w:rPr>
          <w:spacing w:val="-2"/>
          <w:sz w:val="22"/>
        </w:rPr>
        <w:t> </w:t>
      </w:r>
      <w:r>
        <w:rPr>
          <w:sz w:val="22"/>
        </w:rPr>
        <w:t>consider</w:t>
      </w:r>
      <w:r>
        <w:rPr>
          <w:spacing w:val="-3"/>
          <w:sz w:val="22"/>
        </w:rPr>
        <w:t> </w:t>
      </w:r>
      <w:r>
        <w:rPr>
          <w:sz w:val="22"/>
        </w:rPr>
        <w:t>the</w:t>
      </w:r>
      <w:r>
        <w:rPr>
          <w:spacing w:val="-4"/>
          <w:sz w:val="22"/>
        </w:rPr>
        <w:t> </w:t>
      </w:r>
      <w:r>
        <w:rPr>
          <w:sz w:val="22"/>
        </w:rPr>
        <w:t>impact</w:t>
      </w:r>
      <w:r>
        <w:rPr>
          <w:spacing w:val="-4"/>
          <w:sz w:val="22"/>
        </w:rPr>
        <w:t> </w:t>
      </w:r>
      <w:r>
        <w:rPr>
          <w:sz w:val="22"/>
        </w:rPr>
        <w:t>on</w:t>
      </w:r>
      <w:r>
        <w:rPr>
          <w:spacing w:val="-4"/>
          <w:sz w:val="22"/>
        </w:rPr>
        <w:t> </w:t>
      </w:r>
      <w:r>
        <w:rPr>
          <w:sz w:val="22"/>
        </w:rPr>
        <w:t>users</w:t>
      </w:r>
      <w:r>
        <w:rPr>
          <w:spacing w:val="-4"/>
          <w:sz w:val="22"/>
        </w:rPr>
        <w:t> </w:t>
      </w:r>
      <w:r>
        <w:rPr>
          <w:sz w:val="22"/>
        </w:rPr>
        <w:t>of</w:t>
      </w:r>
      <w:r>
        <w:rPr>
          <w:spacing w:val="-4"/>
          <w:sz w:val="22"/>
        </w:rPr>
        <w:t> </w:t>
      </w:r>
      <w:r>
        <w:rPr>
          <w:sz w:val="22"/>
        </w:rPr>
        <w:t>7070-</w:t>
      </w:r>
    </w:p>
    <w:p>
      <w:pPr>
        <w:pStyle w:val="BodyText"/>
        <w:spacing w:line="276" w:lineRule="auto"/>
        <w:ind w:left="1549" w:right="889"/>
        <w:jc w:val="both"/>
      </w:pPr>
      <w:r>
        <w:rPr/>
        <w:t>7125 MHz, including Earth Exploration Satellite Services (EESS) and Programme Making and Special Events (PMSE) applications, and we opted to expedite the potential release of most of the band, while retaining the ability to consider the remainder at a later date.</w:t>
      </w:r>
    </w:p>
    <w:p>
      <w:pPr>
        <w:pStyle w:val="ListParagraph"/>
        <w:numPr>
          <w:ilvl w:val="2"/>
          <w:numId w:val="1"/>
        </w:numPr>
        <w:tabs>
          <w:tab w:pos="1549" w:val="left" w:leader="none"/>
          <w:tab w:pos="1550" w:val="left" w:leader="none"/>
        </w:tabs>
        <w:spacing w:line="276" w:lineRule="auto" w:before="121" w:after="0"/>
        <w:ind w:left="1550" w:right="1040" w:hanging="851"/>
        <w:jc w:val="left"/>
        <w:rPr>
          <w:sz w:val="22"/>
        </w:rPr>
      </w:pPr>
      <w:r>
        <w:rPr>
          <w:sz w:val="22"/>
        </w:rPr>
        <w:t>The upper 6 GHz band range we are considering (6425-7070 MHz, rather than going up to 7125</w:t>
      </w:r>
      <w:r>
        <w:rPr>
          <w:spacing w:val="-4"/>
          <w:sz w:val="22"/>
        </w:rPr>
        <w:t> </w:t>
      </w:r>
      <w:r>
        <w:rPr>
          <w:sz w:val="22"/>
        </w:rPr>
        <w:t>MHz)</w:t>
      </w:r>
      <w:r>
        <w:rPr>
          <w:spacing w:val="-3"/>
          <w:sz w:val="22"/>
        </w:rPr>
        <w:t> </w:t>
      </w:r>
      <w:r>
        <w:rPr>
          <w:sz w:val="22"/>
        </w:rPr>
        <w:t>still</w:t>
      </w:r>
      <w:r>
        <w:rPr>
          <w:spacing w:val="-4"/>
          <w:sz w:val="22"/>
        </w:rPr>
        <w:t> </w:t>
      </w:r>
      <w:r>
        <w:rPr>
          <w:sz w:val="22"/>
        </w:rPr>
        <w:t>retains</w:t>
      </w:r>
      <w:r>
        <w:rPr>
          <w:spacing w:val="-2"/>
          <w:sz w:val="22"/>
        </w:rPr>
        <w:t> </w:t>
      </w:r>
      <w:r>
        <w:rPr>
          <w:sz w:val="22"/>
        </w:rPr>
        <w:t>all</w:t>
      </w:r>
      <w:r>
        <w:rPr>
          <w:spacing w:val="-3"/>
          <w:sz w:val="22"/>
        </w:rPr>
        <w:t> </w:t>
      </w:r>
      <w:r>
        <w:rPr>
          <w:sz w:val="22"/>
        </w:rPr>
        <w:t>of</w:t>
      </w:r>
      <w:r>
        <w:rPr>
          <w:spacing w:val="-4"/>
          <w:sz w:val="22"/>
        </w:rPr>
        <w:t> </w:t>
      </w:r>
      <w:r>
        <w:rPr>
          <w:sz w:val="22"/>
        </w:rPr>
        <w:t>the</w:t>
      </w:r>
      <w:r>
        <w:rPr>
          <w:spacing w:val="-3"/>
          <w:sz w:val="22"/>
        </w:rPr>
        <w:t> </w:t>
      </w:r>
      <w:r>
        <w:rPr>
          <w:sz w:val="22"/>
        </w:rPr>
        <w:t>high-bandwidth</w:t>
      </w:r>
      <w:r>
        <w:rPr>
          <w:spacing w:val="-3"/>
          <w:sz w:val="22"/>
        </w:rPr>
        <w:t> </w:t>
      </w:r>
      <w:r>
        <w:rPr>
          <w:sz w:val="22"/>
        </w:rPr>
        <w:t>channels</w:t>
      </w:r>
      <w:r>
        <w:rPr>
          <w:spacing w:val="-4"/>
          <w:sz w:val="22"/>
        </w:rPr>
        <w:t> </w:t>
      </w:r>
      <w:r>
        <w:rPr>
          <w:sz w:val="22"/>
        </w:rPr>
        <w:t>as</w:t>
      </w:r>
      <w:r>
        <w:rPr>
          <w:spacing w:val="-4"/>
          <w:sz w:val="22"/>
        </w:rPr>
        <w:t> </w:t>
      </w:r>
      <w:r>
        <w:rPr>
          <w:sz w:val="22"/>
        </w:rPr>
        <w:t>illustrated</w:t>
      </w:r>
      <w:r>
        <w:rPr>
          <w:spacing w:val="-4"/>
          <w:sz w:val="22"/>
        </w:rPr>
        <w:t> </w:t>
      </w:r>
      <w:r>
        <w:rPr>
          <w:sz w:val="22"/>
        </w:rPr>
        <w:t>in</w:t>
      </w:r>
      <w:r>
        <w:rPr>
          <w:spacing w:val="-4"/>
          <w:sz w:val="22"/>
        </w:rPr>
        <w:t> </w:t>
      </w:r>
      <w:r>
        <w:rPr>
          <w:sz w:val="22"/>
        </w:rPr>
        <w:t>Figure</w:t>
      </w:r>
      <w:r>
        <w:rPr>
          <w:spacing w:val="-4"/>
          <w:sz w:val="22"/>
        </w:rPr>
        <w:t> </w:t>
      </w:r>
      <w:r>
        <w:rPr>
          <w:sz w:val="22"/>
        </w:rPr>
        <w:t>1.1</w:t>
      </w:r>
    </w:p>
    <w:p>
      <w:pPr>
        <w:pStyle w:val="BodyText"/>
        <w:spacing w:line="268" w:lineRule="exact"/>
        <w:ind w:left="1550"/>
        <w:jc w:val="both"/>
      </w:pPr>
      <w:r>
        <w:rPr/>
        <w:t>(320 MHz channels would be provided by combining two adjacent 160 MHz channels).</w:t>
      </w:r>
    </w:p>
    <w:p>
      <w:pPr>
        <w:pStyle w:val="Heading5"/>
        <w:spacing w:before="161"/>
        <w:ind w:left="699"/>
      </w:pPr>
      <w:r>
        <w:rPr/>
        <w:t>Figure 2.2: RLAN/Wi-Fi channels in current and planned equipment</w:t>
      </w:r>
    </w:p>
    <w:p>
      <w:pPr>
        <w:pStyle w:val="BodyText"/>
        <w:spacing w:before="2"/>
        <w:rPr>
          <w:b/>
          <w:sz w:val="10"/>
        </w:rPr>
      </w:pPr>
      <w:r>
        <w:rPr/>
        <w:drawing>
          <wp:anchor distT="0" distB="0" distL="0" distR="0" allowOverlap="1" layoutInCell="1" locked="0" behindDoc="0" simplePos="0" relativeHeight="1216">
            <wp:simplePos x="0" y="0"/>
            <wp:positionH relativeFrom="page">
              <wp:posOffset>540385</wp:posOffset>
            </wp:positionH>
            <wp:positionV relativeFrom="paragraph">
              <wp:posOffset>103829</wp:posOffset>
            </wp:positionV>
            <wp:extent cx="6567193" cy="2095595"/>
            <wp:effectExtent l="0" t="0" r="0" b="0"/>
            <wp:wrapTopAndBottom/>
            <wp:docPr id="3" name="image4.png" descr="A diagram illustrating available licence-exempt channels in the lower 6 GHz band and channels that would be available in the upper 6 GHz band under our licensing proposals. "/>
            <wp:cNvGraphicFramePr>
              <a:graphicFrameLocks noChangeAspect="1"/>
            </wp:cNvGraphicFramePr>
            <a:graphic>
              <a:graphicData uri="http://schemas.openxmlformats.org/drawingml/2006/picture">
                <pic:pic>
                  <pic:nvPicPr>
                    <pic:cNvPr id="4" name="image4.png"/>
                    <pic:cNvPicPr/>
                  </pic:nvPicPr>
                  <pic:blipFill>
                    <a:blip r:embed="rId23" cstate="print"/>
                    <a:stretch>
                      <a:fillRect/>
                    </a:stretch>
                  </pic:blipFill>
                  <pic:spPr>
                    <a:xfrm>
                      <a:off x="0" y="0"/>
                      <a:ext cx="6567193" cy="2095595"/>
                    </a:xfrm>
                    <a:prstGeom prst="rect">
                      <a:avLst/>
                    </a:prstGeom>
                  </pic:spPr>
                </pic:pic>
              </a:graphicData>
            </a:graphic>
          </wp:anchor>
        </w:drawing>
      </w:r>
    </w:p>
    <w:p>
      <w:pPr>
        <w:pStyle w:val="BodyText"/>
        <w:rPr>
          <w:b/>
        </w:rPr>
      </w:pPr>
    </w:p>
    <w:p>
      <w:pPr>
        <w:pStyle w:val="BodyText"/>
        <w:spacing w:before="4"/>
        <w:rPr>
          <w:b/>
          <w:sz w:val="21"/>
        </w:rPr>
      </w:pPr>
    </w:p>
    <w:p>
      <w:pPr>
        <w:spacing w:before="0"/>
        <w:ind w:left="700" w:right="0" w:firstLine="0"/>
        <w:jc w:val="left"/>
        <w:rPr>
          <w:b/>
          <w:sz w:val="32"/>
        </w:rPr>
      </w:pPr>
      <w:bookmarkStart w:name="Legal background" w:id="24"/>
      <w:bookmarkEnd w:id="24"/>
      <w:r>
        <w:rPr/>
      </w:r>
      <w:r>
        <w:rPr>
          <w:b/>
          <w:color w:val="CC0044"/>
          <w:sz w:val="32"/>
        </w:rPr>
        <w:t>Legal background</w:t>
      </w:r>
    </w:p>
    <w:p>
      <w:pPr>
        <w:pStyle w:val="ListParagraph"/>
        <w:numPr>
          <w:ilvl w:val="2"/>
          <w:numId w:val="1"/>
        </w:numPr>
        <w:tabs>
          <w:tab w:pos="1550" w:val="left" w:leader="none"/>
          <w:tab w:pos="1551" w:val="left" w:leader="none"/>
        </w:tabs>
        <w:spacing w:line="276" w:lineRule="auto" w:before="240" w:after="0"/>
        <w:ind w:left="1550" w:right="994" w:hanging="850"/>
        <w:jc w:val="left"/>
        <w:rPr>
          <w:sz w:val="22"/>
        </w:rPr>
      </w:pPr>
      <w:r>
        <w:rPr>
          <w:sz w:val="22"/>
        </w:rPr>
        <w:t>Our principal duties under the 2003 Act, when carrying out our functions and exercising our powers, are to further the interests of citizens and consumers, where appropriate by promoting competition. In doing so, we are also required (among other things) to secure the optimal use of spectrum and the availability throughout the United Kingdom of a wide range of electronic communications services. Ofcom is responsible for authorising use of the radio spectrum. We permit the use of the radio spectrum either by granting wireless telegraphy licences under the Wireless Telegraphy Act 2006 (the “WT Act”) or by making regulations exempting the use of particular equipment from the requirement to hold such a licence. It is unlawful and an offence to install or use wireless telegraphy apparatus without holding a licence granted by Ofcom, unless the use of such equipment is exempted.</w:t>
      </w:r>
      <w:r>
        <w:rPr>
          <w:spacing w:val="-4"/>
          <w:sz w:val="22"/>
        </w:rPr>
        <w:t> </w:t>
      </w:r>
      <w:r>
        <w:rPr>
          <w:sz w:val="22"/>
        </w:rPr>
        <w:t>In</w:t>
      </w:r>
      <w:r>
        <w:rPr>
          <w:spacing w:val="-3"/>
          <w:sz w:val="22"/>
        </w:rPr>
        <w:t> </w:t>
      </w:r>
      <w:r>
        <w:rPr>
          <w:sz w:val="22"/>
        </w:rPr>
        <w:t>Annex</w:t>
      </w:r>
      <w:r>
        <w:rPr>
          <w:spacing w:val="-4"/>
          <w:sz w:val="22"/>
        </w:rPr>
        <w:t> </w:t>
      </w:r>
      <w:r>
        <w:rPr>
          <w:sz w:val="22"/>
        </w:rPr>
        <w:t>7</w:t>
      </w:r>
      <w:r>
        <w:rPr>
          <w:spacing w:val="-3"/>
          <w:sz w:val="22"/>
        </w:rPr>
        <w:t> </w:t>
      </w:r>
      <w:r>
        <w:rPr>
          <w:sz w:val="22"/>
        </w:rPr>
        <w:t>we</w:t>
      </w:r>
      <w:r>
        <w:rPr>
          <w:spacing w:val="-4"/>
          <w:sz w:val="22"/>
        </w:rPr>
        <w:t> </w:t>
      </w:r>
      <w:r>
        <w:rPr>
          <w:sz w:val="22"/>
        </w:rPr>
        <w:t>set</w:t>
      </w:r>
      <w:r>
        <w:rPr>
          <w:spacing w:val="-4"/>
          <w:sz w:val="22"/>
        </w:rPr>
        <w:t> </w:t>
      </w:r>
      <w:r>
        <w:rPr>
          <w:sz w:val="22"/>
        </w:rPr>
        <w:t>out</w:t>
      </w:r>
      <w:r>
        <w:rPr>
          <w:spacing w:val="-3"/>
          <w:sz w:val="22"/>
        </w:rPr>
        <w:t> </w:t>
      </w:r>
      <w:r>
        <w:rPr>
          <w:sz w:val="22"/>
        </w:rPr>
        <w:t>in</w:t>
      </w:r>
      <w:r>
        <w:rPr>
          <w:spacing w:val="-3"/>
          <w:sz w:val="22"/>
        </w:rPr>
        <w:t> </w:t>
      </w:r>
      <w:r>
        <w:rPr>
          <w:sz w:val="22"/>
        </w:rPr>
        <w:t>more</w:t>
      </w:r>
      <w:r>
        <w:rPr>
          <w:spacing w:val="-4"/>
          <w:sz w:val="22"/>
        </w:rPr>
        <w:t> </w:t>
      </w:r>
      <w:r>
        <w:rPr>
          <w:sz w:val="22"/>
        </w:rPr>
        <w:t>detail</w:t>
      </w:r>
      <w:r>
        <w:rPr>
          <w:spacing w:val="-4"/>
          <w:sz w:val="22"/>
        </w:rPr>
        <w:t> </w:t>
      </w:r>
      <w:r>
        <w:rPr>
          <w:sz w:val="22"/>
        </w:rPr>
        <w:t>the</w:t>
      </w:r>
      <w:r>
        <w:rPr>
          <w:spacing w:val="-4"/>
          <w:sz w:val="22"/>
        </w:rPr>
        <w:t> </w:t>
      </w:r>
      <w:r>
        <w:rPr>
          <w:sz w:val="22"/>
        </w:rPr>
        <w:t>relevant</w:t>
      </w:r>
      <w:r>
        <w:rPr>
          <w:spacing w:val="-4"/>
          <w:sz w:val="22"/>
        </w:rPr>
        <w:t> </w:t>
      </w:r>
      <w:r>
        <w:rPr>
          <w:sz w:val="22"/>
        </w:rPr>
        <w:t>legal</w:t>
      </w:r>
      <w:r>
        <w:rPr>
          <w:spacing w:val="-3"/>
          <w:sz w:val="22"/>
        </w:rPr>
        <w:t> </w:t>
      </w:r>
      <w:r>
        <w:rPr>
          <w:sz w:val="22"/>
        </w:rPr>
        <w:t>framework,</w:t>
      </w:r>
      <w:r>
        <w:rPr>
          <w:spacing w:val="-2"/>
          <w:sz w:val="22"/>
        </w:rPr>
        <w:t> </w:t>
      </w:r>
      <w:r>
        <w:rPr>
          <w:sz w:val="22"/>
        </w:rPr>
        <w:t>which</w:t>
      </w:r>
      <w:r>
        <w:rPr>
          <w:spacing w:val="-3"/>
          <w:sz w:val="22"/>
        </w:rPr>
        <w:t> </w:t>
      </w:r>
      <w:r>
        <w:rPr>
          <w:sz w:val="22"/>
        </w:rPr>
        <w:t>we</w:t>
      </w:r>
    </w:p>
    <w:p>
      <w:pPr>
        <w:spacing w:after="0" w:line="276" w:lineRule="auto"/>
        <w:jc w:val="left"/>
        <w:rPr>
          <w:sz w:val="22"/>
        </w:rPr>
        <w:sectPr>
          <w:pgSz w:w="11910" w:h="16840"/>
          <w:pgMar w:header="727" w:footer="1309" w:top="920" w:bottom="1520" w:left="740" w:right="560"/>
        </w:sectPr>
      </w:pPr>
    </w:p>
    <w:p>
      <w:pPr>
        <w:pStyle w:val="BodyText"/>
        <w:rPr>
          <w:sz w:val="20"/>
        </w:rPr>
      </w:pPr>
    </w:p>
    <w:p>
      <w:pPr>
        <w:pStyle w:val="BodyText"/>
        <w:rPr>
          <w:sz w:val="20"/>
        </w:rPr>
      </w:pPr>
    </w:p>
    <w:p>
      <w:pPr>
        <w:pStyle w:val="BodyText"/>
        <w:spacing w:before="11"/>
        <w:rPr>
          <w:sz w:val="18"/>
        </w:rPr>
      </w:pPr>
    </w:p>
    <w:p>
      <w:pPr>
        <w:pStyle w:val="BodyText"/>
        <w:spacing w:line="276" w:lineRule="auto" w:before="56"/>
        <w:ind w:left="970" w:right="641"/>
      </w:pPr>
      <w:r>
        <w:rPr/>
        <w:t>have taken into account in making the proposals set out in this document. This annex should be treated as part of this document.</w:t>
      </w:r>
    </w:p>
    <w:p>
      <w:pPr>
        <w:pStyle w:val="BodyText"/>
        <w:spacing w:before="3"/>
        <w:rPr>
          <w:sz w:val="16"/>
        </w:rPr>
      </w:pPr>
    </w:p>
    <w:p>
      <w:pPr>
        <w:spacing w:before="0"/>
        <w:ind w:left="120" w:right="0" w:firstLine="0"/>
        <w:jc w:val="left"/>
        <w:rPr>
          <w:b/>
          <w:sz w:val="28"/>
        </w:rPr>
      </w:pPr>
      <w:bookmarkStart w:name="Impact Assessment" w:id="25"/>
      <w:bookmarkEnd w:id="25"/>
      <w:r>
        <w:rPr/>
      </w:r>
      <w:r>
        <w:rPr>
          <w:b/>
          <w:sz w:val="28"/>
        </w:rPr>
        <w:t>Impact Assessment</w:t>
      </w:r>
    </w:p>
    <w:p>
      <w:pPr>
        <w:pStyle w:val="ListParagraph"/>
        <w:numPr>
          <w:ilvl w:val="2"/>
          <w:numId w:val="1"/>
        </w:numPr>
        <w:tabs>
          <w:tab w:pos="970" w:val="left" w:leader="none"/>
          <w:tab w:pos="971" w:val="left" w:leader="none"/>
        </w:tabs>
        <w:spacing w:line="276" w:lineRule="auto" w:before="240" w:after="0"/>
        <w:ind w:left="970" w:right="815" w:hanging="850"/>
        <w:jc w:val="left"/>
        <w:rPr>
          <w:sz w:val="22"/>
        </w:rPr>
      </w:pPr>
      <w:r>
        <w:rPr>
          <w:sz w:val="22"/>
        </w:rPr>
        <w:t>This document represents an impact assessment as defined in section 7 of the Communications Act 2003. Impact assessments provide a valuable way of assessing different</w:t>
      </w:r>
      <w:r>
        <w:rPr>
          <w:spacing w:val="-3"/>
          <w:sz w:val="22"/>
        </w:rPr>
        <w:t> </w:t>
      </w:r>
      <w:r>
        <w:rPr>
          <w:sz w:val="22"/>
        </w:rPr>
        <w:t>options</w:t>
      </w:r>
      <w:r>
        <w:rPr>
          <w:spacing w:val="-4"/>
          <w:sz w:val="22"/>
        </w:rPr>
        <w:t> </w:t>
      </w:r>
      <w:r>
        <w:rPr>
          <w:sz w:val="22"/>
        </w:rPr>
        <w:t>for</w:t>
      </w:r>
      <w:r>
        <w:rPr>
          <w:spacing w:val="-4"/>
          <w:sz w:val="22"/>
        </w:rPr>
        <w:t> </w:t>
      </w:r>
      <w:r>
        <w:rPr>
          <w:sz w:val="22"/>
        </w:rPr>
        <w:t>regulation.</w:t>
      </w:r>
      <w:r>
        <w:rPr>
          <w:spacing w:val="-4"/>
          <w:sz w:val="22"/>
        </w:rPr>
        <w:t> </w:t>
      </w:r>
      <w:r>
        <w:rPr>
          <w:sz w:val="22"/>
        </w:rPr>
        <w:t>They</w:t>
      </w:r>
      <w:r>
        <w:rPr>
          <w:spacing w:val="-4"/>
          <w:sz w:val="22"/>
        </w:rPr>
        <w:t> </w:t>
      </w:r>
      <w:r>
        <w:rPr>
          <w:sz w:val="22"/>
        </w:rPr>
        <w:t>form</w:t>
      </w:r>
      <w:r>
        <w:rPr>
          <w:spacing w:val="-4"/>
          <w:sz w:val="22"/>
        </w:rPr>
        <w:t> </w:t>
      </w:r>
      <w:r>
        <w:rPr>
          <w:sz w:val="22"/>
        </w:rPr>
        <w:t>part</w:t>
      </w:r>
      <w:r>
        <w:rPr>
          <w:spacing w:val="-4"/>
          <w:sz w:val="22"/>
        </w:rPr>
        <w:t> </w:t>
      </w:r>
      <w:r>
        <w:rPr>
          <w:sz w:val="22"/>
        </w:rPr>
        <w:t>of</w:t>
      </w:r>
      <w:r>
        <w:rPr>
          <w:spacing w:val="-3"/>
          <w:sz w:val="22"/>
        </w:rPr>
        <w:t> </w:t>
      </w:r>
      <w:r>
        <w:rPr>
          <w:sz w:val="22"/>
        </w:rPr>
        <w:t>best</w:t>
      </w:r>
      <w:r>
        <w:rPr>
          <w:spacing w:val="-4"/>
          <w:sz w:val="22"/>
        </w:rPr>
        <w:t> </w:t>
      </w:r>
      <w:r>
        <w:rPr>
          <w:sz w:val="22"/>
        </w:rPr>
        <w:t>practice</w:t>
      </w:r>
      <w:r>
        <w:rPr>
          <w:spacing w:val="-4"/>
          <w:sz w:val="22"/>
        </w:rPr>
        <w:t> </w:t>
      </w:r>
      <w:r>
        <w:rPr>
          <w:sz w:val="22"/>
        </w:rPr>
        <w:t>policy</w:t>
      </w:r>
      <w:r>
        <w:rPr>
          <w:spacing w:val="-4"/>
          <w:sz w:val="22"/>
        </w:rPr>
        <w:t> </w:t>
      </w:r>
      <w:r>
        <w:rPr>
          <w:sz w:val="22"/>
        </w:rPr>
        <w:t>making.</w:t>
      </w:r>
    </w:p>
    <w:p>
      <w:pPr>
        <w:pStyle w:val="ListParagraph"/>
        <w:numPr>
          <w:ilvl w:val="2"/>
          <w:numId w:val="1"/>
        </w:numPr>
        <w:tabs>
          <w:tab w:pos="970" w:val="left" w:leader="none"/>
          <w:tab w:pos="971" w:val="left" w:leader="none"/>
        </w:tabs>
        <w:spacing w:line="276" w:lineRule="auto" w:before="120" w:after="0"/>
        <w:ind w:left="970" w:right="546" w:hanging="850"/>
        <w:jc w:val="left"/>
        <w:rPr>
          <w:sz w:val="22"/>
        </w:rPr>
      </w:pPr>
      <w:r>
        <w:rPr>
          <w:sz w:val="22"/>
        </w:rPr>
        <w:t>In preparing this document, we have considered the citizen and consumer interests relating to Wi-Fi. We have also considered the impact on existing users, and on service providers, manufacturers and users of devices and</w:t>
      </w:r>
      <w:r>
        <w:rPr>
          <w:spacing w:val="-31"/>
          <w:sz w:val="22"/>
        </w:rPr>
        <w:t> </w:t>
      </w:r>
      <w:r>
        <w:rPr>
          <w:sz w:val="22"/>
        </w:rPr>
        <w:t>applications.</w:t>
      </w:r>
    </w:p>
    <w:p>
      <w:pPr>
        <w:pStyle w:val="ListParagraph"/>
        <w:numPr>
          <w:ilvl w:val="2"/>
          <w:numId w:val="1"/>
        </w:numPr>
        <w:tabs>
          <w:tab w:pos="970" w:val="left" w:leader="none"/>
          <w:tab w:pos="971" w:val="left" w:leader="none"/>
        </w:tabs>
        <w:spacing w:line="276" w:lineRule="auto" w:before="119" w:after="0"/>
        <w:ind w:left="970" w:right="185" w:hanging="851"/>
        <w:jc w:val="left"/>
        <w:rPr>
          <w:sz w:val="22"/>
        </w:rPr>
      </w:pPr>
      <w:r>
        <w:rPr>
          <w:sz w:val="22"/>
        </w:rPr>
        <w:t>Ofcom is an evidence-based organisation and welcomes responses to this consultation. Any comments about our assessment of the impact of our proposals should be sent to us by the closing date for this consultation. We will consider all comments before deciding whether to implement our proposals. For further information about our approach to impact assessments, see the guidelines ‘Better policy making: Ofcom’s approach to impact assessments’ on our</w:t>
      </w:r>
      <w:r>
        <w:rPr>
          <w:spacing w:val="-16"/>
          <w:sz w:val="22"/>
        </w:rPr>
        <w:t> </w:t>
      </w:r>
      <w:r>
        <w:rPr>
          <w:sz w:val="22"/>
        </w:rPr>
        <w:t>website.</w:t>
      </w:r>
    </w:p>
    <w:p>
      <w:pPr>
        <w:pStyle w:val="BodyText"/>
        <w:spacing w:before="4"/>
        <w:rPr>
          <w:sz w:val="16"/>
        </w:rPr>
      </w:pPr>
    </w:p>
    <w:p>
      <w:pPr>
        <w:pStyle w:val="Heading3"/>
      </w:pPr>
      <w:bookmarkStart w:name="Equality Impact Assessment" w:id="26"/>
      <w:bookmarkEnd w:id="26"/>
      <w:r>
        <w:rPr>
          <w:b w:val="0"/>
        </w:rPr>
      </w:r>
      <w:r>
        <w:rPr/>
        <w:t>Equality Impact Assessment</w:t>
      </w:r>
    </w:p>
    <w:p>
      <w:pPr>
        <w:pStyle w:val="ListParagraph"/>
        <w:numPr>
          <w:ilvl w:val="2"/>
          <w:numId w:val="1"/>
        </w:numPr>
        <w:tabs>
          <w:tab w:pos="970" w:val="left" w:leader="none"/>
          <w:tab w:pos="971" w:val="left" w:leader="none"/>
        </w:tabs>
        <w:spacing w:line="276" w:lineRule="auto" w:before="240" w:after="0"/>
        <w:ind w:left="970" w:right="131" w:hanging="850"/>
        <w:jc w:val="left"/>
        <w:rPr>
          <w:sz w:val="22"/>
        </w:rPr>
      </w:pPr>
      <w:r>
        <w:rPr>
          <w:sz w:val="22"/>
        </w:rPr>
        <w:t>Ofcom is separately required by statute to assess the potential impact of all our functions, policies, projects and practices on the following equality groups: age, disability, gender, gender reassignment, pregnancy and maternity, race, religion or belief, and sexual orientation. Equality impact assessments also assist us in making sure that we are meeting our principal duty of furthering the interests of citizens and consumers regardless of their background or identity. We consider that our proposals would not be detrimental to any of these equality</w:t>
      </w:r>
      <w:r>
        <w:rPr>
          <w:spacing w:val="-13"/>
          <w:sz w:val="22"/>
        </w:rPr>
        <w:t> </w:t>
      </w:r>
      <w:r>
        <w:rPr>
          <w:sz w:val="22"/>
        </w:rPr>
        <w:t>groups.</w:t>
      </w:r>
    </w:p>
    <w:p>
      <w:pPr>
        <w:pStyle w:val="ListParagraph"/>
        <w:numPr>
          <w:ilvl w:val="2"/>
          <w:numId w:val="1"/>
        </w:numPr>
        <w:tabs>
          <w:tab w:pos="970" w:val="left" w:leader="none"/>
          <w:tab w:pos="971" w:val="left" w:leader="none"/>
        </w:tabs>
        <w:spacing w:line="276" w:lineRule="auto" w:before="119" w:after="0"/>
        <w:ind w:left="970" w:right="164" w:hanging="850"/>
        <w:jc w:val="left"/>
        <w:rPr>
          <w:sz w:val="22"/>
        </w:rPr>
      </w:pPr>
      <w:r>
        <w:rPr>
          <w:sz w:val="22"/>
        </w:rPr>
        <w:t>We have not carried out separate equality impact assessments in relation to the additional equality groups in Northern Ireland: religious belief, political opinion and dependants. This is because we anticipate that our proposals would not have a differential impact in Northern Ireland compared to consumers in general. We welcome any stakeholder views on this</w:t>
      </w:r>
      <w:r>
        <w:rPr>
          <w:spacing w:val="-11"/>
          <w:sz w:val="22"/>
        </w:rPr>
        <w:t> </w:t>
      </w:r>
      <w:r>
        <w:rPr>
          <w:sz w:val="22"/>
        </w:rPr>
        <w:t>assessment.</w:t>
      </w:r>
    </w:p>
    <w:p>
      <w:pPr>
        <w:spacing w:after="0" w:line="276" w:lineRule="auto"/>
        <w:jc w:val="left"/>
        <w:rPr>
          <w:sz w:val="22"/>
        </w:rPr>
        <w:sectPr>
          <w:footerReference w:type="default" r:id="rId24"/>
          <w:pgSz w:w="11910" w:h="16840"/>
          <w:pgMar w:footer="1321" w:header="727" w:top="920" w:bottom="1520" w:left="1320" w:right="1340"/>
        </w:sectPr>
      </w:pPr>
    </w:p>
    <w:p>
      <w:pPr>
        <w:pStyle w:val="BodyText"/>
        <w:rPr>
          <w:sz w:val="20"/>
        </w:rPr>
      </w:pPr>
    </w:p>
    <w:p>
      <w:pPr>
        <w:pStyle w:val="BodyText"/>
        <w:rPr>
          <w:sz w:val="20"/>
        </w:rPr>
      </w:pPr>
    </w:p>
    <w:p>
      <w:pPr>
        <w:pStyle w:val="BodyText"/>
        <w:spacing w:before="2"/>
        <w:rPr>
          <w:sz w:val="23"/>
        </w:rPr>
      </w:pPr>
    </w:p>
    <w:p>
      <w:pPr>
        <w:pStyle w:val="Heading1"/>
        <w:numPr>
          <w:ilvl w:val="1"/>
          <w:numId w:val="1"/>
        </w:numPr>
        <w:tabs>
          <w:tab w:pos="619" w:val="left" w:leader="none"/>
        </w:tabs>
        <w:spacing w:line="240" w:lineRule="auto" w:before="3" w:after="0"/>
        <w:ind w:left="120" w:right="1640" w:firstLine="0"/>
        <w:jc w:val="left"/>
      </w:pPr>
      <w:bookmarkStart w:name="3. Our proposal: authorising the 6425-70" w:id="27"/>
      <w:bookmarkEnd w:id="27"/>
      <w:r>
        <w:rPr/>
      </w:r>
      <w:bookmarkStart w:name="_bookmark5" w:id="28"/>
      <w:bookmarkEnd w:id="28"/>
      <w:r>
        <w:rPr/>
      </w:r>
      <w:bookmarkStart w:name="_bookmark5" w:id="29"/>
      <w:bookmarkEnd w:id="29"/>
      <w:r>
        <w:rPr>
          <w:color w:val="CC0044"/>
        </w:rPr>
        <w:t>Ou</w:t>
      </w:r>
      <w:r>
        <w:rPr>
          <w:color w:val="CC0044"/>
        </w:rPr>
        <w:t>r proposal: authorising the 6425- 7070 MHz band for licensed</w:t>
      </w:r>
      <w:r>
        <w:rPr>
          <w:color w:val="CC0044"/>
          <w:spacing w:val="-15"/>
        </w:rPr>
        <w:t> </w:t>
      </w:r>
      <w:r>
        <w:rPr>
          <w:color w:val="CC0044"/>
        </w:rPr>
        <w:t>use</w:t>
      </w:r>
    </w:p>
    <w:p>
      <w:pPr>
        <w:pStyle w:val="Heading2"/>
        <w:spacing w:before="239"/>
      </w:pPr>
      <w:bookmarkStart w:name="What we propose to make available" w:id="30"/>
      <w:bookmarkEnd w:id="30"/>
      <w:r>
        <w:rPr>
          <w:b w:val="0"/>
        </w:rPr>
      </w:r>
      <w:r>
        <w:rPr>
          <w:color w:val="CC0044"/>
        </w:rPr>
        <w:t>What we propose to make available</w:t>
      </w:r>
    </w:p>
    <w:p>
      <w:pPr>
        <w:pStyle w:val="ListParagraph"/>
        <w:numPr>
          <w:ilvl w:val="2"/>
          <w:numId w:val="1"/>
        </w:numPr>
        <w:tabs>
          <w:tab w:pos="970" w:val="left" w:leader="none"/>
          <w:tab w:pos="971" w:val="left" w:leader="none"/>
        </w:tabs>
        <w:spacing w:line="276" w:lineRule="auto" w:before="241" w:after="0"/>
        <w:ind w:left="970" w:right="220" w:hanging="850"/>
        <w:jc w:val="left"/>
        <w:rPr>
          <w:sz w:val="12"/>
        </w:rPr>
      </w:pPr>
      <w:r>
        <w:rPr>
          <w:sz w:val="22"/>
        </w:rPr>
        <w:t>We are proposing to make the 6425-7070 MHz band available under Ofcom’s Shared Access licence. We propose to enable use on a technology-neutral basis, but we expect RLAN, including Wi-Fi, to be the most likely technology to be used. We do not propose to mandate polite protocols (such as Listen Before Talk), but we anticipate they would be used</w:t>
      </w:r>
      <w:r>
        <w:rPr>
          <w:spacing w:val="-4"/>
          <w:sz w:val="22"/>
        </w:rPr>
        <w:t> </w:t>
      </w:r>
      <w:r>
        <w:rPr>
          <w:sz w:val="22"/>
        </w:rPr>
        <w:t>with</w:t>
      </w:r>
      <w:r>
        <w:rPr>
          <w:spacing w:val="-3"/>
          <w:sz w:val="22"/>
        </w:rPr>
        <w:t> </w:t>
      </w:r>
      <w:r>
        <w:rPr>
          <w:sz w:val="22"/>
        </w:rPr>
        <w:t>most</w:t>
      </w:r>
      <w:r>
        <w:rPr>
          <w:spacing w:val="-4"/>
          <w:sz w:val="22"/>
        </w:rPr>
        <w:t> </w:t>
      </w:r>
      <w:r>
        <w:rPr>
          <w:sz w:val="22"/>
        </w:rPr>
        <w:t>deployments</w:t>
      </w:r>
      <w:r>
        <w:rPr>
          <w:spacing w:val="-4"/>
          <w:sz w:val="22"/>
        </w:rPr>
        <w:t> </w:t>
      </w:r>
      <w:r>
        <w:rPr>
          <w:sz w:val="22"/>
        </w:rPr>
        <w:t>to</w:t>
      </w:r>
      <w:r>
        <w:rPr>
          <w:spacing w:val="-2"/>
          <w:sz w:val="22"/>
        </w:rPr>
        <w:t> </w:t>
      </w:r>
      <w:r>
        <w:rPr>
          <w:sz w:val="22"/>
        </w:rPr>
        <w:t>minimise</w:t>
      </w:r>
      <w:r>
        <w:rPr>
          <w:spacing w:val="-4"/>
          <w:sz w:val="22"/>
        </w:rPr>
        <w:t> </w:t>
      </w:r>
      <w:r>
        <w:rPr>
          <w:sz w:val="22"/>
        </w:rPr>
        <w:t>the</w:t>
      </w:r>
      <w:r>
        <w:rPr>
          <w:spacing w:val="-4"/>
          <w:sz w:val="22"/>
        </w:rPr>
        <w:t> </w:t>
      </w:r>
      <w:r>
        <w:rPr>
          <w:sz w:val="22"/>
        </w:rPr>
        <w:t>potential</w:t>
      </w:r>
      <w:r>
        <w:rPr>
          <w:spacing w:val="-4"/>
          <w:sz w:val="22"/>
        </w:rPr>
        <w:t> </w:t>
      </w:r>
      <w:r>
        <w:rPr>
          <w:sz w:val="22"/>
        </w:rPr>
        <w:t>for</w:t>
      </w:r>
      <w:r>
        <w:rPr>
          <w:spacing w:val="-4"/>
          <w:sz w:val="22"/>
        </w:rPr>
        <w:t> </w:t>
      </w:r>
      <w:r>
        <w:rPr>
          <w:sz w:val="22"/>
        </w:rPr>
        <w:t>interference</w:t>
      </w:r>
      <w:r>
        <w:rPr>
          <w:spacing w:val="-3"/>
          <w:sz w:val="22"/>
        </w:rPr>
        <w:t> </w:t>
      </w:r>
      <w:r>
        <w:rPr>
          <w:sz w:val="22"/>
        </w:rPr>
        <w:t>between</w:t>
      </w:r>
      <w:r>
        <w:rPr>
          <w:spacing w:val="-4"/>
          <w:sz w:val="22"/>
        </w:rPr>
        <w:t> </w:t>
      </w:r>
      <w:r>
        <w:rPr>
          <w:sz w:val="22"/>
        </w:rPr>
        <w:t>devices.</w:t>
      </w:r>
      <w:hyperlink w:history="true" w:anchor="_bookmark6">
        <w:r>
          <w:rPr>
            <w:position w:val="6"/>
            <w:sz w:val="12"/>
          </w:rPr>
          <w:t>4</w:t>
        </w:r>
      </w:hyperlink>
    </w:p>
    <w:p>
      <w:pPr>
        <w:pStyle w:val="ListParagraph"/>
        <w:numPr>
          <w:ilvl w:val="2"/>
          <w:numId w:val="1"/>
        </w:numPr>
        <w:tabs>
          <w:tab w:pos="970" w:val="left" w:leader="none"/>
          <w:tab w:pos="971" w:val="left" w:leader="none"/>
        </w:tabs>
        <w:spacing w:line="276" w:lineRule="auto" w:before="119" w:after="0"/>
        <w:ind w:left="970" w:right="269" w:hanging="850"/>
        <w:jc w:val="left"/>
        <w:rPr>
          <w:sz w:val="22"/>
        </w:rPr>
      </w:pPr>
      <w:r>
        <w:rPr>
          <w:sz w:val="22"/>
        </w:rPr>
        <w:t>Outdoor use would not be permitted, and indoor </w:t>
      </w:r>
      <w:r>
        <w:rPr>
          <w:spacing w:val="2"/>
          <w:sz w:val="22"/>
        </w:rPr>
        <w:t>use</w:t>
      </w:r>
      <w:hyperlink w:history="true" w:anchor="_bookmark7">
        <w:r>
          <w:rPr>
            <w:spacing w:val="2"/>
            <w:position w:val="6"/>
            <w:sz w:val="12"/>
          </w:rPr>
          <w:t>5</w:t>
        </w:r>
      </w:hyperlink>
      <w:r>
        <w:rPr>
          <w:spacing w:val="2"/>
          <w:position w:val="6"/>
          <w:sz w:val="12"/>
        </w:rPr>
        <w:t> </w:t>
      </w:r>
      <w:r>
        <w:rPr>
          <w:sz w:val="22"/>
        </w:rPr>
        <w:t>would be limited to 250mW EIRP (with maximum mean EIRP density of 12.6mW/MHz in any 1 MHz band). We propose this power</w:t>
      </w:r>
      <w:r>
        <w:rPr>
          <w:spacing w:val="-8"/>
          <w:sz w:val="22"/>
        </w:rPr>
        <w:t> </w:t>
      </w:r>
      <w:r>
        <w:rPr>
          <w:sz w:val="22"/>
        </w:rPr>
        <w:t>because:</w:t>
      </w:r>
    </w:p>
    <w:p>
      <w:pPr>
        <w:pStyle w:val="ListParagraph"/>
        <w:numPr>
          <w:ilvl w:val="3"/>
          <w:numId w:val="1"/>
        </w:numPr>
        <w:tabs>
          <w:tab w:pos="1312" w:val="left" w:leader="none"/>
        </w:tabs>
        <w:spacing w:line="240" w:lineRule="auto" w:before="120" w:after="0"/>
        <w:ind w:left="1311" w:right="0" w:hanging="341"/>
        <w:jc w:val="left"/>
        <w:rPr>
          <w:sz w:val="12"/>
        </w:rPr>
      </w:pPr>
      <w:r>
        <w:rPr>
          <w:sz w:val="22"/>
        </w:rPr>
        <w:t>It is sufficient to enable the majority of RLAN devices in</w:t>
      </w:r>
      <w:r>
        <w:rPr>
          <w:spacing w:val="-23"/>
          <w:sz w:val="22"/>
        </w:rPr>
        <w:t> </w:t>
      </w:r>
      <w:r>
        <w:rPr>
          <w:sz w:val="22"/>
        </w:rPr>
        <w:t>practice.</w:t>
      </w:r>
      <w:hyperlink w:history="true" w:anchor="_bookmark8">
        <w:r>
          <w:rPr>
            <w:position w:val="6"/>
            <w:sz w:val="12"/>
          </w:rPr>
          <w:t>6</w:t>
        </w:r>
      </w:hyperlink>
    </w:p>
    <w:p>
      <w:pPr>
        <w:pStyle w:val="ListParagraph"/>
        <w:numPr>
          <w:ilvl w:val="3"/>
          <w:numId w:val="1"/>
        </w:numPr>
        <w:tabs>
          <w:tab w:pos="1312" w:val="left" w:leader="none"/>
        </w:tabs>
        <w:spacing w:line="276" w:lineRule="auto" w:before="160" w:after="0"/>
        <w:ind w:left="1311" w:right="498" w:hanging="341"/>
        <w:jc w:val="both"/>
        <w:rPr>
          <w:sz w:val="22"/>
        </w:rPr>
      </w:pPr>
      <w:r>
        <w:rPr>
          <w:sz w:val="22"/>
        </w:rPr>
        <w:t>It aligns with the technical parameters for the existing RLAN allocation in the lower 6 GHz band (5925-6425 MHz), which may facilitate compatibility of equipment that uses the whole</w:t>
      </w:r>
      <w:r>
        <w:rPr>
          <w:spacing w:val="-11"/>
          <w:sz w:val="22"/>
        </w:rPr>
        <w:t> </w:t>
      </w:r>
      <w:r>
        <w:rPr>
          <w:sz w:val="22"/>
        </w:rPr>
        <w:t>band.</w:t>
      </w:r>
    </w:p>
    <w:p>
      <w:pPr>
        <w:pStyle w:val="ListParagraph"/>
        <w:numPr>
          <w:ilvl w:val="3"/>
          <w:numId w:val="1"/>
        </w:numPr>
        <w:tabs>
          <w:tab w:pos="1312" w:val="left" w:leader="none"/>
        </w:tabs>
        <w:spacing w:line="240" w:lineRule="auto" w:before="119" w:after="0"/>
        <w:ind w:left="1311" w:right="0" w:hanging="341"/>
        <w:jc w:val="left"/>
        <w:rPr>
          <w:sz w:val="22"/>
        </w:rPr>
      </w:pPr>
      <w:r>
        <w:rPr>
          <w:sz w:val="22"/>
        </w:rPr>
        <w:t>It will ensure minimal impact on incumbent users or potential future use</w:t>
      </w:r>
      <w:r>
        <w:rPr>
          <w:spacing w:val="-34"/>
          <w:sz w:val="22"/>
        </w:rPr>
        <w:t> </w:t>
      </w:r>
      <w:r>
        <w:rPr>
          <w:sz w:val="22"/>
        </w:rPr>
        <w:t>cases.</w:t>
      </w:r>
    </w:p>
    <w:p>
      <w:pPr>
        <w:pStyle w:val="ListParagraph"/>
        <w:numPr>
          <w:ilvl w:val="2"/>
          <w:numId w:val="1"/>
        </w:numPr>
        <w:tabs>
          <w:tab w:pos="970" w:val="left" w:leader="none"/>
          <w:tab w:pos="972" w:val="left" w:leader="none"/>
        </w:tabs>
        <w:spacing w:line="276" w:lineRule="auto" w:before="159" w:after="0"/>
        <w:ind w:left="970" w:right="104" w:hanging="850"/>
        <w:jc w:val="left"/>
        <w:rPr>
          <w:sz w:val="22"/>
        </w:rPr>
      </w:pPr>
      <w:r>
        <w:rPr>
          <w:sz w:val="22"/>
        </w:rPr>
        <w:t>We are consulting on adding the band to our Shared Access framework. Licensees will be assigned one licence per deployment allowing use of a defined area (a 50m radius around a central coordinate).</w:t>
      </w:r>
      <w:hyperlink w:history="true" w:anchor="_bookmark9">
        <w:r>
          <w:rPr>
            <w:position w:val="6"/>
            <w:sz w:val="12"/>
          </w:rPr>
          <w:t>7</w:t>
        </w:r>
      </w:hyperlink>
      <w:r>
        <w:rPr>
          <w:position w:val="6"/>
          <w:sz w:val="12"/>
        </w:rPr>
        <w:t> </w:t>
      </w:r>
      <w:r>
        <w:rPr>
          <w:sz w:val="22"/>
        </w:rPr>
        <w:t>Base stations can be located anywhere within the area; terminals can be located outside the area covered by the licence but must be indoors and connected to the base station. There will be no limit to the number of devices per licence, but licensees will need to keep a record of their terminals and base stations for inspection by Ofcom if required.</w:t>
      </w:r>
    </w:p>
    <w:p>
      <w:pPr>
        <w:pStyle w:val="ListParagraph"/>
        <w:numPr>
          <w:ilvl w:val="2"/>
          <w:numId w:val="1"/>
        </w:numPr>
        <w:tabs>
          <w:tab w:pos="970" w:val="left" w:leader="none"/>
          <w:tab w:pos="972" w:val="left" w:leader="none"/>
        </w:tabs>
        <w:spacing w:line="240" w:lineRule="auto" w:before="119" w:after="0"/>
        <w:ind w:left="971" w:right="0" w:hanging="851"/>
        <w:jc w:val="left"/>
        <w:rPr>
          <w:sz w:val="22"/>
        </w:rPr>
      </w:pPr>
      <w:r>
        <w:rPr>
          <w:sz w:val="22"/>
        </w:rPr>
        <w:t>The</w:t>
      </w:r>
      <w:r>
        <w:rPr>
          <w:spacing w:val="-3"/>
          <w:sz w:val="22"/>
        </w:rPr>
        <w:t> </w:t>
      </w:r>
      <w:r>
        <w:rPr>
          <w:sz w:val="22"/>
        </w:rPr>
        <w:t>licence</w:t>
      </w:r>
      <w:r>
        <w:rPr>
          <w:spacing w:val="-2"/>
          <w:sz w:val="22"/>
        </w:rPr>
        <w:t> </w:t>
      </w:r>
      <w:r>
        <w:rPr>
          <w:sz w:val="22"/>
        </w:rPr>
        <w:t>will</w:t>
      </w:r>
      <w:r>
        <w:rPr>
          <w:spacing w:val="-3"/>
          <w:sz w:val="22"/>
        </w:rPr>
        <w:t> </w:t>
      </w:r>
      <w:r>
        <w:rPr>
          <w:sz w:val="22"/>
        </w:rPr>
        <w:t>permit</w:t>
      </w:r>
      <w:r>
        <w:rPr>
          <w:spacing w:val="-2"/>
          <w:sz w:val="22"/>
        </w:rPr>
        <w:t> </w:t>
      </w:r>
      <w:r>
        <w:rPr>
          <w:sz w:val="22"/>
        </w:rPr>
        <w:t>use</w:t>
      </w:r>
      <w:r>
        <w:rPr>
          <w:spacing w:val="-2"/>
          <w:sz w:val="22"/>
        </w:rPr>
        <w:t> </w:t>
      </w:r>
      <w:r>
        <w:rPr>
          <w:sz w:val="22"/>
        </w:rPr>
        <w:t>of</w:t>
      </w:r>
      <w:r>
        <w:rPr>
          <w:spacing w:val="-3"/>
          <w:sz w:val="22"/>
        </w:rPr>
        <w:t> </w:t>
      </w:r>
      <w:r>
        <w:rPr>
          <w:sz w:val="22"/>
        </w:rPr>
        <w:t>any</w:t>
      </w:r>
      <w:r>
        <w:rPr>
          <w:spacing w:val="-3"/>
          <w:sz w:val="22"/>
        </w:rPr>
        <w:t> </w:t>
      </w:r>
      <w:r>
        <w:rPr>
          <w:sz w:val="22"/>
        </w:rPr>
        <w:t>channel</w:t>
      </w:r>
      <w:r>
        <w:rPr>
          <w:spacing w:val="-3"/>
          <w:sz w:val="22"/>
        </w:rPr>
        <w:t> </w:t>
      </w:r>
      <w:r>
        <w:rPr>
          <w:sz w:val="22"/>
        </w:rPr>
        <w:t>in</w:t>
      </w:r>
      <w:r>
        <w:rPr>
          <w:spacing w:val="-2"/>
          <w:sz w:val="22"/>
        </w:rPr>
        <w:t> </w:t>
      </w:r>
      <w:r>
        <w:rPr>
          <w:sz w:val="22"/>
        </w:rPr>
        <w:t>the</w:t>
      </w:r>
      <w:r>
        <w:rPr>
          <w:spacing w:val="-3"/>
          <w:sz w:val="22"/>
        </w:rPr>
        <w:t> </w:t>
      </w:r>
      <w:r>
        <w:rPr>
          <w:sz w:val="22"/>
        </w:rPr>
        <w:t>upper</w:t>
      </w:r>
      <w:r>
        <w:rPr>
          <w:spacing w:val="-3"/>
          <w:sz w:val="22"/>
        </w:rPr>
        <w:t> </w:t>
      </w:r>
      <w:r>
        <w:rPr>
          <w:sz w:val="22"/>
        </w:rPr>
        <w:t>6</w:t>
      </w:r>
      <w:r>
        <w:rPr>
          <w:spacing w:val="-2"/>
          <w:sz w:val="22"/>
        </w:rPr>
        <w:t> </w:t>
      </w:r>
      <w:r>
        <w:rPr>
          <w:sz w:val="22"/>
        </w:rPr>
        <w:t>GHz</w:t>
      </w:r>
      <w:r>
        <w:rPr>
          <w:spacing w:val="-2"/>
          <w:sz w:val="22"/>
        </w:rPr>
        <w:t> </w:t>
      </w:r>
      <w:r>
        <w:rPr>
          <w:sz w:val="22"/>
        </w:rPr>
        <w:t>band</w:t>
      </w:r>
      <w:r>
        <w:rPr>
          <w:spacing w:val="-3"/>
          <w:sz w:val="22"/>
        </w:rPr>
        <w:t> </w:t>
      </w:r>
      <w:r>
        <w:rPr>
          <w:sz w:val="22"/>
        </w:rPr>
        <w:t>(6425-7070</w:t>
      </w:r>
      <w:r>
        <w:rPr>
          <w:spacing w:val="-3"/>
          <w:sz w:val="22"/>
        </w:rPr>
        <w:t> </w:t>
      </w:r>
      <w:r>
        <w:rPr>
          <w:sz w:val="22"/>
        </w:rPr>
        <w:t>MHz).</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25"/>
        </w:rPr>
      </w:pPr>
      <w:r>
        <w:rPr/>
        <w:pict>
          <v:line style="position:absolute;mso-position-horizontal-relative:page;mso-position-vertical-relative:paragraph;z-index:1240;mso-wrap-distance-left:0;mso-wrap-distance-right:0" from="72pt,18.088997pt" to="216pt,18.088997pt" stroked="true" strokeweight=".72pt" strokecolor="#000000">
            <v:stroke dashstyle="solid"/>
            <w10:wrap type="topAndBottom"/>
          </v:line>
        </w:pict>
      </w:r>
    </w:p>
    <w:p>
      <w:pPr>
        <w:pStyle w:val="BodyText"/>
        <w:spacing w:before="5"/>
        <w:rPr>
          <w:sz w:val="12"/>
        </w:rPr>
      </w:pPr>
    </w:p>
    <w:p>
      <w:pPr>
        <w:spacing w:line="221" w:lineRule="exact" w:before="75"/>
        <w:ind w:left="120" w:right="0" w:firstLine="0"/>
        <w:jc w:val="left"/>
        <w:rPr>
          <w:sz w:val="18"/>
        </w:rPr>
      </w:pPr>
      <w:bookmarkStart w:name="_bookmark6" w:id="31"/>
      <w:bookmarkEnd w:id="31"/>
      <w:r>
        <w:rPr/>
      </w:r>
      <w:r>
        <w:rPr>
          <w:position w:val="6"/>
          <w:sz w:val="12"/>
        </w:rPr>
        <w:t>4 </w:t>
      </w:r>
      <w:r>
        <w:rPr>
          <w:sz w:val="18"/>
        </w:rPr>
        <w:t>We reserve the right to mandate these at a later date if we consider it to be necessary and proportionate.</w:t>
      </w:r>
    </w:p>
    <w:p>
      <w:pPr>
        <w:spacing w:before="0"/>
        <w:ind w:left="120" w:right="215" w:hanging="1"/>
        <w:jc w:val="left"/>
        <w:rPr>
          <w:sz w:val="18"/>
        </w:rPr>
      </w:pPr>
      <w:bookmarkStart w:name="_bookmark7" w:id="32"/>
      <w:bookmarkEnd w:id="32"/>
      <w:r>
        <w:rPr/>
      </w:r>
      <w:r>
        <w:rPr>
          <w:position w:val="6"/>
          <w:sz w:val="12"/>
        </w:rPr>
        <w:t>5 </w:t>
      </w:r>
      <w:r>
        <w:rPr>
          <w:sz w:val="18"/>
        </w:rPr>
        <w:t>“Indoor” means inside premises which have a ceiling or a roof; and except for any doors, windows or passageways, are wholly enclosed.</w:t>
      </w:r>
    </w:p>
    <w:p>
      <w:pPr>
        <w:spacing w:line="240" w:lineRule="auto" w:before="0"/>
        <w:ind w:left="120" w:right="215" w:firstLine="0"/>
        <w:jc w:val="left"/>
        <w:rPr>
          <w:sz w:val="18"/>
        </w:rPr>
      </w:pPr>
      <w:bookmarkStart w:name="_bookmark8" w:id="33"/>
      <w:bookmarkEnd w:id="33"/>
      <w:r>
        <w:rPr/>
      </w:r>
      <w:r>
        <w:rPr>
          <w:position w:val="6"/>
          <w:sz w:val="12"/>
        </w:rPr>
        <w:t>6 </w:t>
      </w:r>
      <w:hyperlink r:id="rId26">
        <w:r>
          <w:rPr>
            <w:color w:val="C70044"/>
            <w:sz w:val="18"/>
            <w:u w:val="single" w:color="C70044"/>
          </w:rPr>
          <w:t>ECC Report 302</w:t>
        </w:r>
        <w:r>
          <w:rPr>
            <w:sz w:val="18"/>
          </w:rPr>
          <w:t>,</w:t>
        </w:r>
      </w:hyperlink>
      <w:r>
        <w:rPr>
          <w:sz w:val="18"/>
        </w:rPr>
        <w:t> Table 6, illustrates that less than 10% of RLAN devices use power levels of 250mW or higher, with the majority using lower powers.</w:t>
      </w:r>
    </w:p>
    <w:p>
      <w:pPr>
        <w:spacing w:before="0"/>
        <w:ind w:left="120" w:right="0" w:firstLine="0"/>
        <w:jc w:val="left"/>
        <w:rPr>
          <w:sz w:val="18"/>
        </w:rPr>
      </w:pPr>
      <w:bookmarkStart w:name="_bookmark9" w:id="34"/>
      <w:bookmarkEnd w:id="34"/>
      <w:r>
        <w:rPr/>
      </w:r>
      <w:r>
        <w:rPr>
          <w:position w:val="6"/>
          <w:sz w:val="12"/>
        </w:rPr>
        <w:t>7 </w:t>
      </w:r>
      <w:r>
        <w:rPr>
          <w:sz w:val="18"/>
        </w:rPr>
        <w:t>No other Shared Access users would be authorised to deploy within the 50m radius area of an existing user, however, we cannot guarantee geographically exclusive use with regards to other incumbent users.</w:t>
      </w:r>
    </w:p>
    <w:p>
      <w:pPr>
        <w:spacing w:after="0"/>
        <w:jc w:val="left"/>
        <w:rPr>
          <w:sz w:val="18"/>
        </w:rPr>
        <w:sectPr>
          <w:footerReference w:type="default" r:id="rId25"/>
          <w:pgSz w:w="11910" w:h="16840"/>
          <w:pgMar w:footer="1309" w:header="727" w:top="920" w:bottom="1500" w:left="1320" w:right="1340"/>
          <w:pgNumType w:start="11"/>
        </w:sectPr>
      </w:pPr>
    </w:p>
    <w:p>
      <w:pPr>
        <w:pStyle w:val="BodyText"/>
        <w:rPr>
          <w:sz w:val="20"/>
        </w:rPr>
      </w:pPr>
    </w:p>
    <w:p>
      <w:pPr>
        <w:pStyle w:val="BodyText"/>
        <w:rPr>
          <w:sz w:val="20"/>
        </w:rPr>
      </w:pPr>
    </w:p>
    <w:p>
      <w:pPr>
        <w:pStyle w:val="BodyText"/>
        <w:spacing w:before="6"/>
        <w:rPr>
          <w:sz w:val="20"/>
        </w:rPr>
      </w:pPr>
    </w:p>
    <w:p>
      <w:pPr>
        <w:pStyle w:val="Heading2"/>
        <w:spacing w:before="36"/>
      </w:pPr>
      <w:bookmarkStart w:name="We propose to add the band to the Shared" w:id="35"/>
      <w:bookmarkEnd w:id="35"/>
      <w:r>
        <w:rPr>
          <w:b w:val="0"/>
        </w:rPr>
      </w:r>
      <w:r>
        <w:rPr>
          <w:color w:val="CC0044"/>
        </w:rPr>
        <w:t>We propose to add the band to the Shared Access framework</w:t>
      </w:r>
    </w:p>
    <w:p>
      <w:pPr>
        <w:pStyle w:val="Heading3"/>
        <w:spacing w:before="238"/>
      </w:pPr>
      <w:bookmarkStart w:name="The Shared Access licence" w:id="36"/>
      <w:bookmarkEnd w:id="36"/>
      <w:r>
        <w:rPr>
          <w:b w:val="0"/>
        </w:rPr>
      </w:r>
      <w:r>
        <w:rPr/>
        <w:t>The Shared Access licence</w:t>
      </w:r>
    </w:p>
    <w:p>
      <w:pPr>
        <w:pStyle w:val="ListParagraph"/>
        <w:numPr>
          <w:ilvl w:val="2"/>
          <w:numId w:val="1"/>
        </w:numPr>
        <w:tabs>
          <w:tab w:pos="970" w:val="left" w:leader="none"/>
          <w:tab w:pos="971" w:val="left" w:leader="none"/>
        </w:tabs>
        <w:spacing w:line="273" w:lineRule="auto" w:before="240" w:after="0"/>
        <w:ind w:left="970" w:right="167" w:hanging="850"/>
        <w:jc w:val="both"/>
        <w:rPr>
          <w:sz w:val="14"/>
        </w:rPr>
      </w:pPr>
      <w:r>
        <w:rPr>
          <w:sz w:val="22"/>
        </w:rPr>
        <w:t>The Shared Access licence is part of a </w:t>
      </w:r>
      <w:hyperlink r:id="rId27">
        <w:r>
          <w:rPr>
            <w:color w:val="404040"/>
            <w:sz w:val="22"/>
          </w:rPr>
          <w:t>framework</w:t>
        </w:r>
      </w:hyperlink>
      <w:r>
        <w:rPr>
          <w:color w:val="404040"/>
          <w:sz w:val="22"/>
        </w:rPr>
        <w:t> </w:t>
      </w:r>
      <w:r>
        <w:rPr>
          <w:sz w:val="22"/>
        </w:rPr>
        <w:t>for enabling shared use of spectrum. This framework was set up to support innovation and enable new use of spectrum by providing localised access to spectrum bands. Currently the licence is available in four</w:t>
      </w:r>
      <w:r>
        <w:rPr>
          <w:spacing w:val="-35"/>
          <w:sz w:val="22"/>
        </w:rPr>
        <w:t> </w:t>
      </w:r>
      <w:r>
        <w:rPr>
          <w:sz w:val="22"/>
        </w:rPr>
        <w:t>bands.</w:t>
      </w:r>
      <w:hyperlink w:history="true" w:anchor="_bookmark10">
        <w:r>
          <w:rPr>
            <w:position w:val="8"/>
            <w:sz w:val="14"/>
          </w:rPr>
          <w:t>8</w:t>
        </w:r>
      </w:hyperlink>
    </w:p>
    <w:p>
      <w:pPr>
        <w:pStyle w:val="ListParagraph"/>
        <w:numPr>
          <w:ilvl w:val="2"/>
          <w:numId w:val="1"/>
        </w:numPr>
        <w:tabs>
          <w:tab w:pos="970" w:val="left" w:leader="none"/>
          <w:tab w:pos="971" w:val="left" w:leader="none"/>
        </w:tabs>
        <w:spacing w:line="276" w:lineRule="auto" w:before="121" w:after="0"/>
        <w:ind w:left="970" w:right="108" w:hanging="850"/>
        <w:jc w:val="left"/>
        <w:rPr>
          <w:sz w:val="22"/>
        </w:rPr>
      </w:pPr>
      <w:r>
        <w:rPr>
          <w:sz w:val="22"/>
        </w:rPr>
        <w:t>The licence allows users to apply to Ofcom for coordinated, local access to the bands covered on a per location, first come, first served basis. Successful applicants have the right to use their designated frequency and bandwidth in a specific location and pay a licence fee that reflects the costs of issuing the</w:t>
      </w:r>
      <w:r>
        <w:rPr>
          <w:spacing w:val="-24"/>
          <w:sz w:val="22"/>
        </w:rPr>
        <w:t> </w:t>
      </w:r>
      <w:r>
        <w:rPr>
          <w:sz w:val="22"/>
        </w:rPr>
        <w:t>licence.</w:t>
      </w:r>
    </w:p>
    <w:p>
      <w:pPr>
        <w:pStyle w:val="ListParagraph"/>
        <w:numPr>
          <w:ilvl w:val="2"/>
          <w:numId w:val="1"/>
        </w:numPr>
        <w:tabs>
          <w:tab w:pos="971" w:val="left" w:leader="none"/>
          <w:tab w:pos="972" w:val="left" w:leader="none"/>
        </w:tabs>
        <w:spacing w:line="276" w:lineRule="auto" w:before="119" w:after="0"/>
        <w:ind w:left="971" w:right="271" w:hanging="851"/>
        <w:jc w:val="left"/>
        <w:rPr>
          <w:sz w:val="22"/>
        </w:rPr>
      </w:pPr>
      <w:r>
        <w:rPr>
          <w:sz w:val="22"/>
        </w:rPr>
        <w:t>There are two types of Shared Access licence, distinguished primarily by permitted power levels, to cater for different types of potential uses: low-power and medium-power licences. As medium-power licences are for outdoor use only, we will look at low-power licences in the context of the 6 GHz</w:t>
      </w:r>
      <w:r>
        <w:rPr>
          <w:spacing w:val="-17"/>
          <w:sz w:val="22"/>
        </w:rPr>
        <w:t> </w:t>
      </w:r>
      <w:r>
        <w:rPr>
          <w:sz w:val="22"/>
        </w:rPr>
        <w:t>band.</w:t>
      </w:r>
    </w:p>
    <w:p>
      <w:pPr>
        <w:pStyle w:val="ListParagraph"/>
        <w:numPr>
          <w:ilvl w:val="2"/>
          <w:numId w:val="1"/>
        </w:numPr>
        <w:tabs>
          <w:tab w:pos="971" w:val="left" w:leader="none"/>
          <w:tab w:pos="972" w:val="left" w:leader="none"/>
        </w:tabs>
        <w:spacing w:line="276" w:lineRule="auto" w:before="119" w:after="0"/>
        <w:ind w:left="971" w:right="151" w:hanging="851"/>
        <w:jc w:val="left"/>
        <w:rPr>
          <w:sz w:val="22"/>
        </w:rPr>
      </w:pPr>
      <w:r>
        <w:rPr>
          <w:sz w:val="22"/>
        </w:rPr>
        <w:t>Low-power indoor Shared Access licences authorise any number of indoor base stations, in an area with a 50m radius around a given point provided to Ofcom by the user. Users may add or move base stations within the area without needing to inform Ofcom of the changes.</w:t>
      </w:r>
    </w:p>
    <w:p>
      <w:pPr>
        <w:pStyle w:val="ListParagraph"/>
        <w:numPr>
          <w:ilvl w:val="2"/>
          <w:numId w:val="1"/>
        </w:numPr>
        <w:tabs>
          <w:tab w:pos="971" w:val="left" w:leader="none"/>
          <w:tab w:pos="972" w:val="left" w:leader="none"/>
        </w:tabs>
        <w:spacing w:line="276" w:lineRule="auto" w:before="119" w:after="0"/>
        <w:ind w:left="971" w:right="208" w:hanging="851"/>
        <w:jc w:val="left"/>
        <w:rPr>
          <w:sz w:val="22"/>
        </w:rPr>
      </w:pPr>
      <w:r>
        <w:rPr>
          <w:sz w:val="22"/>
        </w:rPr>
        <w:t>The low power indoor licence also authorises all terminals connected to transmitters covered by the licence, which do not have to be located within the licensed area but must also be indoors. For large sites, people can apply for multiple licence areas to achieve the required coverage area, which can be contiguous and overlapping, or spaced out around a larger site. Applications are assessed on a case-by-case</w:t>
      </w:r>
      <w:r>
        <w:rPr>
          <w:spacing w:val="-32"/>
          <w:sz w:val="22"/>
        </w:rPr>
        <w:t> </w:t>
      </w:r>
      <w:r>
        <w:rPr>
          <w:sz w:val="22"/>
        </w:rPr>
        <w:t>basis.</w:t>
      </w:r>
    </w:p>
    <w:p>
      <w:pPr>
        <w:pStyle w:val="ListParagraph"/>
        <w:numPr>
          <w:ilvl w:val="2"/>
          <w:numId w:val="1"/>
        </w:numPr>
        <w:tabs>
          <w:tab w:pos="971" w:val="left" w:leader="none"/>
          <w:tab w:pos="972" w:val="left" w:leader="none"/>
        </w:tabs>
        <w:spacing w:line="276" w:lineRule="auto" w:before="119" w:after="0"/>
        <w:ind w:left="970" w:right="181" w:hanging="850"/>
        <w:jc w:val="left"/>
        <w:rPr>
          <w:sz w:val="22"/>
        </w:rPr>
      </w:pPr>
      <w:r>
        <w:rPr>
          <w:sz w:val="22"/>
        </w:rPr>
        <w:t>Indoor-only licences are not subject to detailed technical coordination before they are issued, as building attenuation provides sufficient protection to other users. However, we ensure that there is a short minimum distance (100m) between the centre points of any licences in the same channel to ensure that there is no overlap and to minimise interference risk between Shared Access users.</w:t>
      </w:r>
      <w:hyperlink w:history="true" w:anchor="_bookmark11">
        <w:r>
          <w:rPr>
            <w:position w:val="6"/>
            <w:sz w:val="12"/>
          </w:rPr>
          <w:t>9</w:t>
        </w:r>
      </w:hyperlink>
      <w:r>
        <w:rPr>
          <w:position w:val="6"/>
          <w:sz w:val="12"/>
        </w:rPr>
        <w:t> </w:t>
      </w:r>
      <w:r>
        <w:rPr>
          <w:sz w:val="22"/>
        </w:rPr>
        <w:t>There is a small exclusion zone around Radio Astronomy sites in the 26 GHz band,</w:t>
      </w:r>
      <w:hyperlink w:history="true" w:anchor="_bookmark12">
        <w:r>
          <w:rPr>
            <w:position w:val="6"/>
            <w:sz w:val="12"/>
          </w:rPr>
          <w:t>10</w:t>
        </w:r>
      </w:hyperlink>
      <w:r>
        <w:rPr>
          <w:position w:val="6"/>
          <w:sz w:val="12"/>
        </w:rPr>
        <w:t> </w:t>
      </w:r>
      <w:r>
        <w:rPr>
          <w:sz w:val="22"/>
        </w:rPr>
        <w:t>but no further coordination is required on the basis of the low interference risk with incumbent</w:t>
      </w:r>
      <w:r>
        <w:rPr>
          <w:spacing w:val="-25"/>
          <w:sz w:val="22"/>
        </w:rPr>
        <w:t> </w:t>
      </w:r>
      <w:r>
        <w:rPr>
          <w:sz w:val="22"/>
        </w:rPr>
        <w:t>users.</w:t>
      </w:r>
    </w:p>
    <w:p>
      <w:pPr>
        <w:pStyle w:val="ListParagraph"/>
        <w:numPr>
          <w:ilvl w:val="2"/>
          <w:numId w:val="1"/>
        </w:numPr>
        <w:tabs>
          <w:tab w:pos="970" w:val="left" w:leader="none"/>
          <w:tab w:pos="971" w:val="left" w:leader="none"/>
        </w:tabs>
        <w:spacing w:line="276" w:lineRule="auto" w:before="120" w:after="0"/>
        <w:ind w:left="970" w:right="349" w:hanging="851"/>
        <w:jc w:val="left"/>
        <w:rPr>
          <w:sz w:val="22"/>
        </w:rPr>
      </w:pPr>
      <w:r>
        <w:rPr>
          <w:sz w:val="22"/>
        </w:rPr>
        <w:t>In Ofcom’s </w:t>
      </w:r>
      <w:hyperlink r:id="rId28">
        <w:r>
          <w:rPr>
            <w:sz w:val="22"/>
          </w:rPr>
          <w:t>consultation</w:t>
        </w:r>
      </w:hyperlink>
      <w:r>
        <w:rPr>
          <w:sz w:val="22"/>
        </w:rPr>
        <w:t> on introducing the Shared Access licence in December 2018, we said we intended to add other bands to our spectrum sharing framework as appropriate. Considering the above factors, we propose to add the upper 6 GHz band to the Shared Access licence for </w:t>
      </w:r>
      <w:r>
        <w:rPr>
          <w:b/>
          <w:sz w:val="22"/>
        </w:rPr>
        <w:t>low-power, indoor-only</w:t>
      </w:r>
      <w:r>
        <w:rPr>
          <w:b/>
          <w:spacing w:val="-24"/>
          <w:sz w:val="22"/>
        </w:rPr>
        <w:t> </w:t>
      </w:r>
      <w:r>
        <w:rPr>
          <w:sz w:val="22"/>
        </w:rPr>
        <w:t>use.</w:t>
      </w:r>
    </w:p>
    <w:p>
      <w:pPr>
        <w:pStyle w:val="BodyText"/>
        <w:rPr>
          <w:sz w:val="20"/>
        </w:rPr>
      </w:pPr>
    </w:p>
    <w:p>
      <w:pPr>
        <w:pStyle w:val="BodyText"/>
        <w:rPr>
          <w:sz w:val="20"/>
        </w:rPr>
      </w:pPr>
    </w:p>
    <w:p>
      <w:pPr>
        <w:pStyle w:val="BodyText"/>
        <w:rPr>
          <w:sz w:val="20"/>
        </w:rPr>
      </w:pPr>
    </w:p>
    <w:p>
      <w:pPr>
        <w:pStyle w:val="BodyText"/>
        <w:spacing w:before="6"/>
        <w:rPr>
          <w:sz w:val="11"/>
        </w:rPr>
      </w:pPr>
      <w:r>
        <w:rPr/>
        <w:pict>
          <v:line style="position:absolute;mso-position-horizontal-relative:page;mso-position-vertical-relative:paragraph;z-index:1264;mso-wrap-distance-left:0;mso-wrap-distance-right:0" from="72pt,9.360869pt" to="216pt,9.360869pt" stroked="true" strokeweight=".72pt" strokecolor="#000000">
            <v:stroke dashstyle="solid"/>
            <w10:wrap type="topAndBottom"/>
          </v:line>
        </w:pict>
      </w:r>
    </w:p>
    <w:p>
      <w:pPr>
        <w:pStyle w:val="BodyText"/>
        <w:spacing w:before="5"/>
        <w:rPr>
          <w:sz w:val="12"/>
        </w:rPr>
      </w:pPr>
    </w:p>
    <w:p>
      <w:pPr>
        <w:spacing w:line="221" w:lineRule="exact" w:before="75"/>
        <w:ind w:left="120" w:right="0" w:firstLine="0"/>
        <w:jc w:val="left"/>
        <w:rPr>
          <w:sz w:val="18"/>
        </w:rPr>
      </w:pPr>
      <w:bookmarkStart w:name="_bookmark10" w:id="37"/>
      <w:bookmarkEnd w:id="37"/>
      <w:r>
        <w:rPr/>
      </w:r>
      <w:r>
        <w:rPr>
          <w:position w:val="6"/>
          <w:sz w:val="12"/>
        </w:rPr>
        <w:t>8 </w:t>
      </w:r>
      <w:r>
        <w:rPr>
          <w:sz w:val="18"/>
        </w:rPr>
        <w:t>1800 MHz; 2300 MHz; 3.8-4.2 GHz; and 26 GHz (indoor only).</w:t>
      </w:r>
    </w:p>
    <w:p>
      <w:pPr>
        <w:spacing w:line="220" w:lineRule="exact" w:before="0"/>
        <w:ind w:left="120" w:right="0" w:firstLine="0"/>
        <w:jc w:val="left"/>
        <w:rPr>
          <w:sz w:val="18"/>
        </w:rPr>
      </w:pPr>
      <w:bookmarkStart w:name="_bookmark11" w:id="38"/>
      <w:bookmarkEnd w:id="38"/>
      <w:r>
        <w:rPr/>
      </w:r>
      <w:r>
        <w:rPr>
          <w:position w:val="6"/>
          <w:sz w:val="12"/>
        </w:rPr>
        <w:t>9 </w:t>
      </w:r>
      <w:r>
        <w:rPr>
          <w:sz w:val="18"/>
        </w:rPr>
        <w:t>Overlapping licences from the same user can be authorised, for example, to cover a wider area.</w:t>
      </w:r>
    </w:p>
    <w:p>
      <w:pPr>
        <w:spacing w:before="0"/>
        <w:ind w:left="120" w:right="239" w:firstLine="0"/>
        <w:jc w:val="left"/>
        <w:rPr>
          <w:sz w:val="18"/>
        </w:rPr>
      </w:pPr>
      <w:bookmarkStart w:name="_bookmark12" w:id="39"/>
      <w:bookmarkEnd w:id="39"/>
      <w:r>
        <w:rPr/>
      </w:r>
      <w:r>
        <w:rPr>
          <w:position w:val="6"/>
          <w:sz w:val="12"/>
        </w:rPr>
        <w:t>10 </w:t>
      </w:r>
      <w:r>
        <w:rPr>
          <w:sz w:val="18"/>
        </w:rPr>
        <w:t>This may be removed for indoor-only use, pending the outcome of the </w:t>
      </w:r>
      <w:hyperlink r:id="rId29">
        <w:r>
          <w:rPr>
            <w:color w:val="C70044"/>
            <w:sz w:val="18"/>
            <w:u w:val="single" w:color="C70044"/>
          </w:rPr>
          <w:t>consultation </w:t>
        </w:r>
      </w:hyperlink>
      <w:r>
        <w:rPr>
          <w:sz w:val="18"/>
        </w:rPr>
        <w:t>on protecting passive services from out-of-band emissions from 26 GHz users.</w:t>
      </w:r>
    </w:p>
    <w:p>
      <w:pPr>
        <w:spacing w:after="0"/>
        <w:jc w:val="left"/>
        <w:rPr>
          <w:sz w:val="18"/>
        </w:rPr>
        <w:sectPr>
          <w:pgSz w:w="11910" w:h="16840"/>
          <w:pgMar w:header="727" w:footer="1309" w:top="920" w:bottom="1500" w:left="1320" w:right="1340"/>
        </w:sectPr>
      </w:pPr>
    </w:p>
    <w:p>
      <w:pPr>
        <w:pStyle w:val="BodyText"/>
        <w:rPr>
          <w:sz w:val="20"/>
        </w:rPr>
      </w:pPr>
    </w:p>
    <w:p>
      <w:pPr>
        <w:pStyle w:val="BodyText"/>
        <w:rPr>
          <w:sz w:val="20"/>
        </w:rPr>
      </w:pPr>
    </w:p>
    <w:p>
      <w:pPr>
        <w:pStyle w:val="BodyText"/>
        <w:spacing w:before="6"/>
        <w:rPr>
          <w:sz w:val="20"/>
        </w:rPr>
      </w:pPr>
    </w:p>
    <w:p>
      <w:pPr>
        <w:pStyle w:val="Heading2"/>
        <w:spacing w:before="36"/>
      </w:pPr>
      <w:bookmarkStart w:name="Proposed licence conditions" w:id="40"/>
      <w:bookmarkEnd w:id="40"/>
      <w:r>
        <w:rPr>
          <w:b w:val="0"/>
        </w:rPr>
      </w:r>
      <w:r>
        <w:rPr>
          <w:color w:val="CC0044"/>
        </w:rPr>
        <w:t>Proposed licence conditions</w:t>
      </w:r>
    </w:p>
    <w:p>
      <w:pPr>
        <w:pStyle w:val="Heading3"/>
        <w:spacing w:before="238"/>
      </w:pPr>
      <w:bookmarkStart w:name="Technical licence conditions" w:id="41"/>
      <w:bookmarkEnd w:id="41"/>
      <w:r>
        <w:rPr>
          <w:b w:val="0"/>
        </w:rPr>
      </w:r>
      <w:r>
        <w:rPr/>
        <w:t>Technical licence conditions</w:t>
      </w:r>
    </w:p>
    <w:p>
      <w:pPr>
        <w:pStyle w:val="ListParagraph"/>
        <w:numPr>
          <w:ilvl w:val="2"/>
          <w:numId w:val="1"/>
        </w:numPr>
        <w:tabs>
          <w:tab w:pos="970" w:val="left" w:leader="none"/>
          <w:tab w:pos="971" w:val="left" w:leader="none"/>
        </w:tabs>
        <w:spacing w:line="240" w:lineRule="auto" w:before="240" w:after="0"/>
        <w:ind w:left="970" w:right="0" w:hanging="850"/>
        <w:jc w:val="left"/>
        <w:rPr>
          <w:sz w:val="22"/>
        </w:rPr>
      </w:pPr>
      <w:r>
        <w:rPr>
          <w:sz w:val="22"/>
        </w:rPr>
        <w:t>We</w:t>
      </w:r>
      <w:r>
        <w:rPr>
          <w:spacing w:val="-4"/>
          <w:sz w:val="22"/>
        </w:rPr>
        <w:t> </w:t>
      </w:r>
      <w:r>
        <w:rPr>
          <w:sz w:val="22"/>
        </w:rPr>
        <w:t>summarise</w:t>
      </w:r>
      <w:r>
        <w:rPr>
          <w:spacing w:val="-4"/>
          <w:sz w:val="22"/>
        </w:rPr>
        <w:t> </w:t>
      </w:r>
      <w:r>
        <w:rPr>
          <w:sz w:val="22"/>
        </w:rPr>
        <w:t>our</w:t>
      </w:r>
      <w:r>
        <w:rPr>
          <w:spacing w:val="-4"/>
          <w:sz w:val="22"/>
        </w:rPr>
        <w:t> </w:t>
      </w:r>
      <w:r>
        <w:rPr>
          <w:sz w:val="22"/>
        </w:rPr>
        <w:t>proposed</w:t>
      </w:r>
      <w:r>
        <w:rPr>
          <w:spacing w:val="-4"/>
          <w:sz w:val="22"/>
        </w:rPr>
        <w:t> </w:t>
      </w:r>
      <w:r>
        <w:rPr>
          <w:sz w:val="22"/>
        </w:rPr>
        <w:t>technical</w:t>
      </w:r>
      <w:r>
        <w:rPr>
          <w:spacing w:val="-3"/>
          <w:sz w:val="22"/>
        </w:rPr>
        <w:t> </w:t>
      </w:r>
      <w:r>
        <w:rPr>
          <w:sz w:val="22"/>
        </w:rPr>
        <w:t>licence</w:t>
      </w:r>
      <w:r>
        <w:rPr>
          <w:spacing w:val="-3"/>
          <w:sz w:val="22"/>
        </w:rPr>
        <w:t> </w:t>
      </w:r>
      <w:r>
        <w:rPr>
          <w:sz w:val="22"/>
        </w:rPr>
        <w:t>conditions</w:t>
      </w:r>
      <w:r>
        <w:rPr>
          <w:spacing w:val="-4"/>
          <w:sz w:val="22"/>
        </w:rPr>
        <w:t> </w:t>
      </w:r>
      <w:r>
        <w:rPr>
          <w:sz w:val="22"/>
        </w:rPr>
        <w:t>in</w:t>
      </w:r>
      <w:r>
        <w:rPr>
          <w:spacing w:val="-4"/>
          <w:sz w:val="22"/>
        </w:rPr>
        <w:t> </w:t>
      </w:r>
      <w:r>
        <w:rPr>
          <w:sz w:val="22"/>
        </w:rPr>
        <w:t>the</w:t>
      </w:r>
      <w:r>
        <w:rPr>
          <w:spacing w:val="-3"/>
          <w:sz w:val="22"/>
        </w:rPr>
        <w:t> </w:t>
      </w:r>
      <w:r>
        <w:rPr>
          <w:sz w:val="22"/>
        </w:rPr>
        <w:t>table</w:t>
      </w:r>
      <w:r>
        <w:rPr>
          <w:spacing w:val="-4"/>
          <w:sz w:val="22"/>
        </w:rPr>
        <w:t> </w:t>
      </w:r>
      <w:r>
        <w:rPr>
          <w:sz w:val="22"/>
        </w:rPr>
        <w:t>below.</w:t>
      </w:r>
    </w:p>
    <w:p>
      <w:pPr>
        <w:pStyle w:val="Heading5"/>
        <w:spacing w:before="159"/>
        <w:ind w:left="119"/>
      </w:pPr>
      <w:r>
        <w:rPr/>
        <w:t>Table 3.2: Proposed technical conditions for the upper 6 GHz low power Shared Access licence</w:t>
      </w:r>
    </w:p>
    <w:p>
      <w:pPr>
        <w:pStyle w:val="BodyText"/>
        <w:spacing w:before="1"/>
        <w:rPr>
          <w:b/>
          <w:sz w:val="13"/>
        </w:rPr>
      </w:pPr>
    </w:p>
    <w:tbl>
      <w:tblPr>
        <w:tblW w:w="0" w:type="auto"/>
        <w:jc w:val="left"/>
        <w:tblInd w:w="121" w:type="dxa"/>
        <w:tblBorders>
          <w:top w:val="single" w:sz="2" w:space="0" w:color="ADAEB0"/>
          <w:left w:val="single" w:sz="2" w:space="0" w:color="ADAEB0"/>
          <w:bottom w:val="single" w:sz="2" w:space="0" w:color="ADAEB0"/>
          <w:right w:val="single" w:sz="2" w:space="0" w:color="ADAEB0"/>
          <w:insideH w:val="single" w:sz="2" w:space="0" w:color="ADAEB0"/>
          <w:insideV w:val="single" w:sz="2" w:space="0" w:color="ADAEB0"/>
        </w:tblBorders>
        <w:tblLayout w:type="fixed"/>
        <w:tblCellMar>
          <w:top w:w="0" w:type="dxa"/>
          <w:left w:w="0" w:type="dxa"/>
          <w:bottom w:w="0" w:type="dxa"/>
          <w:right w:w="0" w:type="dxa"/>
        </w:tblCellMar>
        <w:tblLook w:val="01E0"/>
      </w:tblPr>
      <w:tblGrid>
        <w:gridCol w:w="2690"/>
        <w:gridCol w:w="6095"/>
      </w:tblGrid>
      <w:tr>
        <w:trPr>
          <w:trHeight w:val="493" w:hRule="exact"/>
        </w:trPr>
        <w:tc>
          <w:tcPr>
            <w:tcW w:w="2690" w:type="dxa"/>
            <w:shd w:val="clear" w:color="auto" w:fill="5F1D51"/>
          </w:tcPr>
          <w:p>
            <w:pPr>
              <w:pStyle w:val="TableParagraph"/>
              <w:spacing w:before="60"/>
              <w:ind w:left="105"/>
              <w:rPr>
                <w:b/>
                <w:sz w:val="22"/>
              </w:rPr>
            </w:pPr>
            <w:r>
              <w:rPr>
                <w:b/>
                <w:color w:val="FFFFFF"/>
                <w:sz w:val="22"/>
              </w:rPr>
              <w:t>Parameters</w:t>
            </w:r>
          </w:p>
        </w:tc>
        <w:tc>
          <w:tcPr>
            <w:tcW w:w="6095" w:type="dxa"/>
            <w:shd w:val="clear" w:color="auto" w:fill="5F1D51"/>
          </w:tcPr>
          <w:p>
            <w:pPr>
              <w:pStyle w:val="TableParagraph"/>
              <w:spacing w:before="60"/>
              <w:ind w:left="105"/>
              <w:rPr>
                <w:b/>
                <w:sz w:val="22"/>
              </w:rPr>
            </w:pPr>
            <w:r>
              <w:rPr>
                <w:b/>
                <w:color w:val="FFFFFF"/>
                <w:sz w:val="22"/>
              </w:rPr>
              <w:t>6425-7070 MHz band</w:t>
            </w:r>
          </w:p>
        </w:tc>
      </w:tr>
      <w:tr>
        <w:trPr>
          <w:trHeight w:val="494" w:hRule="exact"/>
        </w:trPr>
        <w:tc>
          <w:tcPr>
            <w:tcW w:w="2690" w:type="dxa"/>
            <w:shd w:val="clear" w:color="auto" w:fill="EEC9E6"/>
          </w:tcPr>
          <w:p>
            <w:pPr>
              <w:pStyle w:val="TableParagraph"/>
              <w:spacing w:before="60"/>
              <w:ind w:left="105"/>
              <w:rPr>
                <w:b/>
                <w:sz w:val="22"/>
              </w:rPr>
            </w:pPr>
            <w:r>
              <w:rPr>
                <w:b/>
                <w:sz w:val="22"/>
              </w:rPr>
              <w:t>Permitted deployment</w:t>
            </w:r>
          </w:p>
        </w:tc>
        <w:tc>
          <w:tcPr>
            <w:tcW w:w="6095" w:type="dxa"/>
            <w:shd w:val="clear" w:color="auto" w:fill="F1F1F1"/>
          </w:tcPr>
          <w:p>
            <w:pPr>
              <w:pStyle w:val="TableParagraph"/>
              <w:spacing w:before="60"/>
              <w:ind w:left="105"/>
              <w:rPr>
                <w:sz w:val="22"/>
              </w:rPr>
            </w:pPr>
            <w:r>
              <w:rPr>
                <w:sz w:val="22"/>
              </w:rPr>
              <w:t>Indoor only</w:t>
            </w:r>
          </w:p>
        </w:tc>
      </w:tr>
      <w:tr>
        <w:trPr>
          <w:trHeight w:val="493" w:hRule="exact"/>
        </w:trPr>
        <w:tc>
          <w:tcPr>
            <w:tcW w:w="2690" w:type="dxa"/>
            <w:shd w:val="clear" w:color="auto" w:fill="EEC9E6"/>
          </w:tcPr>
          <w:p>
            <w:pPr>
              <w:pStyle w:val="TableParagraph"/>
              <w:spacing w:before="60"/>
              <w:ind w:left="105"/>
              <w:rPr>
                <w:b/>
                <w:sz w:val="22"/>
              </w:rPr>
            </w:pPr>
            <w:r>
              <w:rPr>
                <w:b/>
                <w:sz w:val="22"/>
              </w:rPr>
              <w:t>Authorised bandwidth</w:t>
            </w:r>
          </w:p>
        </w:tc>
        <w:tc>
          <w:tcPr>
            <w:tcW w:w="6095" w:type="dxa"/>
          </w:tcPr>
          <w:p>
            <w:pPr>
              <w:pStyle w:val="TableParagraph"/>
              <w:spacing w:before="60"/>
              <w:ind w:left="105"/>
              <w:rPr>
                <w:sz w:val="12"/>
              </w:rPr>
            </w:pPr>
            <w:r>
              <w:rPr>
                <w:sz w:val="22"/>
              </w:rPr>
              <w:t>Licences to cover full 6425-7070 MHz band</w:t>
            </w:r>
            <w:hyperlink w:history="true" w:anchor="_bookmark13">
              <w:r>
                <w:rPr>
                  <w:position w:val="6"/>
                  <w:sz w:val="12"/>
                </w:rPr>
                <w:t>11</w:t>
              </w:r>
            </w:hyperlink>
          </w:p>
        </w:tc>
      </w:tr>
      <w:tr>
        <w:trPr>
          <w:trHeight w:val="803" w:hRule="exact"/>
        </w:trPr>
        <w:tc>
          <w:tcPr>
            <w:tcW w:w="2690" w:type="dxa"/>
            <w:shd w:val="clear" w:color="auto" w:fill="EEC9E6"/>
          </w:tcPr>
          <w:p>
            <w:pPr>
              <w:pStyle w:val="TableParagraph"/>
              <w:spacing w:line="276" w:lineRule="auto" w:before="60"/>
              <w:ind w:left="105" w:right="350"/>
              <w:rPr>
                <w:b/>
                <w:sz w:val="22"/>
              </w:rPr>
            </w:pPr>
            <w:r>
              <w:rPr>
                <w:b/>
                <w:sz w:val="22"/>
              </w:rPr>
              <w:t>Maximum device power (EIRP)</w:t>
            </w:r>
          </w:p>
        </w:tc>
        <w:tc>
          <w:tcPr>
            <w:tcW w:w="6095" w:type="dxa"/>
            <w:shd w:val="clear" w:color="auto" w:fill="F1F1F1"/>
          </w:tcPr>
          <w:p>
            <w:pPr>
              <w:pStyle w:val="TableParagraph"/>
              <w:spacing w:before="60"/>
              <w:ind w:left="105"/>
              <w:rPr>
                <w:sz w:val="22"/>
              </w:rPr>
            </w:pPr>
            <w:r>
              <w:rPr>
                <w:sz w:val="22"/>
              </w:rPr>
              <w:t>250mW</w:t>
            </w:r>
          </w:p>
        </w:tc>
      </w:tr>
      <w:tr>
        <w:trPr>
          <w:trHeight w:val="803" w:hRule="exact"/>
        </w:trPr>
        <w:tc>
          <w:tcPr>
            <w:tcW w:w="2690" w:type="dxa"/>
            <w:shd w:val="clear" w:color="auto" w:fill="EEC9E6"/>
          </w:tcPr>
          <w:p>
            <w:pPr>
              <w:pStyle w:val="TableParagraph"/>
              <w:spacing w:line="276" w:lineRule="auto" w:before="60"/>
              <w:ind w:left="105" w:right="605"/>
              <w:rPr>
                <w:b/>
                <w:sz w:val="22"/>
              </w:rPr>
            </w:pPr>
            <w:r>
              <w:rPr>
                <w:b/>
                <w:sz w:val="22"/>
              </w:rPr>
              <w:t>Maximum mean EIRP density</w:t>
            </w:r>
          </w:p>
        </w:tc>
        <w:tc>
          <w:tcPr>
            <w:tcW w:w="6095" w:type="dxa"/>
          </w:tcPr>
          <w:p>
            <w:pPr>
              <w:pStyle w:val="TableParagraph"/>
              <w:spacing w:before="60"/>
              <w:ind w:left="105"/>
              <w:rPr>
                <w:sz w:val="22"/>
              </w:rPr>
            </w:pPr>
            <w:r>
              <w:rPr>
                <w:sz w:val="22"/>
              </w:rPr>
              <w:t>12.6mW/MHz in any 1 MHz band</w:t>
            </w:r>
          </w:p>
        </w:tc>
      </w:tr>
    </w:tbl>
    <w:p>
      <w:pPr>
        <w:pStyle w:val="BodyText"/>
        <w:rPr>
          <w:b/>
        </w:rPr>
      </w:pPr>
    </w:p>
    <w:p>
      <w:pPr>
        <w:pStyle w:val="ListParagraph"/>
        <w:numPr>
          <w:ilvl w:val="2"/>
          <w:numId w:val="1"/>
        </w:numPr>
        <w:tabs>
          <w:tab w:pos="970" w:val="left" w:leader="none"/>
          <w:tab w:pos="971" w:val="left" w:leader="none"/>
        </w:tabs>
        <w:spacing w:line="276" w:lineRule="auto" w:before="161" w:after="0"/>
        <w:ind w:left="970" w:right="249" w:hanging="850"/>
        <w:jc w:val="left"/>
        <w:rPr>
          <w:sz w:val="22"/>
        </w:rPr>
      </w:pPr>
      <w:r>
        <w:rPr>
          <w:sz w:val="22"/>
        </w:rPr>
        <w:t>We also propose a 100-metre minimum separation distance between the centre points of any two users’ licences. This means that we would not authorise a licence application if another user is located nearby and the centre coordinates of the two licences would be less than 100m apart.</w:t>
      </w:r>
      <w:hyperlink w:history="true" w:anchor="_bookmark14">
        <w:r>
          <w:rPr>
            <w:position w:val="6"/>
            <w:sz w:val="12"/>
          </w:rPr>
          <w:t>12</w:t>
        </w:r>
      </w:hyperlink>
      <w:r>
        <w:rPr>
          <w:position w:val="6"/>
          <w:sz w:val="12"/>
        </w:rPr>
        <w:t> </w:t>
      </w:r>
      <w:r>
        <w:rPr>
          <w:sz w:val="22"/>
        </w:rPr>
        <w:t>This is to minimise the risk of interference between</w:t>
      </w:r>
      <w:r>
        <w:rPr>
          <w:spacing w:val="-31"/>
          <w:sz w:val="22"/>
        </w:rPr>
        <w:t> </w:t>
      </w:r>
      <w:r>
        <w:rPr>
          <w:sz w:val="22"/>
        </w:rPr>
        <w:t>licensees.</w:t>
      </w:r>
    </w:p>
    <w:p>
      <w:pPr>
        <w:pStyle w:val="BodyText"/>
        <w:spacing w:before="3"/>
        <w:rPr>
          <w:sz w:val="16"/>
        </w:rPr>
      </w:pPr>
    </w:p>
    <w:p>
      <w:pPr>
        <w:pStyle w:val="Heading3"/>
      </w:pPr>
      <w:bookmarkStart w:name="Non-technical licence conditions" w:id="42"/>
      <w:bookmarkEnd w:id="42"/>
      <w:r>
        <w:rPr>
          <w:b w:val="0"/>
        </w:rPr>
      </w:r>
      <w:r>
        <w:rPr/>
        <w:t>Non-technical licence conditions</w:t>
      </w:r>
    </w:p>
    <w:p>
      <w:pPr>
        <w:pStyle w:val="ListParagraph"/>
        <w:numPr>
          <w:ilvl w:val="2"/>
          <w:numId w:val="1"/>
        </w:numPr>
        <w:tabs>
          <w:tab w:pos="971" w:val="left" w:leader="none"/>
        </w:tabs>
        <w:spacing w:line="276" w:lineRule="auto" w:before="239" w:after="0"/>
        <w:ind w:left="970" w:right="487" w:hanging="850"/>
        <w:jc w:val="both"/>
        <w:rPr>
          <w:sz w:val="22"/>
        </w:rPr>
      </w:pPr>
      <w:r>
        <w:rPr>
          <w:sz w:val="22"/>
        </w:rPr>
        <w:t>The standard non-technical licence conditions for the Shared Access framework would apply to the 6 GHz licence. We have outlined these below, in addition to the conditions which are specific to this</w:t>
      </w:r>
      <w:r>
        <w:rPr>
          <w:spacing w:val="-15"/>
          <w:sz w:val="22"/>
        </w:rPr>
        <w:t> </w:t>
      </w:r>
      <w:r>
        <w:rPr>
          <w:sz w:val="22"/>
        </w:rPr>
        <w:t>band.</w:t>
      </w:r>
    </w:p>
    <w:p>
      <w:pPr>
        <w:pStyle w:val="BodyText"/>
        <w:spacing w:before="5"/>
        <w:rPr>
          <w:sz w:val="16"/>
        </w:rPr>
      </w:pPr>
    </w:p>
    <w:p>
      <w:pPr>
        <w:pStyle w:val="Heading5"/>
        <w:ind w:left="119"/>
      </w:pPr>
      <w:bookmarkStart w:name="Licence duration" w:id="43"/>
      <w:bookmarkEnd w:id="43"/>
      <w:r>
        <w:rPr>
          <w:b w:val="0"/>
        </w:rPr>
      </w:r>
      <w:r>
        <w:rPr>
          <w:color w:val="632466"/>
        </w:rPr>
        <w:t>Licence duration</w:t>
      </w:r>
    </w:p>
    <w:p>
      <w:pPr>
        <w:pStyle w:val="BodyText"/>
        <w:spacing w:before="6"/>
        <w:rPr>
          <w:b/>
          <w:sz w:val="19"/>
        </w:rPr>
      </w:pPr>
    </w:p>
    <w:p>
      <w:pPr>
        <w:pStyle w:val="ListParagraph"/>
        <w:numPr>
          <w:ilvl w:val="2"/>
          <w:numId w:val="1"/>
        </w:numPr>
        <w:tabs>
          <w:tab w:pos="970" w:val="left" w:leader="none"/>
          <w:tab w:pos="971" w:val="left" w:leader="none"/>
        </w:tabs>
        <w:spacing w:line="276" w:lineRule="auto" w:before="0" w:after="0"/>
        <w:ind w:left="970" w:right="252" w:hanging="851"/>
        <w:jc w:val="left"/>
        <w:rPr>
          <w:sz w:val="22"/>
        </w:rPr>
      </w:pPr>
      <w:r>
        <w:rPr>
          <w:sz w:val="22"/>
        </w:rPr>
        <w:t>Shared Access licences are for an indefinite duration, subject to the payment of an annual licence fee. We would also allow short-term licences for less than one year, charged on a pro-rata basis subject to a minimum fee of £32 per</w:t>
      </w:r>
      <w:r>
        <w:rPr>
          <w:spacing w:val="-28"/>
          <w:sz w:val="22"/>
        </w:rPr>
        <w:t> </w:t>
      </w:r>
      <w:r>
        <w:rPr>
          <w:sz w:val="22"/>
        </w:rPr>
        <w:t>licence.</w:t>
      </w:r>
    </w:p>
    <w:p>
      <w:pPr>
        <w:pStyle w:val="ListParagraph"/>
        <w:numPr>
          <w:ilvl w:val="2"/>
          <w:numId w:val="1"/>
        </w:numPr>
        <w:tabs>
          <w:tab w:pos="971" w:val="left" w:leader="none"/>
        </w:tabs>
        <w:spacing w:line="276" w:lineRule="auto" w:before="119" w:after="0"/>
        <w:ind w:left="970" w:right="441" w:hanging="851"/>
        <w:jc w:val="both"/>
        <w:rPr>
          <w:sz w:val="22"/>
        </w:rPr>
      </w:pPr>
      <w:r>
        <w:rPr>
          <w:sz w:val="22"/>
        </w:rPr>
        <w:t>The licence would be subject to a minimum revocation notice period of one month. We can revoke licences for spectrum management purposes, or if licensees are in breach of their licence</w:t>
      </w:r>
      <w:r>
        <w:rPr>
          <w:spacing w:val="-13"/>
          <w:sz w:val="22"/>
        </w:rPr>
        <w:t> </w:t>
      </w:r>
      <w:r>
        <w:rPr>
          <w:sz w:val="22"/>
        </w:rPr>
        <w:t>conditions.</w:t>
      </w:r>
    </w:p>
    <w:p>
      <w:pPr>
        <w:pStyle w:val="ListParagraph"/>
        <w:numPr>
          <w:ilvl w:val="2"/>
          <w:numId w:val="1"/>
        </w:numPr>
        <w:tabs>
          <w:tab w:pos="969" w:val="left" w:leader="none"/>
          <w:tab w:pos="971" w:val="left" w:leader="none"/>
        </w:tabs>
        <w:spacing w:line="276" w:lineRule="auto" w:before="119" w:after="0"/>
        <w:ind w:left="970" w:right="283" w:hanging="851"/>
        <w:jc w:val="left"/>
        <w:rPr>
          <w:sz w:val="22"/>
        </w:rPr>
      </w:pPr>
      <w:r>
        <w:rPr>
          <w:sz w:val="22"/>
        </w:rPr>
        <w:t>In practice, should we consider repurposing the band for alternative use, we would give a reasonable</w:t>
      </w:r>
      <w:r>
        <w:rPr>
          <w:spacing w:val="-4"/>
          <w:sz w:val="22"/>
        </w:rPr>
        <w:t> </w:t>
      </w:r>
      <w:r>
        <w:rPr>
          <w:sz w:val="22"/>
        </w:rPr>
        <w:t>notice</w:t>
      </w:r>
      <w:r>
        <w:rPr>
          <w:spacing w:val="-3"/>
          <w:sz w:val="22"/>
        </w:rPr>
        <w:t> </w:t>
      </w:r>
      <w:r>
        <w:rPr>
          <w:sz w:val="22"/>
        </w:rPr>
        <w:t>period.</w:t>
      </w:r>
      <w:r>
        <w:rPr>
          <w:spacing w:val="-2"/>
          <w:sz w:val="22"/>
        </w:rPr>
        <w:t> </w:t>
      </w:r>
      <w:r>
        <w:rPr>
          <w:sz w:val="22"/>
        </w:rPr>
        <w:t>This</w:t>
      </w:r>
      <w:r>
        <w:rPr>
          <w:spacing w:val="-4"/>
          <w:sz w:val="22"/>
        </w:rPr>
        <w:t> </w:t>
      </w:r>
      <w:r>
        <w:rPr>
          <w:sz w:val="22"/>
        </w:rPr>
        <w:t>is</w:t>
      </w:r>
      <w:r>
        <w:rPr>
          <w:spacing w:val="-4"/>
          <w:sz w:val="22"/>
        </w:rPr>
        <w:t> </w:t>
      </w:r>
      <w:r>
        <w:rPr>
          <w:sz w:val="22"/>
        </w:rPr>
        <w:t>likely</w:t>
      </w:r>
      <w:r>
        <w:rPr>
          <w:spacing w:val="-3"/>
          <w:sz w:val="22"/>
        </w:rPr>
        <w:t> </w:t>
      </w:r>
      <w:r>
        <w:rPr>
          <w:sz w:val="22"/>
        </w:rPr>
        <w:t>to</w:t>
      </w:r>
      <w:r>
        <w:rPr>
          <w:spacing w:val="-3"/>
          <w:sz w:val="22"/>
        </w:rPr>
        <w:t> </w:t>
      </w:r>
      <w:r>
        <w:rPr>
          <w:sz w:val="22"/>
        </w:rPr>
        <w:t>be</w:t>
      </w:r>
      <w:r>
        <w:rPr>
          <w:spacing w:val="-4"/>
          <w:sz w:val="22"/>
        </w:rPr>
        <w:t> </w:t>
      </w:r>
      <w:r>
        <w:rPr>
          <w:sz w:val="22"/>
        </w:rPr>
        <w:t>longer</w:t>
      </w:r>
      <w:r>
        <w:rPr>
          <w:spacing w:val="-4"/>
          <w:sz w:val="22"/>
        </w:rPr>
        <w:t> </w:t>
      </w:r>
      <w:r>
        <w:rPr>
          <w:sz w:val="22"/>
        </w:rPr>
        <w:t>than</w:t>
      </w:r>
      <w:r>
        <w:rPr>
          <w:spacing w:val="-4"/>
          <w:sz w:val="22"/>
        </w:rPr>
        <w:t> </w:t>
      </w:r>
      <w:r>
        <w:rPr>
          <w:sz w:val="22"/>
        </w:rPr>
        <w:t>one</w:t>
      </w:r>
      <w:r>
        <w:rPr>
          <w:spacing w:val="-3"/>
          <w:sz w:val="22"/>
        </w:rPr>
        <w:t> </w:t>
      </w:r>
      <w:r>
        <w:rPr>
          <w:sz w:val="22"/>
        </w:rPr>
        <w:t>month</w:t>
      </w:r>
      <w:r>
        <w:rPr>
          <w:spacing w:val="-4"/>
          <w:sz w:val="22"/>
        </w:rPr>
        <w:t> </w:t>
      </w:r>
      <w:r>
        <w:rPr>
          <w:sz w:val="22"/>
        </w:rPr>
        <w:t>and</w:t>
      </w:r>
      <w:r>
        <w:rPr>
          <w:spacing w:val="-4"/>
          <w:sz w:val="22"/>
        </w:rPr>
        <w:t> </w:t>
      </w:r>
      <w:r>
        <w:rPr>
          <w:sz w:val="22"/>
        </w:rPr>
        <w:t>would</w:t>
      </w:r>
      <w:r>
        <w:rPr>
          <w:spacing w:val="-3"/>
          <w:sz w:val="22"/>
        </w:rPr>
        <w:t> </w:t>
      </w:r>
      <w:r>
        <w:rPr>
          <w:sz w:val="22"/>
        </w:rPr>
        <w:t>not</w:t>
      </w:r>
      <w:r>
        <w:rPr>
          <w:spacing w:val="-4"/>
          <w:sz w:val="22"/>
        </w:rPr>
        <w:t> </w:t>
      </w:r>
      <w:r>
        <w:rPr>
          <w:sz w:val="22"/>
        </w:rPr>
        <w:t>occur</w:t>
      </w:r>
    </w:p>
    <w:p>
      <w:pPr>
        <w:pStyle w:val="BodyText"/>
        <w:rPr>
          <w:sz w:val="20"/>
        </w:rPr>
      </w:pPr>
    </w:p>
    <w:p>
      <w:pPr>
        <w:pStyle w:val="BodyText"/>
        <w:spacing w:before="10"/>
        <w:rPr>
          <w:sz w:val="14"/>
        </w:rPr>
      </w:pPr>
      <w:r>
        <w:rPr/>
        <w:pict>
          <v:line style="position:absolute;mso-position-horizontal-relative:page;mso-position-vertical-relative:paragraph;z-index:1288;mso-wrap-distance-left:0;mso-wrap-distance-right:0" from="72pt,11.376534pt" to="216pt,11.376534pt" stroked="true" strokeweight=".72pt" strokecolor="#000000">
            <v:stroke dashstyle="solid"/>
            <w10:wrap type="topAndBottom"/>
          </v:line>
        </w:pict>
      </w:r>
    </w:p>
    <w:p>
      <w:pPr>
        <w:pStyle w:val="BodyText"/>
        <w:spacing w:before="5"/>
        <w:rPr>
          <w:sz w:val="12"/>
        </w:rPr>
      </w:pPr>
    </w:p>
    <w:p>
      <w:pPr>
        <w:spacing w:before="75"/>
        <w:ind w:left="120" w:right="215" w:hanging="1"/>
        <w:jc w:val="left"/>
        <w:rPr>
          <w:sz w:val="18"/>
        </w:rPr>
      </w:pPr>
      <w:bookmarkStart w:name="_bookmark13" w:id="44"/>
      <w:bookmarkEnd w:id="44"/>
      <w:r>
        <w:rPr/>
      </w:r>
      <w:r>
        <w:rPr>
          <w:position w:val="6"/>
          <w:sz w:val="12"/>
        </w:rPr>
        <w:t>11 </w:t>
      </w:r>
      <w:r>
        <w:rPr>
          <w:sz w:val="18"/>
        </w:rPr>
        <w:t>In practice, we expect that users would use Wi-Fi channelisation rather than making constant use of the full bandwidth. However, we are not proposing to formally restrict use to this effect.</w:t>
      </w:r>
    </w:p>
    <w:p>
      <w:pPr>
        <w:spacing w:before="0"/>
        <w:ind w:left="120" w:right="0" w:firstLine="0"/>
        <w:jc w:val="left"/>
        <w:rPr>
          <w:sz w:val="18"/>
        </w:rPr>
      </w:pPr>
      <w:bookmarkStart w:name="_bookmark14" w:id="45"/>
      <w:bookmarkEnd w:id="45"/>
      <w:r>
        <w:rPr/>
      </w:r>
      <w:r>
        <w:rPr>
          <w:position w:val="6"/>
          <w:sz w:val="12"/>
        </w:rPr>
        <w:t>12 </w:t>
      </w:r>
      <w:r>
        <w:rPr>
          <w:sz w:val="18"/>
        </w:rPr>
        <w:t>As noted above, there is an exceptions process for when the same user applies for overlapping licences to create a larger coverage area.</w:t>
      </w:r>
    </w:p>
    <w:p>
      <w:pPr>
        <w:spacing w:after="0"/>
        <w:jc w:val="left"/>
        <w:rPr>
          <w:sz w:val="18"/>
        </w:rPr>
        <w:sectPr>
          <w:footerReference w:type="default" r:id="rId30"/>
          <w:pgSz w:w="11910" w:h="16840"/>
          <w:pgMar w:footer="1309" w:header="727" w:top="920" w:bottom="1500" w:left="1320" w:right="1340"/>
          <w:pgNumType w:start="13"/>
        </w:sectPr>
      </w:pPr>
    </w:p>
    <w:p>
      <w:pPr>
        <w:pStyle w:val="BodyText"/>
        <w:rPr>
          <w:sz w:val="20"/>
        </w:rPr>
      </w:pPr>
    </w:p>
    <w:p>
      <w:pPr>
        <w:pStyle w:val="BodyText"/>
        <w:rPr>
          <w:sz w:val="20"/>
        </w:rPr>
      </w:pPr>
    </w:p>
    <w:p>
      <w:pPr>
        <w:pStyle w:val="BodyText"/>
        <w:spacing w:before="11"/>
        <w:rPr>
          <w:sz w:val="18"/>
        </w:rPr>
      </w:pPr>
    </w:p>
    <w:p>
      <w:pPr>
        <w:pStyle w:val="BodyText"/>
        <w:spacing w:line="276" w:lineRule="auto" w:before="56"/>
        <w:ind w:left="970" w:right="312"/>
      </w:pPr>
      <w:r>
        <w:rPr/>
        <w:t>without us first conducting a formal consultation, of which Shared Access users would be notified.</w:t>
      </w:r>
    </w:p>
    <w:p>
      <w:pPr>
        <w:pStyle w:val="ListParagraph"/>
        <w:numPr>
          <w:ilvl w:val="2"/>
          <w:numId w:val="1"/>
        </w:numPr>
        <w:tabs>
          <w:tab w:pos="971" w:val="left" w:leader="none"/>
        </w:tabs>
        <w:spacing w:line="276" w:lineRule="auto" w:before="119" w:after="0"/>
        <w:ind w:left="970" w:right="265" w:hanging="850"/>
        <w:jc w:val="both"/>
        <w:rPr>
          <w:sz w:val="22"/>
        </w:rPr>
      </w:pPr>
      <w:r>
        <w:rPr>
          <w:sz w:val="22"/>
        </w:rPr>
        <w:t>We expect that Shared Access users would be able to coexist with other potential futures uses identified for this band. In the event that it is not possible to enable coexistence, we may revoke these licences. Implementing a future approach could in practice take several years,</w:t>
      </w:r>
      <w:r>
        <w:rPr>
          <w:spacing w:val="-4"/>
          <w:sz w:val="22"/>
        </w:rPr>
        <w:t> </w:t>
      </w:r>
      <w:r>
        <w:rPr>
          <w:sz w:val="22"/>
        </w:rPr>
        <w:t>meaning</w:t>
      </w:r>
      <w:r>
        <w:rPr>
          <w:spacing w:val="-4"/>
          <w:sz w:val="22"/>
        </w:rPr>
        <w:t> </w:t>
      </w:r>
      <w:r>
        <w:rPr>
          <w:sz w:val="22"/>
        </w:rPr>
        <w:t>that</w:t>
      </w:r>
      <w:r>
        <w:rPr>
          <w:spacing w:val="-3"/>
          <w:sz w:val="22"/>
        </w:rPr>
        <w:t> </w:t>
      </w:r>
      <w:r>
        <w:rPr>
          <w:sz w:val="22"/>
        </w:rPr>
        <w:t>licensees</w:t>
      </w:r>
      <w:r>
        <w:rPr>
          <w:spacing w:val="-4"/>
          <w:sz w:val="22"/>
        </w:rPr>
        <w:t> </w:t>
      </w:r>
      <w:r>
        <w:rPr>
          <w:sz w:val="22"/>
        </w:rPr>
        <w:t>could</w:t>
      </w:r>
      <w:r>
        <w:rPr>
          <w:spacing w:val="-3"/>
          <w:sz w:val="22"/>
        </w:rPr>
        <w:t> </w:t>
      </w:r>
      <w:r>
        <w:rPr>
          <w:sz w:val="22"/>
        </w:rPr>
        <w:t>continue</w:t>
      </w:r>
      <w:r>
        <w:rPr>
          <w:spacing w:val="-3"/>
          <w:sz w:val="22"/>
        </w:rPr>
        <w:t> </w:t>
      </w:r>
      <w:r>
        <w:rPr>
          <w:sz w:val="22"/>
        </w:rPr>
        <w:t>to</w:t>
      </w:r>
      <w:r>
        <w:rPr>
          <w:spacing w:val="-2"/>
          <w:sz w:val="22"/>
        </w:rPr>
        <w:t> </w:t>
      </w:r>
      <w:r>
        <w:rPr>
          <w:sz w:val="22"/>
        </w:rPr>
        <w:t>use</w:t>
      </w:r>
      <w:r>
        <w:rPr>
          <w:spacing w:val="-4"/>
          <w:sz w:val="22"/>
        </w:rPr>
        <w:t> </w:t>
      </w:r>
      <w:r>
        <w:rPr>
          <w:sz w:val="22"/>
        </w:rPr>
        <w:t>this</w:t>
      </w:r>
      <w:r>
        <w:rPr>
          <w:spacing w:val="-4"/>
          <w:sz w:val="22"/>
        </w:rPr>
        <w:t> </w:t>
      </w:r>
      <w:r>
        <w:rPr>
          <w:sz w:val="22"/>
        </w:rPr>
        <w:t>band</w:t>
      </w:r>
      <w:r>
        <w:rPr>
          <w:spacing w:val="-3"/>
          <w:sz w:val="22"/>
        </w:rPr>
        <w:t> </w:t>
      </w:r>
      <w:r>
        <w:rPr>
          <w:sz w:val="22"/>
        </w:rPr>
        <w:t>in</w:t>
      </w:r>
      <w:r>
        <w:rPr>
          <w:spacing w:val="-3"/>
          <w:sz w:val="22"/>
        </w:rPr>
        <w:t> </w:t>
      </w:r>
      <w:r>
        <w:rPr>
          <w:sz w:val="22"/>
        </w:rPr>
        <w:t>the</w:t>
      </w:r>
      <w:r>
        <w:rPr>
          <w:spacing w:val="-4"/>
          <w:sz w:val="22"/>
        </w:rPr>
        <w:t> </w:t>
      </w:r>
      <w:r>
        <w:rPr>
          <w:sz w:val="22"/>
        </w:rPr>
        <w:t>medium</w:t>
      </w:r>
      <w:r>
        <w:rPr>
          <w:spacing w:val="-3"/>
          <w:sz w:val="22"/>
        </w:rPr>
        <w:t> </w:t>
      </w:r>
      <w:r>
        <w:rPr>
          <w:sz w:val="22"/>
        </w:rPr>
        <w:t>term.</w:t>
      </w:r>
    </w:p>
    <w:p>
      <w:pPr>
        <w:pStyle w:val="BodyText"/>
        <w:spacing w:before="5"/>
        <w:rPr>
          <w:sz w:val="16"/>
        </w:rPr>
      </w:pPr>
    </w:p>
    <w:p>
      <w:pPr>
        <w:pStyle w:val="Heading5"/>
      </w:pPr>
      <w:bookmarkStart w:name="Access and Inspection" w:id="46"/>
      <w:bookmarkEnd w:id="46"/>
      <w:r>
        <w:rPr>
          <w:b w:val="0"/>
        </w:rPr>
      </w:r>
      <w:r>
        <w:rPr>
          <w:color w:val="632466"/>
        </w:rPr>
        <w:t>Access and Inspection</w:t>
      </w:r>
    </w:p>
    <w:p>
      <w:pPr>
        <w:pStyle w:val="BodyText"/>
        <w:spacing w:before="6"/>
        <w:rPr>
          <w:b/>
          <w:sz w:val="19"/>
        </w:rPr>
      </w:pPr>
    </w:p>
    <w:p>
      <w:pPr>
        <w:pStyle w:val="ListParagraph"/>
        <w:numPr>
          <w:ilvl w:val="2"/>
          <w:numId w:val="1"/>
        </w:numPr>
        <w:tabs>
          <w:tab w:pos="970" w:val="left" w:leader="none"/>
          <w:tab w:pos="971" w:val="left" w:leader="none"/>
        </w:tabs>
        <w:spacing w:line="276" w:lineRule="auto" w:before="0" w:after="0"/>
        <w:ind w:left="970" w:right="221" w:hanging="850"/>
        <w:jc w:val="left"/>
        <w:rPr>
          <w:sz w:val="22"/>
        </w:rPr>
      </w:pPr>
      <w:r>
        <w:rPr>
          <w:sz w:val="22"/>
        </w:rPr>
        <w:t>In accordance with our standard spectrum licence conditions, the licence would include a condition that reserves to Ofcom the right to access and inspect the licensee’s radio equipment. This is so we can check the licensee’s compliance with the terms of its licence, should we decide that it is</w:t>
      </w:r>
      <w:r>
        <w:rPr>
          <w:spacing w:val="-18"/>
          <w:sz w:val="22"/>
        </w:rPr>
        <w:t> </w:t>
      </w:r>
      <w:r>
        <w:rPr>
          <w:sz w:val="22"/>
        </w:rPr>
        <w:t>appropriate.</w:t>
      </w:r>
    </w:p>
    <w:p>
      <w:pPr>
        <w:pStyle w:val="BodyText"/>
        <w:spacing w:before="5"/>
        <w:rPr>
          <w:sz w:val="16"/>
        </w:rPr>
      </w:pPr>
    </w:p>
    <w:p>
      <w:pPr>
        <w:pStyle w:val="Heading5"/>
      </w:pPr>
      <w:bookmarkStart w:name="Modification, Restriction and Closedown" w:id="47"/>
      <w:bookmarkEnd w:id="47"/>
      <w:r>
        <w:rPr>
          <w:b w:val="0"/>
        </w:rPr>
      </w:r>
      <w:r>
        <w:rPr>
          <w:color w:val="632466"/>
        </w:rPr>
        <w:t>Modification, Restriction and Closedown</w:t>
      </w:r>
    </w:p>
    <w:p>
      <w:pPr>
        <w:pStyle w:val="BodyText"/>
        <w:spacing w:before="6"/>
        <w:rPr>
          <w:b/>
          <w:sz w:val="19"/>
        </w:rPr>
      </w:pPr>
    </w:p>
    <w:p>
      <w:pPr>
        <w:pStyle w:val="ListParagraph"/>
        <w:numPr>
          <w:ilvl w:val="2"/>
          <w:numId w:val="1"/>
        </w:numPr>
        <w:tabs>
          <w:tab w:pos="970" w:val="left" w:leader="none"/>
          <w:tab w:pos="971" w:val="left" w:leader="none"/>
        </w:tabs>
        <w:spacing w:line="276" w:lineRule="auto" w:before="1" w:after="0"/>
        <w:ind w:left="970" w:right="295" w:hanging="850"/>
        <w:jc w:val="left"/>
        <w:rPr>
          <w:sz w:val="22"/>
        </w:rPr>
      </w:pPr>
      <w:r>
        <w:rPr>
          <w:sz w:val="22"/>
        </w:rPr>
        <w:t>In accordance with our standard spectrum licence conditions, the licence would include a condition that gives Ofcom the right to require the licensee to modify, restrict or close down the use of its radio equipment, should we have reasonable grounds to believe that the licensee has breached the terms of its licence, or we consider this necessary in the event of a national or local state</w:t>
      </w:r>
      <w:r>
        <w:rPr>
          <w:spacing w:val="-35"/>
          <w:sz w:val="22"/>
        </w:rPr>
        <w:t> </w:t>
      </w:r>
      <w:r>
        <w:rPr>
          <w:sz w:val="22"/>
        </w:rPr>
        <w:t>of emergency being declared.</w:t>
      </w:r>
    </w:p>
    <w:p>
      <w:pPr>
        <w:pStyle w:val="BodyText"/>
        <w:spacing w:before="4"/>
        <w:rPr>
          <w:sz w:val="16"/>
        </w:rPr>
      </w:pPr>
    </w:p>
    <w:p>
      <w:pPr>
        <w:pStyle w:val="Heading5"/>
        <w:ind w:left="119"/>
      </w:pPr>
      <w:bookmarkStart w:name="Geographical boundaries" w:id="48"/>
      <w:bookmarkEnd w:id="48"/>
      <w:r>
        <w:rPr>
          <w:b w:val="0"/>
        </w:rPr>
      </w:r>
      <w:r>
        <w:rPr>
          <w:color w:val="632466"/>
        </w:rPr>
        <w:t>Geographical boundaries</w:t>
      </w:r>
    </w:p>
    <w:p>
      <w:pPr>
        <w:pStyle w:val="BodyText"/>
        <w:spacing w:before="6"/>
        <w:rPr>
          <w:b/>
          <w:sz w:val="19"/>
        </w:rPr>
      </w:pPr>
    </w:p>
    <w:p>
      <w:pPr>
        <w:pStyle w:val="ListParagraph"/>
        <w:numPr>
          <w:ilvl w:val="2"/>
          <w:numId w:val="1"/>
        </w:numPr>
        <w:tabs>
          <w:tab w:pos="971" w:val="left" w:leader="none"/>
        </w:tabs>
        <w:spacing w:line="276" w:lineRule="auto" w:before="0" w:after="0"/>
        <w:ind w:left="970" w:right="258" w:hanging="851"/>
        <w:jc w:val="both"/>
        <w:rPr>
          <w:sz w:val="22"/>
        </w:rPr>
      </w:pPr>
      <w:r>
        <w:rPr>
          <w:sz w:val="22"/>
        </w:rPr>
        <w:t>The licence would allow use of equipment within the United Kingdom and territorial seas. The proposed authorisation could also extend to the Channel Islands and the Isle of Man, subject to further discussions with the relevant</w:t>
      </w:r>
      <w:r>
        <w:rPr>
          <w:spacing w:val="-33"/>
          <w:sz w:val="22"/>
        </w:rPr>
        <w:t> </w:t>
      </w:r>
      <w:r>
        <w:rPr>
          <w:sz w:val="22"/>
        </w:rPr>
        <w:t>authorities.</w:t>
      </w:r>
    </w:p>
    <w:p>
      <w:pPr>
        <w:pStyle w:val="BodyText"/>
        <w:spacing w:before="4"/>
        <w:rPr>
          <w:sz w:val="16"/>
        </w:rPr>
      </w:pPr>
    </w:p>
    <w:p>
      <w:pPr>
        <w:pStyle w:val="Heading5"/>
        <w:ind w:left="119"/>
      </w:pPr>
      <w:bookmarkStart w:name="Provision of information to facilitate o" w:id="49"/>
      <w:bookmarkEnd w:id="49"/>
      <w:r>
        <w:rPr>
          <w:b w:val="0"/>
        </w:rPr>
      </w:r>
      <w:r>
        <w:rPr>
          <w:color w:val="632466"/>
        </w:rPr>
        <w:t>Provision of information to facilitate optimal spectrum use</w:t>
      </w:r>
    </w:p>
    <w:p>
      <w:pPr>
        <w:pStyle w:val="BodyText"/>
        <w:spacing w:before="7"/>
        <w:rPr>
          <w:b/>
          <w:sz w:val="19"/>
        </w:rPr>
      </w:pPr>
    </w:p>
    <w:p>
      <w:pPr>
        <w:pStyle w:val="ListParagraph"/>
        <w:numPr>
          <w:ilvl w:val="2"/>
          <w:numId w:val="1"/>
        </w:numPr>
        <w:tabs>
          <w:tab w:pos="970" w:val="left" w:leader="none"/>
          <w:tab w:pos="971" w:val="left" w:leader="none"/>
        </w:tabs>
        <w:spacing w:line="276" w:lineRule="auto" w:before="1" w:after="0"/>
        <w:ind w:left="970" w:right="712" w:hanging="851"/>
        <w:jc w:val="left"/>
        <w:rPr>
          <w:sz w:val="22"/>
        </w:rPr>
      </w:pPr>
      <w:r>
        <w:rPr>
          <w:sz w:val="22"/>
        </w:rPr>
        <w:t>In line with our duty to manage the spectrum efficiently, the licence would include standard conditions to require licensees to provide us – on request – with general information regarding their equipment and use of frequencies, or the rollout of their network.</w:t>
      </w:r>
    </w:p>
    <w:p>
      <w:pPr>
        <w:pStyle w:val="ListParagraph"/>
        <w:numPr>
          <w:ilvl w:val="2"/>
          <w:numId w:val="1"/>
        </w:numPr>
        <w:tabs>
          <w:tab w:pos="970" w:val="left" w:leader="none"/>
          <w:tab w:pos="971" w:val="left" w:leader="none"/>
        </w:tabs>
        <w:spacing w:line="276" w:lineRule="auto" w:before="119" w:after="0"/>
        <w:ind w:left="970" w:right="492" w:hanging="851"/>
        <w:jc w:val="left"/>
        <w:rPr>
          <w:sz w:val="22"/>
        </w:rPr>
      </w:pPr>
      <w:r>
        <w:rPr>
          <w:sz w:val="22"/>
        </w:rPr>
        <w:t>As per the standard Shared Access licence requirement, licensees would be required to maintain</w:t>
      </w:r>
      <w:r>
        <w:rPr>
          <w:spacing w:val="-3"/>
          <w:sz w:val="22"/>
        </w:rPr>
        <w:t> </w:t>
      </w:r>
      <w:r>
        <w:rPr>
          <w:sz w:val="22"/>
        </w:rPr>
        <w:t>a</w:t>
      </w:r>
      <w:r>
        <w:rPr>
          <w:spacing w:val="-4"/>
          <w:sz w:val="22"/>
        </w:rPr>
        <w:t> </w:t>
      </w:r>
      <w:r>
        <w:rPr>
          <w:sz w:val="22"/>
        </w:rPr>
        <w:t>record</w:t>
      </w:r>
      <w:r>
        <w:rPr>
          <w:spacing w:val="-4"/>
          <w:sz w:val="22"/>
        </w:rPr>
        <w:t> </w:t>
      </w:r>
      <w:r>
        <w:rPr>
          <w:sz w:val="22"/>
        </w:rPr>
        <w:t>of</w:t>
      </w:r>
      <w:r>
        <w:rPr>
          <w:spacing w:val="-4"/>
          <w:sz w:val="22"/>
        </w:rPr>
        <w:t> </w:t>
      </w:r>
      <w:r>
        <w:rPr>
          <w:sz w:val="22"/>
        </w:rPr>
        <w:t>the</w:t>
      </w:r>
      <w:r>
        <w:rPr>
          <w:spacing w:val="-4"/>
          <w:sz w:val="22"/>
        </w:rPr>
        <w:t> </w:t>
      </w:r>
      <w:r>
        <w:rPr>
          <w:sz w:val="22"/>
        </w:rPr>
        <w:t>address</w:t>
      </w:r>
      <w:r>
        <w:rPr>
          <w:spacing w:val="-4"/>
          <w:sz w:val="22"/>
        </w:rPr>
        <w:t> </w:t>
      </w:r>
      <w:r>
        <w:rPr>
          <w:sz w:val="22"/>
        </w:rPr>
        <w:t>and</w:t>
      </w:r>
      <w:r>
        <w:rPr>
          <w:spacing w:val="-3"/>
          <w:sz w:val="22"/>
        </w:rPr>
        <w:t> </w:t>
      </w:r>
      <w:r>
        <w:rPr>
          <w:sz w:val="22"/>
        </w:rPr>
        <w:t>transmitter</w:t>
      </w:r>
      <w:r>
        <w:rPr>
          <w:spacing w:val="-3"/>
          <w:sz w:val="22"/>
        </w:rPr>
        <w:t> </w:t>
      </w:r>
      <w:r>
        <w:rPr>
          <w:sz w:val="22"/>
        </w:rPr>
        <w:t>type</w:t>
      </w:r>
      <w:r>
        <w:rPr>
          <w:spacing w:val="-4"/>
          <w:sz w:val="22"/>
        </w:rPr>
        <w:t> </w:t>
      </w:r>
      <w:r>
        <w:rPr>
          <w:sz w:val="22"/>
        </w:rPr>
        <w:t>of</w:t>
      </w:r>
      <w:r>
        <w:rPr>
          <w:spacing w:val="-4"/>
          <w:sz w:val="22"/>
        </w:rPr>
        <w:t> </w:t>
      </w:r>
      <w:r>
        <w:rPr>
          <w:sz w:val="22"/>
        </w:rPr>
        <w:t>all</w:t>
      </w:r>
      <w:r>
        <w:rPr>
          <w:spacing w:val="-4"/>
          <w:sz w:val="22"/>
        </w:rPr>
        <w:t> </w:t>
      </w:r>
      <w:r>
        <w:rPr>
          <w:sz w:val="22"/>
        </w:rPr>
        <w:t>deployments.</w:t>
      </w:r>
    </w:p>
    <w:p>
      <w:pPr>
        <w:pStyle w:val="BodyText"/>
        <w:spacing w:before="4"/>
        <w:rPr>
          <w:sz w:val="16"/>
        </w:rPr>
      </w:pPr>
    </w:p>
    <w:p>
      <w:pPr>
        <w:pStyle w:val="Heading5"/>
        <w:ind w:left="119"/>
      </w:pPr>
      <w:bookmarkStart w:name="Requirement to commence and maintain tra" w:id="50"/>
      <w:bookmarkEnd w:id="50"/>
      <w:r>
        <w:rPr>
          <w:b w:val="0"/>
        </w:rPr>
      </w:r>
      <w:r>
        <w:rPr>
          <w:color w:val="632466"/>
        </w:rPr>
        <w:t>Requirement to commence and maintain transmission within six months</w:t>
      </w:r>
    </w:p>
    <w:p>
      <w:pPr>
        <w:pStyle w:val="BodyText"/>
        <w:spacing w:before="8"/>
        <w:rPr>
          <w:b/>
          <w:sz w:val="19"/>
        </w:rPr>
      </w:pPr>
    </w:p>
    <w:p>
      <w:pPr>
        <w:pStyle w:val="ListParagraph"/>
        <w:numPr>
          <w:ilvl w:val="2"/>
          <w:numId w:val="1"/>
        </w:numPr>
        <w:tabs>
          <w:tab w:pos="970" w:val="left" w:leader="none"/>
          <w:tab w:pos="971" w:val="left" w:leader="none"/>
        </w:tabs>
        <w:spacing w:line="276" w:lineRule="auto" w:before="0" w:after="0"/>
        <w:ind w:left="970" w:right="412" w:hanging="851"/>
        <w:jc w:val="left"/>
        <w:rPr>
          <w:sz w:val="22"/>
        </w:rPr>
      </w:pPr>
      <w:r>
        <w:rPr>
          <w:sz w:val="22"/>
        </w:rPr>
        <w:t>Licensees would be required to start transmission within six months of the issue of their licence and remain operational</w:t>
      </w:r>
      <w:r>
        <w:rPr>
          <w:spacing w:val="-23"/>
          <w:sz w:val="22"/>
        </w:rPr>
        <w:t> </w:t>
      </w:r>
      <w:r>
        <w:rPr>
          <w:sz w:val="22"/>
        </w:rPr>
        <w:t>thereafter.</w:t>
      </w:r>
    </w:p>
    <w:p>
      <w:pPr>
        <w:pStyle w:val="BodyText"/>
        <w:spacing w:before="4"/>
        <w:rPr>
          <w:sz w:val="16"/>
        </w:rPr>
      </w:pPr>
    </w:p>
    <w:p>
      <w:pPr>
        <w:pStyle w:val="Heading5"/>
        <w:ind w:left="119"/>
      </w:pPr>
      <w:bookmarkStart w:name="Licence fee" w:id="51"/>
      <w:bookmarkEnd w:id="51"/>
      <w:r>
        <w:rPr>
          <w:b w:val="0"/>
        </w:rPr>
      </w:r>
      <w:r>
        <w:rPr>
          <w:color w:val="632466"/>
        </w:rPr>
        <w:t>Licence fee</w:t>
      </w:r>
    </w:p>
    <w:p>
      <w:pPr>
        <w:pStyle w:val="BodyText"/>
        <w:spacing w:before="8"/>
        <w:rPr>
          <w:b/>
          <w:sz w:val="19"/>
        </w:rPr>
      </w:pPr>
    </w:p>
    <w:p>
      <w:pPr>
        <w:pStyle w:val="ListParagraph"/>
        <w:numPr>
          <w:ilvl w:val="2"/>
          <w:numId w:val="1"/>
        </w:numPr>
        <w:tabs>
          <w:tab w:pos="970" w:val="left" w:leader="none"/>
          <w:tab w:pos="971" w:val="left" w:leader="none"/>
        </w:tabs>
        <w:spacing w:line="276" w:lineRule="auto" w:before="0" w:after="0"/>
        <w:ind w:left="970" w:right="372" w:hanging="851"/>
        <w:jc w:val="left"/>
        <w:rPr>
          <w:sz w:val="22"/>
        </w:rPr>
      </w:pPr>
      <w:r>
        <w:rPr>
          <w:sz w:val="22"/>
        </w:rPr>
        <w:t>Given that we are extending access to this band under our spectrum sharing framework, we consider it appropriate to set a cost-based fee for this licence, as we have done for other bands in the</w:t>
      </w:r>
      <w:r>
        <w:rPr>
          <w:spacing w:val="-12"/>
          <w:sz w:val="22"/>
        </w:rPr>
        <w:t> </w:t>
      </w:r>
      <w:r>
        <w:rPr>
          <w:sz w:val="22"/>
        </w:rPr>
        <w:t>framework.</w:t>
      </w:r>
    </w:p>
    <w:p>
      <w:pPr>
        <w:spacing w:after="0" w:line="276" w:lineRule="auto"/>
        <w:jc w:val="left"/>
        <w:rPr>
          <w:sz w:val="22"/>
        </w:rPr>
        <w:sectPr>
          <w:pgSz w:w="11910" w:h="16840"/>
          <w:pgMar w:header="727" w:footer="1309" w:top="920" w:bottom="1520" w:left="1320" w:right="1340"/>
        </w:sectPr>
      </w:pPr>
    </w:p>
    <w:p>
      <w:pPr>
        <w:pStyle w:val="BodyText"/>
        <w:rPr>
          <w:sz w:val="20"/>
        </w:rPr>
      </w:pPr>
    </w:p>
    <w:p>
      <w:pPr>
        <w:pStyle w:val="BodyText"/>
        <w:rPr>
          <w:sz w:val="20"/>
        </w:rPr>
      </w:pPr>
    </w:p>
    <w:p>
      <w:pPr>
        <w:pStyle w:val="BodyText"/>
        <w:spacing w:before="11"/>
        <w:rPr>
          <w:sz w:val="18"/>
        </w:rPr>
      </w:pPr>
    </w:p>
    <w:p>
      <w:pPr>
        <w:pStyle w:val="ListParagraph"/>
        <w:numPr>
          <w:ilvl w:val="2"/>
          <w:numId w:val="1"/>
        </w:numPr>
        <w:tabs>
          <w:tab w:pos="970" w:val="left" w:leader="none"/>
          <w:tab w:pos="971" w:val="left" w:leader="none"/>
        </w:tabs>
        <w:spacing w:line="276" w:lineRule="auto" w:before="56" w:after="0"/>
        <w:ind w:left="970" w:right="124" w:hanging="850"/>
        <w:jc w:val="left"/>
        <w:rPr>
          <w:sz w:val="22"/>
        </w:rPr>
      </w:pPr>
      <w:r>
        <w:rPr>
          <w:sz w:val="22"/>
        </w:rPr>
        <w:t>As we are proposing that licences will cover the full band and that there will not be options for different bandwidths, we propose a flat annual fee per low power licence for all users. In line with the other Shared Access bands, which also use a cost-based fee, and particularly noting similarities between this product and the existing 26 GHz indoor licence, we</w:t>
      </w:r>
      <w:r>
        <w:rPr>
          <w:spacing w:val="-4"/>
          <w:sz w:val="22"/>
        </w:rPr>
        <w:t> </w:t>
      </w:r>
      <w:r>
        <w:rPr>
          <w:sz w:val="22"/>
        </w:rPr>
        <w:t>consider</w:t>
      </w:r>
      <w:r>
        <w:rPr>
          <w:spacing w:val="-4"/>
          <w:sz w:val="22"/>
        </w:rPr>
        <w:t> </w:t>
      </w:r>
      <w:r>
        <w:rPr>
          <w:sz w:val="22"/>
        </w:rPr>
        <w:t>it</w:t>
      </w:r>
      <w:r>
        <w:rPr>
          <w:spacing w:val="-4"/>
          <w:sz w:val="22"/>
        </w:rPr>
        <w:t> </w:t>
      </w:r>
      <w:r>
        <w:rPr>
          <w:sz w:val="22"/>
        </w:rPr>
        <w:t>appropriate</w:t>
      </w:r>
      <w:r>
        <w:rPr>
          <w:spacing w:val="-3"/>
          <w:sz w:val="22"/>
        </w:rPr>
        <w:t> </w:t>
      </w:r>
      <w:r>
        <w:rPr>
          <w:sz w:val="22"/>
        </w:rPr>
        <w:t>to</w:t>
      </w:r>
      <w:r>
        <w:rPr>
          <w:spacing w:val="-3"/>
          <w:sz w:val="22"/>
        </w:rPr>
        <w:t> </w:t>
      </w:r>
      <w:r>
        <w:rPr>
          <w:sz w:val="22"/>
        </w:rPr>
        <w:t>charge</w:t>
      </w:r>
      <w:r>
        <w:rPr>
          <w:spacing w:val="-4"/>
          <w:sz w:val="22"/>
        </w:rPr>
        <w:t> </w:t>
      </w:r>
      <w:r>
        <w:rPr>
          <w:b/>
          <w:sz w:val="22"/>
        </w:rPr>
        <w:t>£320</w:t>
      </w:r>
      <w:r>
        <w:rPr>
          <w:b/>
          <w:spacing w:val="-4"/>
          <w:sz w:val="22"/>
        </w:rPr>
        <w:t> </w:t>
      </w:r>
      <w:r>
        <w:rPr>
          <w:b/>
          <w:sz w:val="22"/>
        </w:rPr>
        <w:t>per</w:t>
      </w:r>
      <w:r>
        <w:rPr>
          <w:b/>
          <w:spacing w:val="-3"/>
          <w:sz w:val="22"/>
        </w:rPr>
        <w:t> </w:t>
      </w:r>
      <w:r>
        <w:rPr>
          <w:b/>
          <w:sz w:val="22"/>
        </w:rPr>
        <w:t>annum</w:t>
      </w:r>
      <w:r>
        <w:rPr>
          <w:b/>
          <w:spacing w:val="-4"/>
          <w:sz w:val="22"/>
        </w:rPr>
        <w:t> </w:t>
      </w:r>
      <w:r>
        <w:rPr>
          <w:b/>
          <w:sz w:val="22"/>
        </w:rPr>
        <w:t>per</w:t>
      </w:r>
      <w:r>
        <w:rPr>
          <w:b/>
          <w:spacing w:val="-3"/>
          <w:sz w:val="22"/>
        </w:rPr>
        <w:t> </w:t>
      </w:r>
      <w:r>
        <w:rPr>
          <w:b/>
          <w:sz w:val="22"/>
        </w:rPr>
        <w:t>licence</w:t>
      </w:r>
      <w:r>
        <w:rPr>
          <w:b/>
          <w:spacing w:val="-3"/>
          <w:sz w:val="22"/>
        </w:rPr>
        <w:t> </w:t>
      </w:r>
      <w:r>
        <w:rPr>
          <w:sz w:val="22"/>
        </w:rPr>
        <w:t>for</w:t>
      </w:r>
      <w:r>
        <w:rPr>
          <w:spacing w:val="-4"/>
          <w:sz w:val="22"/>
        </w:rPr>
        <w:t> </w:t>
      </w:r>
      <w:r>
        <w:rPr>
          <w:sz w:val="22"/>
        </w:rPr>
        <w:t>this</w:t>
      </w:r>
      <w:r>
        <w:rPr>
          <w:spacing w:val="-2"/>
          <w:sz w:val="22"/>
        </w:rPr>
        <w:t> </w:t>
      </w:r>
      <w:r>
        <w:rPr>
          <w:sz w:val="22"/>
        </w:rPr>
        <w:t>product.</w:t>
      </w:r>
    </w:p>
    <w:p>
      <w:pPr>
        <w:pStyle w:val="BodyText"/>
        <w:spacing w:before="7"/>
        <w:rPr>
          <w:sz w:val="19"/>
        </w:rPr>
      </w:pPr>
    </w:p>
    <w:p>
      <w:pPr>
        <w:pStyle w:val="Heading2"/>
      </w:pPr>
      <w:bookmarkStart w:name="Process for considering applications" w:id="52"/>
      <w:bookmarkEnd w:id="52"/>
      <w:r>
        <w:rPr>
          <w:b w:val="0"/>
        </w:rPr>
      </w:r>
      <w:r>
        <w:rPr>
          <w:color w:val="CC0044"/>
        </w:rPr>
        <w:t>Process for considering applications</w:t>
      </w:r>
    </w:p>
    <w:p>
      <w:pPr>
        <w:pStyle w:val="ListParagraph"/>
        <w:numPr>
          <w:ilvl w:val="2"/>
          <w:numId w:val="1"/>
        </w:numPr>
        <w:tabs>
          <w:tab w:pos="970" w:val="left" w:leader="none"/>
          <w:tab w:pos="971" w:val="left" w:leader="none"/>
        </w:tabs>
        <w:spacing w:line="276" w:lineRule="auto" w:before="241" w:after="0"/>
        <w:ind w:left="970" w:right="123" w:hanging="850"/>
        <w:jc w:val="left"/>
        <w:rPr>
          <w:sz w:val="22"/>
        </w:rPr>
      </w:pPr>
      <w:r>
        <w:rPr>
          <w:sz w:val="22"/>
        </w:rPr>
        <w:t>We have published </w:t>
      </w:r>
      <w:hyperlink r:id="rId31">
        <w:r>
          <w:rPr>
            <w:color w:val="C70044"/>
            <w:sz w:val="22"/>
            <w:u w:val="single" w:color="C70044"/>
          </w:rPr>
          <w:t>guidance </w:t>
        </w:r>
      </w:hyperlink>
      <w:r>
        <w:rPr>
          <w:sz w:val="22"/>
        </w:rPr>
        <w:t>setting out the approach Ofcom generally expects to take when assessing and issuing Shared Access licences. We consider applications on a case-by- case basis and retain the discretion to amend our approach, and to disapply the guidance if it is appropriate to do so in the particular</w:t>
      </w:r>
      <w:r>
        <w:rPr>
          <w:spacing w:val="-23"/>
          <w:sz w:val="22"/>
        </w:rPr>
        <w:t> </w:t>
      </w:r>
      <w:r>
        <w:rPr>
          <w:sz w:val="22"/>
        </w:rPr>
        <w:t>circumstances.</w:t>
      </w:r>
    </w:p>
    <w:p>
      <w:pPr>
        <w:pStyle w:val="ListParagraph"/>
        <w:numPr>
          <w:ilvl w:val="2"/>
          <w:numId w:val="1"/>
        </w:numPr>
        <w:tabs>
          <w:tab w:pos="970" w:val="left" w:leader="none"/>
          <w:tab w:pos="971" w:val="left" w:leader="none"/>
        </w:tabs>
        <w:spacing w:line="276" w:lineRule="auto" w:before="120" w:after="0"/>
        <w:ind w:left="970" w:right="144" w:hanging="850"/>
        <w:jc w:val="left"/>
        <w:rPr>
          <w:sz w:val="22"/>
        </w:rPr>
      </w:pPr>
      <w:r>
        <w:rPr>
          <w:sz w:val="22"/>
        </w:rPr>
        <w:t>For the upper 6 GHz band, applications would be made for a specific location but not for a required bandwidth or channel as we are proposing that licences cover the full band. The licence would therefore be granted if the centre point of the area in the licence application is</w:t>
      </w:r>
      <w:r>
        <w:rPr>
          <w:spacing w:val="-3"/>
          <w:sz w:val="22"/>
        </w:rPr>
        <w:t> </w:t>
      </w:r>
      <w:r>
        <w:rPr>
          <w:sz w:val="22"/>
        </w:rPr>
        <w:t>not</w:t>
      </w:r>
      <w:r>
        <w:rPr>
          <w:spacing w:val="-3"/>
          <w:sz w:val="22"/>
        </w:rPr>
        <w:t> </w:t>
      </w:r>
      <w:r>
        <w:rPr>
          <w:sz w:val="22"/>
        </w:rPr>
        <w:t>less</w:t>
      </w:r>
      <w:r>
        <w:rPr>
          <w:spacing w:val="-1"/>
          <w:sz w:val="22"/>
        </w:rPr>
        <w:t> </w:t>
      </w:r>
      <w:r>
        <w:rPr>
          <w:sz w:val="22"/>
        </w:rPr>
        <w:t>than</w:t>
      </w:r>
      <w:r>
        <w:rPr>
          <w:spacing w:val="-3"/>
          <w:sz w:val="22"/>
        </w:rPr>
        <w:t> </w:t>
      </w:r>
      <w:r>
        <w:rPr>
          <w:sz w:val="22"/>
        </w:rPr>
        <w:t>100</w:t>
      </w:r>
      <w:r>
        <w:rPr>
          <w:spacing w:val="-3"/>
          <w:sz w:val="22"/>
        </w:rPr>
        <w:t> </w:t>
      </w:r>
      <w:r>
        <w:rPr>
          <w:sz w:val="22"/>
        </w:rPr>
        <w:t>metres</w:t>
      </w:r>
      <w:r>
        <w:rPr>
          <w:spacing w:val="-1"/>
          <w:sz w:val="22"/>
        </w:rPr>
        <w:t> </w:t>
      </w:r>
      <w:r>
        <w:rPr>
          <w:sz w:val="22"/>
        </w:rPr>
        <w:t>from</w:t>
      </w:r>
      <w:r>
        <w:rPr>
          <w:spacing w:val="-3"/>
          <w:sz w:val="22"/>
        </w:rPr>
        <w:t> </w:t>
      </w:r>
      <w:r>
        <w:rPr>
          <w:sz w:val="22"/>
        </w:rPr>
        <w:t>the</w:t>
      </w:r>
      <w:r>
        <w:rPr>
          <w:spacing w:val="-2"/>
          <w:sz w:val="22"/>
        </w:rPr>
        <w:t> </w:t>
      </w:r>
      <w:r>
        <w:rPr>
          <w:sz w:val="22"/>
        </w:rPr>
        <w:t>centre</w:t>
      </w:r>
      <w:r>
        <w:rPr>
          <w:spacing w:val="-3"/>
          <w:sz w:val="22"/>
        </w:rPr>
        <w:t> </w:t>
      </w:r>
      <w:r>
        <w:rPr>
          <w:sz w:val="22"/>
        </w:rPr>
        <w:t>point</w:t>
      </w:r>
      <w:r>
        <w:rPr>
          <w:spacing w:val="-3"/>
          <w:sz w:val="22"/>
        </w:rPr>
        <w:t> </w:t>
      </w:r>
      <w:r>
        <w:rPr>
          <w:sz w:val="22"/>
        </w:rPr>
        <w:t>of</w:t>
      </w:r>
      <w:r>
        <w:rPr>
          <w:spacing w:val="-3"/>
          <w:sz w:val="22"/>
        </w:rPr>
        <w:t> </w:t>
      </w:r>
      <w:r>
        <w:rPr>
          <w:sz w:val="22"/>
        </w:rPr>
        <w:t>an</w:t>
      </w:r>
      <w:r>
        <w:rPr>
          <w:spacing w:val="-3"/>
          <w:sz w:val="22"/>
        </w:rPr>
        <w:t> </w:t>
      </w:r>
      <w:r>
        <w:rPr>
          <w:sz w:val="22"/>
        </w:rPr>
        <w:t>existing</w:t>
      </w:r>
      <w:r>
        <w:rPr>
          <w:spacing w:val="-2"/>
          <w:sz w:val="22"/>
        </w:rPr>
        <w:t> </w:t>
      </w:r>
      <w:r>
        <w:rPr>
          <w:sz w:val="22"/>
        </w:rPr>
        <w:t>licence</w:t>
      </w:r>
      <w:r>
        <w:rPr>
          <w:spacing w:val="-2"/>
          <w:sz w:val="22"/>
        </w:rPr>
        <w:t> </w:t>
      </w:r>
      <w:r>
        <w:rPr>
          <w:sz w:val="22"/>
        </w:rPr>
        <w:t>in</w:t>
      </w:r>
      <w:r>
        <w:rPr>
          <w:spacing w:val="-2"/>
          <w:sz w:val="22"/>
        </w:rPr>
        <w:t> </w:t>
      </w:r>
      <w:r>
        <w:rPr>
          <w:sz w:val="22"/>
        </w:rPr>
        <w:t>the</w:t>
      </w:r>
      <w:r>
        <w:rPr>
          <w:spacing w:val="-2"/>
          <w:sz w:val="22"/>
        </w:rPr>
        <w:t> </w:t>
      </w:r>
      <w:r>
        <w:rPr>
          <w:sz w:val="22"/>
        </w:rPr>
        <w:t>same</w:t>
      </w:r>
      <w:r>
        <w:rPr>
          <w:spacing w:val="-3"/>
          <w:sz w:val="22"/>
        </w:rPr>
        <w:t> </w:t>
      </w:r>
      <w:r>
        <w:rPr>
          <w:sz w:val="22"/>
        </w:rPr>
        <w:t>band.</w:t>
      </w:r>
    </w:p>
    <w:p>
      <w:pPr>
        <w:pStyle w:val="ListParagraph"/>
        <w:numPr>
          <w:ilvl w:val="2"/>
          <w:numId w:val="1"/>
        </w:numPr>
        <w:tabs>
          <w:tab w:pos="970" w:val="left" w:leader="none"/>
          <w:tab w:pos="971" w:val="left" w:leader="none"/>
        </w:tabs>
        <w:spacing w:line="276" w:lineRule="auto" w:before="121" w:after="0"/>
        <w:ind w:left="970" w:right="737" w:hanging="850"/>
        <w:jc w:val="left"/>
        <w:rPr>
          <w:sz w:val="22"/>
        </w:rPr>
      </w:pPr>
      <w:r>
        <w:rPr>
          <w:sz w:val="22"/>
        </w:rPr>
        <w:t>If, following the consultation process, we decide to add the upper 6 GHz band to the Shared</w:t>
      </w:r>
      <w:r>
        <w:rPr>
          <w:spacing w:val="-4"/>
          <w:sz w:val="22"/>
        </w:rPr>
        <w:t> </w:t>
      </w:r>
      <w:r>
        <w:rPr>
          <w:sz w:val="22"/>
        </w:rPr>
        <w:t>Access</w:t>
      </w:r>
      <w:r>
        <w:rPr>
          <w:spacing w:val="-4"/>
          <w:sz w:val="22"/>
        </w:rPr>
        <w:t> </w:t>
      </w:r>
      <w:r>
        <w:rPr>
          <w:sz w:val="22"/>
        </w:rPr>
        <w:t>licence,</w:t>
      </w:r>
      <w:r>
        <w:rPr>
          <w:spacing w:val="-4"/>
          <w:sz w:val="22"/>
        </w:rPr>
        <w:t> </w:t>
      </w:r>
      <w:r>
        <w:rPr>
          <w:sz w:val="22"/>
        </w:rPr>
        <w:t>we</w:t>
      </w:r>
      <w:r>
        <w:rPr>
          <w:spacing w:val="-3"/>
          <w:sz w:val="22"/>
        </w:rPr>
        <w:t> </w:t>
      </w:r>
      <w:r>
        <w:rPr>
          <w:sz w:val="22"/>
        </w:rPr>
        <w:t>will</w:t>
      </w:r>
      <w:r>
        <w:rPr>
          <w:spacing w:val="-4"/>
          <w:sz w:val="22"/>
        </w:rPr>
        <w:t> </w:t>
      </w:r>
      <w:r>
        <w:rPr>
          <w:sz w:val="22"/>
        </w:rPr>
        <w:t>amend</w:t>
      </w:r>
      <w:r>
        <w:rPr>
          <w:spacing w:val="-3"/>
          <w:sz w:val="22"/>
        </w:rPr>
        <w:t> </w:t>
      </w:r>
      <w:r>
        <w:rPr>
          <w:sz w:val="22"/>
        </w:rPr>
        <w:t>the</w:t>
      </w:r>
      <w:r>
        <w:rPr>
          <w:spacing w:val="-4"/>
          <w:sz w:val="22"/>
        </w:rPr>
        <w:t> </w:t>
      </w:r>
      <w:r>
        <w:rPr>
          <w:sz w:val="22"/>
        </w:rPr>
        <w:t>guidance</w:t>
      </w:r>
      <w:r>
        <w:rPr>
          <w:spacing w:val="-4"/>
          <w:sz w:val="22"/>
        </w:rPr>
        <w:t> </w:t>
      </w:r>
      <w:r>
        <w:rPr>
          <w:sz w:val="22"/>
        </w:rPr>
        <w:t>to</w:t>
      </w:r>
      <w:r>
        <w:rPr>
          <w:spacing w:val="-3"/>
          <w:sz w:val="22"/>
        </w:rPr>
        <w:t> </w:t>
      </w:r>
      <w:r>
        <w:rPr>
          <w:sz w:val="22"/>
        </w:rPr>
        <w:t>reflect</w:t>
      </w:r>
      <w:r>
        <w:rPr>
          <w:spacing w:val="-3"/>
          <w:sz w:val="22"/>
        </w:rPr>
        <w:t> </w:t>
      </w:r>
      <w:r>
        <w:rPr>
          <w:sz w:val="22"/>
        </w:rPr>
        <w:t>this.</w:t>
      </w:r>
    </w:p>
    <w:p>
      <w:pPr>
        <w:spacing w:after="0" w:line="276" w:lineRule="auto"/>
        <w:jc w:val="left"/>
        <w:rPr>
          <w:sz w:val="22"/>
        </w:rPr>
        <w:sectPr>
          <w:pgSz w:w="11910" w:h="16840"/>
          <w:pgMar w:header="727" w:footer="1309" w:top="920" w:bottom="1520" w:left="1320" w:right="1340"/>
        </w:sectPr>
      </w:pPr>
    </w:p>
    <w:p>
      <w:pPr>
        <w:pStyle w:val="BodyText"/>
        <w:rPr>
          <w:sz w:val="20"/>
        </w:rPr>
      </w:pPr>
    </w:p>
    <w:p>
      <w:pPr>
        <w:pStyle w:val="BodyText"/>
        <w:rPr>
          <w:sz w:val="20"/>
        </w:rPr>
      </w:pPr>
    </w:p>
    <w:p>
      <w:pPr>
        <w:pStyle w:val="BodyText"/>
        <w:spacing w:before="2"/>
        <w:rPr>
          <w:sz w:val="23"/>
        </w:rPr>
      </w:pPr>
    </w:p>
    <w:p>
      <w:pPr>
        <w:pStyle w:val="Heading1"/>
        <w:numPr>
          <w:ilvl w:val="1"/>
          <w:numId w:val="1"/>
        </w:numPr>
        <w:tabs>
          <w:tab w:pos="619" w:val="left" w:leader="none"/>
        </w:tabs>
        <w:spacing w:line="240" w:lineRule="auto" w:before="3" w:after="0"/>
        <w:ind w:left="120" w:right="1296" w:firstLine="0"/>
        <w:jc w:val="left"/>
      </w:pPr>
      <w:bookmarkStart w:name="4. Our rationale for making upper 6 GHz " w:id="53"/>
      <w:bookmarkEnd w:id="53"/>
      <w:r>
        <w:rPr/>
      </w:r>
      <w:bookmarkStart w:name="_bookmark15" w:id="54"/>
      <w:bookmarkEnd w:id="54"/>
      <w:r>
        <w:rPr/>
      </w:r>
      <w:bookmarkStart w:name="_bookmark15" w:id="55"/>
      <w:bookmarkEnd w:id="55"/>
      <w:r>
        <w:rPr>
          <w:color w:val="CC0044"/>
        </w:rPr>
        <w:t>Ou</w:t>
      </w:r>
      <w:r>
        <w:rPr>
          <w:color w:val="CC0044"/>
        </w:rPr>
        <w:t>r rationale for making upper 6 GHz Shared Access licences available</w:t>
      </w:r>
      <w:r>
        <w:rPr>
          <w:color w:val="CC0044"/>
          <w:spacing w:val="-19"/>
        </w:rPr>
        <w:t> </w:t>
      </w:r>
      <w:r>
        <w:rPr>
          <w:color w:val="CC0044"/>
        </w:rPr>
        <w:t>now</w:t>
      </w:r>
    </w:p>
    <w:p>
      <w:pPr>
        <w:pStyle w:val="ListParagraph"/>
        <w:numPr>
          <w:ilvl w:val="2"/>
          <w:numId w:val="1"/>
        </w:numPr>
        <w:tabs>
          <w:tab w:pos="970" w:val="left" w:leader="none"/>
          <w:tab w:pos="971" w:val="left" w:leader="none"/>
        </w:tabs>
        <w:spacing w:line="276" w:lineRule="auto" w:before="239" w:after="0"/>
        <w:ind w:left="970" w:right="119" w:hanging="850"/>
        <w:jc w:val="left"/>
        <w:rPr>
          <w:sz w:val="22"/>
        </w:rPr>
      </w:pPr>
      <w:r>
        <w:rPr>
          <w:sz w:val="22"/>
        </w:rPr>
        <w:t>We consider that adding the upper 6 GHz band to the Shared Access licensing framework is appropriate at this time for the following</w:t>
      </w:r>
      <w:r>
        <w:rPr>
          <w:spacing w:val="-22"/>
          <w:sz w:val="22"/>
        </w:rPr>
        <w:t> </w:t>
      </w:r>
      <w:r>
        <w:rPr>
          <w:sz w:val="22"/>
        </w:rPr>
        <w:t>reasons:</w:t>
      </w:r>
    </w:p>
    <w:p>
      <w:pPr>
        <w:pStyle w:val="ListParagraph"/>
        <w:numPr>
          <w:ilvl w:val="3"/>
          <w:numId w:val="1"/>
        </w:numPr>
        <w:tabs>
          <w:tab w:pos="1312" w:val="left" w:leader="none"/>
        </w:tabs>
        <w:spacing w:line="276" w:lineRule="auto" w:before="120" w:after="0"/>
        <w:ind w:left="1311" w:right="231" w:hanging="341"/>
        <w:jc w:val="left"/>
        <w:rPr>
          <w:sz w:val="22"/>
        </w:rPr>
      </w:pPr>
      <w:r>
        <w:rPr>
          <w:sz w:val="22"/>
        </w:rPr>
        <w:t>As shown in section 2, the upper 6 GHz band is currently unused in many geographical locations, especially with respect to indoor</w:t>
      </w:r>
      <w:r>
        <w:rPr>
          <w:spacing w:val="-24"/>
          <w:sz w:val="22"/>
        </w:rPr>
        <w:t> </w:t>
      </w:r>
      <w:r>
        <w:rPr>
          <w:sz w:val="22"/>
        </w:rPr>
        <w:t>use;</w:t>
      </w:r>
    </w:p>
    <w:p>
      <w:pPr>
        <w:pStyle w:val="ListParagraph"/>
        <w:numPr>
          <w:ilvl w:val="3"/>
          <w:numId w:val="1"/>
        </w:numPr>
        <w:tabs>
          <w:tab w:pos="1312" w:val="left" w:leader="none"/>
        </w:tabs>
        <w:spacing w:line="276" w:lineRule="auto" w:before="120" w:after="0"/>
        <w:ind w:left="1311" w:right="470" w:hanging="341"/>
        <w:jc w:val="left"/>
        <w:rPr>
          <w:sz w:val="22"/>
        </w:rPr>
      </w:pPr>
      <w:r>
        <w:rPr>
          <w:sz w:val="22"/>
        </w:rPr>
        <w:t>There is potential for either licence exempt Wi-Fi or 5G mobile to use this spectrum and bring benefits to consumers, as shown in section</w:t>
      </w:r>
      <w:r>
        <w:rPr>
          <w:spacing w:val="-25"/>
          <w:sz w:val="22"/>
        </w:rPr>
        <w:t> </w:t>
      </w:r>
      <w:r>
        <w:rPr>
          <w:sz w:val="22"/>
        </w:rPr>
        <w:t>2.</w:t>
      </w:r>
    </w:p>
    <w:p>
      <w:pPr>
        <w:pStyle w:val="ListParagraph"/>
        <w:numPr>
          <w:ilvl w:val="3"/>
          <w:numId w:val="1"/>
        </w:numPr>
        <w:tabs>
          <w:tab w:pos="1312" w:val="left" w:leader="none"/>
        </w:tabs>
        <w:spacing w:line="276" w:lineRule="auto" w:before="119" w:after="0"/>
        <w:ind w:left="1312" w:right="471" w:hanging="342"/>
        <w:jc w:val="left"/>
        <w:rPr>
          <w:sz w:val="22"/>
        </w:rPr>
      </w:pPr>
      <w:r>
        <w:rPr>
          <w:sz w:val="22"/>
        </w:rPr>
        <w:t>We will need further work to understand whether and how licence exempt Wi-Fi or licensed 5G mobile can share the</w:t>
      </w:r>
      <w:r>
        <w:rPr>
          <w:spacing w:val="-19"/>
          <w:sz w:val="22"/>
        </w:rPr>
        <w:t> </w:t>
      </w:r>
      <w:r>
        <w:rPr>
          <w:sz w:val="22"/>
        </w:rPr>
        <w:t>band.</w:t>
      </w:r>
    </w:p>
    <w:p>
      <w:pPr>
        <w:pStyle w:val="ListParagraph"/>
        <w:numPr>
          <w:ilvl w:val="3"/>
          <w:numId w:val="1"/>
        </w:numPr>
        <w:tabs>
          <w:tab w:pos="1312" w:val="left" w:leader="none"/>
        </w:tabs>
        <w:spacing w:line="276" w:lineRule="auto" w:before="119" w:after="0"/>
        <w:ind w:left="1312" w:right="271" w:hanging="341"/>
        <w:jc w:val="left"/>
        <w:rPr>
          <w:sz w:val="22"/>
        </w:rPr>
      </w:pPr>
      <w:r>
        <w:rPr>
          <w:sz w:val="22"/>
        </w:rPr>
        <w:t>The Shared Access licences can enable additional value to the band in either scenario, and will not preclude either use. For this reason, we do not need to wait for a resolution to (c) above, before adding benefits to the</w:t>
      </w:r>
      <w:r>
        <w:rPr>
          <w:spacing w:val="-29"/>
          <w:sz w:val="22"/>
        </w:rPr>
        <w:t> </w:t>
      </w:r>
      <w:r>
        <w:rPr>
          <w:sz w:val="22"/>
        </w:rPr>
        <w:t>band.</w:t>
      </w:r>
    </w:p>
    <w:p>
      <w:pPr>
        <w:pStyle w:val="ListParagraph"/>
        <w:numPr>
          <w:ilvl w:val="3"/>
          <w:numId w:val="1"/>
        </w:numPr>
        <w:tabs>
          <w:tab w:pos="1313" w:val="left" w:leader="none"/>
        </w:tabs>
        <w:spacing w:line="276" w:lineRule="auto" w:before="119" w:after="0"/>
        <w:ind w:left="1312" w:right="269" w:hanging="341"/>
        <w:jc w:val="left"/>
        <w:rPr>
          <w:sz w:val="22"/>
        </w:rPr>
      </w:pPr>
      <w:r>
        <w:rPr>
          <w:sz w:val="22"/>
        </w:rPr>
        <w:t>There is a risk we might need to revoke some or all of these proposed licences, some years into the future, in particular if we were to decide to authorise 5G mobile, and there was rollout near the specific locations where these licences are deployed, and if technical coexistence in these circumstances was not possible. Therefore, a licensed approach is</w:t>
      </w:r>
      <w:r>
        <w:rPr>
          <w:spacing w:val="-14"/>
          <w:sz w:val="22"/>
        </w:rPr>
        <w:t> </w:t>
      </w:r>
      <w:r>
        <w:rPr>
          <w:sz w:val="22"/>
        </w:rPr>
        <w:t>appropriate.</w:t>
      </w:r>
    </w:p>
    <w:p>
      <w:pPr>
        <w:pStyle w:val="ListParagraph"/>
        <w:numPr>
          <w:ilvl w:val="3"/>
          <w:numId w:val="1"/>
        </w:numPr>
        <w:tabs>
          <w:tab w:pos="1312" w:val="left" w:leader="none"/>
          <w:tab w:pos="1313" w:val="left" w:leader="none"/>
        </w:tabs>
        <w:spacing w:line="276" w:lineRule="auto" w:before="119" w:after="0"/>
        <w:ind w:left="1312" w:right="156" w:hanging="341"/>
        <w:jc w:val="left"/>
        <w:rPr>
          <w:sz w:val="22"/>
        </w:rPr>
      </w:pPr>
      <w:r>
        <w:rPr>
          <w:sz w:val="22"/>
        </w:rPr>
        <w:t>This proposal is likely to bring benefits to the UK by enabling industrial, business and research users to make the most of existing low-cost equipment and chipsets. We believe that the licences proposed in this document would be more suited to, although not limited to, industrial and research</w:t>
      </w:r>
      <w:r>
        <w:rPr>
          <w:spacing w:val="-24"/>
          <w:sz w:val="22"/>
        </w:rPr>
        <w:t> </w:t>
      </w:r>
      <w:r>
        <w:rPr>
          <w:sz w:val="22"/>
        </w:rPr>
        <w:t>users;</w:t>
      </w:r>
    </w:p>
    <w:p>
      <w:pPr>
        <w:pStyle w:val="ListParagraph"/>
        <w:numPr>
          <w:ilvl w:val="3"/>
          <w:numId w:val="1"/>
        </w:numPr>
        <w:tabs>
          <w:tab w:pos="1312" w:val="left" w:leader="none"/>
        </w:tabs>
        <w:spacing w:line="276" w:lineRule="auto" w:before="119" w:after="0"/>
        <w:ind w:left="1311" w:right="279" w:hanging="340"/>
        <w:jc w:val="left"/>
        <w:rPr>
          <w:sz w:val="22"/>
        </w:rPr>
      </w:pPr>
      <w:r>
        <w:rPr>
          <w:sz w:val="22"/>
        </w:rPr>
        <w:t>It would implement commitments made in our </w:t>
      </w:r>
      <w:hyperlink r:id="rId10">
        <w:r>
          <w:rPr>
            <w:color w:val="C70044"/>
            <w:sz w:val="22"/>
            <w:u w:val="single" w:color="C70044"/>
          </w:rPr>
          <w:t>2021 spectrum management strategy</w:t>
        </w:r>
        <w:r>
          <w:rPr>
            <w:sz w:val="22"/>
          </w:rPr>
          <w:t>,</w:t>
        </w:r>
      </w:hyperlink>
      <w:r>
        <w:rPr>
          <w:sz w:val="22"/>
        </w:rPr>
        <w:t> to promote sharing, localised use, and innovation;</w:t>
      </w:r>
      <w:r>
        <w:rPr>
          <w:spacing w:val="-26"/>
          <w:sz w:val="22"/>
        </w:rPr>
        <w:t> </w:t>
      </w:r>
      <w:r>
        <w:rPr>
          <w:sz w:val="22"/>
        </w:rPr>
        <w:t>and</w:t>
      </w:r>
    </w:p>
    <w:p>
      <w:pPr>
        <w:pStyle w:val="ListParagraph"/>
        <w:numPr>
          <w:ilvl w:val="3"/>
          <w:numId w:val="1"/>
        </w:numPr>
        <w:tabs>
          <w:tab w:pos="1312" w:val="left" w:leader="none"/>
        </w:tabs>
        <w:spacing w:line="276" w:lineRule="auto" w:before="119" w:after="0"/>
        <w:ind w:left="1311" w:right="330" w:hanging="341"/>
        <w:jc w:val="left"/>
        <w:rPr>
          <w:sz w:val="22"/>
        </w:rPr>
      </w:pPr>
      <w:r>
        <w:rPr>
          <w:sz w:val="22"/>
        </w:rPr>
        <w:t>It would not have a significant impact on present or future users (i.e., it is highly unlikely to cause interference to incumbent users or preclude our ability to authorise other potential future</w:t>
      </w:r>
      <w:r>
        <w:rPr>
          <w:spacing w:val="-17"/>
          <w:sz w:val="22"/>
        </w:rPr>
        <w:t> </w:t>
      </w:r>
      <w:r>
        <w:rPr>
          <w:sz w:val="22"/>
        </w:rPr>
        <w:t>uses).</w:t>
      </w:r>
    </w:p>
    <w:p>
      <w:pPr>
        <w:pStyle w:val="ListParagraph"/>
        <w:numPr>
          <w:ilvl w:val="2"/>
          <w:numId w:val="1"/>
        </w:numPr>
        <w:tabs>
          <w:tab w:pos="970" w:val="left" w:leader="none"/>
          <w:tab w:pos="971" w:val="left" w:leader="none"/>
        </w:tabs>
        <w:spacing w:line="276" w:lineRule="auto" w:before="119" w:after="0"/>
        <w:ind w:left="971" w:right="313" w:hanging="851"/>
        <w:jc w:val="both"/>
        <w:rPr>
          <w:sz w:val="22"/>
        </w:rPr>
      </w:pPr>
      <w:r>
        <w:rPr>
          <w:sz w:val="22"/>
        </w:rPr>
        <w:t>Due to uncertainties explained above around future sharing, we do not consider that this band meets the criteria set out in the WT Act that would require us to implement licence exemption at this</w:t>
      </w:r>
      <w:r>
        <w:rPr>
          <w:spacing w:val="-13"/>
          <w:sz w:val="22"/>
        </w:rPr>
        <w:t> </w:t>
      </w:r>
      <w:r>
        <w:rPr>
          <w:sz w:val="22"/>
        </w:rPr>
        <w:t>time.</w:t>
      </w:r>
    </w:p>
    <w:p>
      <w:pPr>
        <w:pStyle w:val="BodyText"/>
        <w:spacing w:before="6"/>
        <w:rPr>
          <w:sz w:val="19"/>
        </w:rPr>
      </w:pPr>
    </w:p>
    <w:p>
      <w:pPr>
        <w:pStyle w:val="Heading2"/>
      </w:pPr>
      <w:bookmarkStart w:name="We will need further work to decide on a" w:id="56"/>
      <w:bookmarkEnd w:id="56"/>
      <w:r>
        <w:rPr>
          <w:b w:val="0"/>
        </w:rPr>
      </w:r>
      <w:r>
        <w:rPr>
          <w:color w:val="CC0044"/>
        </w:rPr>
        <w:t>We will need further work to decide on authorising Wi-Fi or mobile</w:t>
      </w:r>
    </w:p>
    <w:p>
      <w:pPr>
        <w:spacing w:before="0"/>
        <w:ind w:left="119" w:right="0" w:firstLine="0"/>
        <w:jc w:val="left"/>
        <w:rPr>
          <w:b/>
          <w:sz w:val="32"/>
        </w:rPr>
      </w:pPr>
      <w:r>
        <w:rPr>
          <w:b/>
          <w:color w:val="CC0044"/>
          <w:sz w:val="32"/>
        </w:rPr>
        <w:t>– but we do not need to wait for this work to conclude</w:t>
      </w:r>
    </w:p>
    <w:p>
      <w:pPr>
        <w:pStyle w:val="ListParagraph"/>
        <w:numPr>
          <w:ilvl w:val="2"/>
          <w:numId w:val="1"/>
        </w:numPr>
        <w:tabs>
          <w:tab w:pos="970" w:val="left" w:leader="none"/>
          <w:tab w:pos="971" w:val="left" w:leader="none"/>
        </w:tabs>
        <w:spacing w:line="276" w:lineRule="auto" w:before="239" w:after="0"/>
        <w:ind w:left="970" w:right="189" w:hanging="850"/>
        <w:jc w:val="left"/>
        <w:rPr>
          <w:sz w:val="22"/>
        </w:rPr>
      </w:pPr>
      <w:r>
        <w:rPr>
          <w:sz w:val="22"/>
        </w:rPr>
        <w:t>We understand that there is interest among manufacturers of consumer equipment such as mobile phones, tablets and VR headsets in incorporating these band in their products for</w:t>
      </w:r>
      <w:r>
        <w:rPr>
          <w:spacing w:val="-3"/>
          <w:sz w:val="22"/>
        </w:rPr>
        <w:t> </w:t>
      </w:r>
      <w:r>
        <w:rPr>
          <w:sz w:val="22"/>
        </w:rPr>
        <w:t>the</w:t>
      </w:r>
      <w:r>
        <w:rPr>
          <w:spacing w:val="-2"/>
          <w:sz w:val="22"/>
        </w:rPr>
        <w:t> </w:t>
      </w:r>
      <w:r>
        <w:rPr>
          <w:sz w:val="22"/>
        </w:rPr>
        <w:t>mass</w:t>
      </w:r>
      <w:r>
        <w:rPr>
          <w:spacing w:val="-3"/>
          <w:sz w:val="22"/>
        </w:rPr>
        <w:t> </w:t>
      </w:r>
      <w:r>
        <w:rPr>
          <w:sz w:val="22"/>
        </w:rPr>
        <w:t>market.</w:t>
      </w:r>
      <w:r>
        <w:rPr>
          <w:spacing w:val="-2"/>
          <w:sz w:val="22"/>
        </w:rPr>
        <w:t> </w:t>
      </w:r>
      <w:r>
        <w:rPr>
          <w:sz w:val="22"/>
        </w:rPr>
        <w:t>We</w:t>
      </w:r>
      <w:r>
        <w:rPr>
          <w:spacing w:val="-2"/>
          <w:sz w:val="22"/>
        </w:rPr>
        <w:t> </w:t>
      </w:r>
      <w:r>
        <w:rPr>
          <w:sz w:val="22"/>
        </w:rPr>
        <w:t>also</w:t>
      </w:r>
      <w:r>
        <w:rPr>
          <w:spacing w:val="-2"/>
          <w:sz w:val="22"/>
        </w:rPr>
        <w:t> </w:t>
      </w:r>
      <w:r>
        <w:rPr>
          <w:sz w:val="22"/>
        </w:rPr>
        <w:t>note</w:t>
      </w:r>
      <w:r>
        <w:rPr>
          <w:spacing w:val="-3"/>
          <w:sz w:val="22"/>
        </w:rPr>
        <w:t> </w:t>
      </w:r>
      <w:r>
        <w:rPr>
          <w:sz w:val="22"/>
        </w:rPr>
        <w:t>that</w:t>
      </w:r>
      <w:r>
        <w:rPr>
          <w:spacing w:val="-2"/>
          <w:sz w:val="22"/>
        </w:rPr>
        <w:t> </w:t>
      </w:r>
      <w:r>
        <w:rPr>
          <w:sz w:val="22"/>
        </w:rPr>
        <w:t>the</w:t>
      </w:r>
      <w:r>
        <w:rPr>
          <w:spacing w:val="-3"/>
          <w:sz w:val="22"/>
        </w:rPr>
        <w:t> </w:t>
      </w:r>
      <w:r>
        <w:rPr>
          <w:sz w:val="22"/>
        </w:rPr>
        <w:t>6425-7025</w:t>
      </w:r>
      <w:r>
        <w:rPr>
          <w:spacing w:val="-3"/>
          <w:sz w:val="22"/>
        </w:rPr>
        <w:t> </w:t>
      </w:r>
      <w:r>
        <w:rPr>
          <w:sz w:val="22"/>
        </w:rPr>
        <w:t>MHz</w:t>
      </w:r>
      <w:r>
        <w:rPr>
          <w:spacing w:val="-2"/>
          <w:sz w:val="22"/>
        </w:rPr>
        <w:t> </w:t>
      </w:r>
      <w:r>
        <w:rPr>
          <w:sz w:val="22"/>
        </w:rPr>
        <w:t>band</w:t>
      </w:r>
      <w:r>
        <w:rPr>
          <w:spacing w:val="-3"/>
          <w:sz w:val="22"/>
        </w:rPr>
        <w:t> </w:t>
      </w:r>
      <w:r>
        <w:rPr>
          <w:sz w:val="22"/>
        </w:rPr>
        <w:t>(Region</w:t>
      </w:r>
      <w:r>
        <w:rPr>
          <w:spacing w:val="-2"/>
          <w:sz w:val="22"/>
        </w:rPr>
        <w:t> </w:t>
      </w:r>
      <w:r>
        <w:rPr>
          <w:sz w:val="22"/>
        </w:rPr>
        <w:t>1)</w:t>
      </w:r>
      <w:r>
        <w:rPr>
          <w:spacing w:val="-2"/>
          <w:sz w:val="22"/>
        </w:rPr>
        <w:t> </w:t>
      </w:r>
      <w:r>
        <w:rPr>
          <w:sz w:val="22"/>
        </w:rPr>
        <w:t>and</w:t>
      </w:r>
      <w:r>
        <w:rPr>
          <w:spacing w:val="-3"/>
          <w:sz w:val="22"/>
        </w:rPr>
        <w:t> </w:t>
      </w:r>
      <w:r>
        <w:rPr>
          <w:sz w:val="22"/>
        </w:rPr>
        <w:t>the</w:t>
      </w:r>
      <w:r>
        <w:rPr>
          <w:spacing w:val="-3"/>
          <w:sz w:val="22"/>
        </w:rPr>
        <w:t> </w:t>
      </w:r>
      <w:r>
        <w:rPr>
          <w:sz w:val="22"/>
        </w:rPr>
        <w:t>7025-</w:t>
      </w:r>
    </w:p>
    <w:p>
      <w:pPr>
        <w:spacing w:after="0" w:line="276" w:lineRule="auto"/>
        <w:jc w:val="left"/>
        <w:rPr>
          <w:sz w:val="22"/>
        </w:rPr>
        <w:sectPr>
          <w:pgSz w:w="11910" w:h="16840"/>
          <w:pgMar w:header="727" w:footer="1309" w:top="920" w:bottom="1520" w:left="1320" w:right="1340"/>
        </w:sectPr>
      </w:pPr>
    </w:p>
    <w:p>
      <w:pPr>
        <w:pStyle w:val="BodyText"/>
        <w:rPr>
          <w:sz w:val="20"/>
        </w:rPr>
      </w:pPr>
    </w:p>
    <w:p>
      <w:pPr>
        <w:pStyle w:val="BodyText"/>
        <w:rPr>
          <w:sz w:val="20"/>
        </w:rPr>
      </w:pPr>
    </w:p>
    <w:p>
      <w:pPr>
        <w:pStyle w:val="BodyText"/>
        <w:spacing w:before="11"/>
        <w:rPr>
          <w:sz w:val="18"/>
        </w:rPr>
      </w:pPr>
    </w:p>
    <w:p>
      <w:pPr>
        <w:pStyle w:val="BodyText"/>
        <w:spacing w:line="276" w:lineRule="auto" w:before="56"/>
        <w:ind w:left="950" w:right="454"/>
      </w:pPr>
      <w:r>
        <w:rPr/>
        <w:t>7125 MHz band (globally) are on the Agenda for WRC-23 (Agenda Item 1.2) for possible allocation to International Mobile Telecommunications (IMT) in the Radio Regulations.</w:t>
      </w:r>
    </w:p>
    <w:p>
      <w:pPr>
        <w:pStyle w:val="ListParagraph"/>
        <w:numPr>
          <w:ilvl w:val="2"/>
          <w:numId w:val="1"/>
        </w:numPr>
        <w:tabs>
          <w:tab w:pos="950" w:val="left" w:leader="none"/>
          <w:tab w:pos="951" w:val="left" w:leader="none"/>
        </w:tabs>
        <w:spacing w:line="276" w:lineRule="auto" w:before="119" w:after="0"/>
        <w:ind w:left="950" w:right="392" w:hanging="850"/>
        <w:jc w:val="left"/>
        <w:rPr>
          <w:sz w:val="22"/>
        </w:rPr>
      </w:pPr>
      <w:r>
        <w:rPr>
          <w:sz w:val="22"/>
        </w:rPr>
        <w:t>Ofcom, under Ministerial direction, is actively participating in the international preparations for WRC-23, including technical compatibility activities for the upper 6 GHz band and gauging views from interested UK stakeholders. We will consult shortly on our preparatory</w:t>
      </w:r>
      <w:r>
        <w:rPr>
          <w:spacing w:val="-5"/>
          <w:sz w:val="22"/>
        </w:rPr>
        <w:t> </w:t>
      </w:r>
      <w:r>
        <w:rPr>
          <w:sz w:val="22"/>
        </w:rPr>
        <w:t>considerations</w:t>
      </w:r>
      <w:r>
        <w:rPr>
          <w:spacing w:val="-5"/>
          <w:sz w:val="22"/>
        </w:rPr>
        <w:t> </w:t>
      </w:r>
      <w:r>
        <w:rPr>
          <w:sz w:val="22"/>
        </w:rPr>
        <w:t>for</w:t>
      </w:r>
      <w:r>
        <w:rPr>
          <w:spacing w:val="-5"/>
          <w:sz w:val="22"/>
        </w:rPr>
        <w:t> </w:t>
      </w:r>
      <w:r>
        <w:rPr>
          <w:sz w:val="22"/>
        </w:rPr>
        <w:t>WRC-23,</w:t>
      </w:r>
      <w:r>
        <w:rPr>
          <w:spacing w:val="-3"/>
          <w:sz w:val="22"/>
        </w:rPr>
        <w:t> </w:t>
      </w:r>
      <w:r>
        <w:rPr>
          <w:sz w:val="22"/>
        </w:rPr>
        <w:t>including</w:t>
      </w:r>
      <w:r>
        <w:rPr>
          <w:spacing w:val="-4"/>
          <w:sz w:val="22"/>
        </w:rPr>
        <w:t> </w:t>
      </w:r>
      <w:r>
        <w:rPr>
          <w:sz w:val="22"/>
        </w:rPr>
        <w:t>our</w:t>
      </w:r>
      <w:r>
        <w:rPr>
          <w:spacing w:val="-4"/>
          <w:sz w:val="22"/>
        </w:rPr>
        <w:t> </w:t>
      </w:r>
      <w:r>
        <w:rPr>
          <w:sz w:val="22"/>
        </w:rPr>
        <w:t>emerging</w:t>
      </w:r>
      <w:r>
        <w:rPr>
          <w:spacing w:val="-5"/>
          <w:sz w:val="22"/>
        </w:rPr>
        <w:t> </w:t>
      </w:r>
      <w:r>
        <w:rPr>
          <w:sz w:val="22"/>
        </w:rPr>
        <w:t>view</w:t>
      </w:r>
      <w:r>
        <w:rPr>
          <w:spacing w:val="-5"/>
          <w:sz w:val="22"/>
        </w:rPr>
        <w:t> </w:t>
      </w:r>
      <w:r>
        <w:rPr>
          <w:sz w:val="22"/>
        </w:rPr>
        <w:t>on</w:t>
      </w:r>
      <w:r>
        <w:rPr>
          <w:spacing w:val="-5"/>
          <w:sz w:val="22"/>
        </w:rPr>
        <w:t> </w:t>
      </w:r>
      <w:r>
        <w:rPr>
          <w:sz w:val="22"/>
        </w:rPr>
        <w:t>this</w:t>
      </w:r>
      <w:r>
        <w:rPr>
          <w:spacing w:val="-5"/>
          <w:sz w:val="22"/>
        </w:rPr>
        <w:t> </w:t>
      </w:r>
      <w:r>
        <w:rPr>
          <w:sz w:val="22"/>
        </w:rPr>
        <w:t>band.</w:t>
      </w:r>
    </w:p>
    <w:p>
      <w:pPr>
        <w:pStyle w:val="ListParagraph"/>
        <w:numPr>
          <w:ilvl w:val="2"/>
          <w:numId w:val="1"/>
        </w:numPr>
        <w:tabs>
          <w:tab w:pos="951" w:val="left" w:leader="none"/>
          <w:tab w:pos="952" w:val="left" w:leader="none"/>
        </w:tabs>
        <w:spacing w:line="276" w:lineRule="auto" w:before="120" w:after="0"/>
        <w:ind w:left="951" w:right="354" w:hanging="851"/>
        <w:jc w:val="left"/>
        <w:rPr>
          <w:sz w:val="22"/>
        </w:rPr>
      </w:pPr>
      <w:r>
        <w:rPr>
          <w:sz w:val="22"/>
        </w:rPr>
        <w:t>We do not need to wait for these decision-making processes (on Wi-Fi and mobile) to conclude</w:t>
      </w:r>
      <w:r>
        <w:rPr>
          <w:spacing w:val="-4"/>
          <w:sz w:val="22"/>
        </w:rPr>
        <w:t> </w:t>
      </w:r>
      <w:r>
        <w:rPr>
          <w:sz w:val="22"/>
        </w:rPr>
        <w:t>before</w:t>
      </w:r>
      <w:r>
        <w:rPr>
          <w:spacing w:val="-5"/>
          <w:sz w:val="22"/>
        </w:rPr>
        <w:t> </w:t>
      </w:r>
      <w:r>
        <w:rPr>
          <w:sz w:val="22"/>
        </w:rPr>
        <w:t>implementing</w:t>
      </w:r>
      <w:r>
        <w:rPr>
          <w:spacing w:val="-4"/>
          <w:sz w:val="22"/>
        </w:rPr>
        <w:t> </w:t>
      </w:r>
      <w:r>
        <w:rPr>
          <w:sz w:val="22"/>
        </w:rPr>
        <w:t>the</w:t>
      </w:r>
      <w:r>
        <w:rPr>
          <w:spacing w:val="-4"/>
          <w:sz w:val="22"/>
        </w:rPr>
        <w:t> </w:t>
      </w:r>
      <w:r>
        <w:rPr>
          <w:sz w:val="22"/>
        </w:rPr>
        <w:t>proposal</w:t>
      </w:r>
      <w:r>
        <w:rPr>
          <w:spacing w:val="-5"/>
          <w:sz w:val="22"/>
        </w:rPr>
        <w:t> </w:t>
      </w:r>
      <w:r>
        <w:rPr>
          <w:sz w:val="22"/>
        </w:rPr>
        <w:t>in</w:t>
      </w:r>
      <w:r>
        <w:rPr>
          <w:spacing w:val="-5"/>
          <w:sz w:val="22"/>
        </w:rPr>
        <w:t> </w:t>
      </w:r>
      <w:r>
        <w:rPr>
          <w:sz w:val="22"/>
        </w:rPr>
        <w:t>this</w:t>
      </w:r>
      <w:r>
        <w:rPr>
          <w:spacing w:val="-3"/>
          <w:sz w:val="22"/>
        </w:rPr>
        <w:t> </w:t>
      </w:r>
      <w:r>
        <w:rPr>
          <w:sz w:val="22"/>
        </w:rPr>
        <w:t>document,</w:t>
      </w:r>
      <w:r>
        <w:rPr>
          <w:spacing w:val="-5"/>
          <w:sz w:val="22"/>
        </w:rPr>
        <w:t> </w:t>
      </w:r>
      <w:r>
        <w:rPr>
          <w:sz w:val="22"/>
        </w:rPr>
        <w:t>and</w:t>
      </w:r>
      <w:r>
        <w:rPr>
          <w:spacing w:val="-5"/>
          <w:sz w:val="22"/>
        </w:rPr>
        <w:t> </w:t>
      </w:r>
      <w:r>
        <w:rPr>
          <w:sz w:val="22"/>
        </w:rPr>
        <w:t>obtaining</w:t>
      </w:r>
      <w:r>
        <w:rPr>
          <w:spacing w:val="-4"/>
          <w:sz w:val="22"/>
        </w:rPr>
        <w:t> </w:t>
      </w:r>
      <w:r>
        <w:rPr>
          <w:sz w:val="22"/>
        </w:rPr>
        <w:t>its</w:t>
      </w:r>
      <w:r>
        <w:rPr>
          <w:spacing w:val="-5"/>
          <w:sz w:val="22"/>
        </w:rPr>
        <w:t> </w:t>
      </w:r>
      <w:r>
        <w:rPr>
          <w:sz w:val="22"/>
        </w:rPr>
        <w:t>benefits.</w:t>
      </w:r>
    </w:p>
    <w:p>
      <w:pPr>
        <w:pStyle w:val="ListParagraph"/>
        <w:numPr>
          <w:ilvl w:val="2"/>
          <w:numId w:val="1"/>
        </w:numPr>
        <w:tabs>
          <w:tab w:pos="951" w:val="left" w:leader="none"/>
          <w:tab w:pos="952" w:val="left" w:leader="none"/>
        </w:tabs>
        <w:spacing w:line="276" w:lineRule="auto" w:before="119" w:after="0"/>
        <w:ind w:left="951" w:right="193" w:hanging="851"/>
        <w:jc w:val="left"/>
        <w:rPr>
          <w:sz w:val="22"/>
        </w:rPr>
      </w:pPr>
      <w:r>
        <w:rPr>
          <w:sz w:val="22"/>
        </w:rPr>
        <w:t>This is because the proposal will not impact our ability to authorise other uses in the future. We will use our existing Shared Access framework, which was designed to enable shared use of various bands. In particular, our proposal in applying the framework ensures that:</w:t>
      </w:r>
    </w:p>
    <w:p>
      <w:pPr>
        <w:pStyle w:val="ListParagraph"/>
        <w:numPr>
          <w:ilvl w:val="3"/>
          <w:numId w:val="1"/>
        </w:numPr>
        <w:tabs>
          <w:tab w:pos="1292" w:val="left" w:leader="none"/>
        </w:tabs>
        <w:spacing w:line="276" w:lineRule="auto" w:before="119" w:after="0"/>
        <w:ind w:left="1292" w:right="226" w:hanging="341"/>
        <w:jc w:val="left"/>
        <w:rPr>
          <w:sz w:val="22"/>
        </w:rPr>
      </w:pPr>
      <w:r>
        <w:rPr>
          <w:sz w:val="22"/>
        </w:rPr>
        <w:t>Licences are local – promoting geographical sharing. We anticipate the uses will be specialist and industrial and therefore likely to be deployed in warehouses or research centres, rather than covering a significant share of the UK territory. This can make coexistence more achievable with other</w:t>
      </w:r>
      <w:r>
        <w:rPr>
          <w:spacing w:val="-26"/>
          <w:sz w:val="22"/>
        </w:rPr>
        <w:t> </w:t>
      </w:r>
      <w:r>
        <w:rPr>
          <w:sz w:val="22"/>
        </w:rPr>
        <w:t>services.</w:t>
      </w:r>
    </w:p>
    <w:p>
      <w:pPr>
        <w:pStyle w:val="ListParagraph"/>
        <w:numPr>
          <w:ilvl w:val="3"/>
          <w:numId w:val="1"/>
        </w:numPr>
        <w:tabs>
          <w:tab w:pos="1292" w:val="left" w:leader="none"/>
        </w:tabs>
        <w:spacing w:line="276" w:lineRule="auto" w:before="119" w:after="0"/>
        <w:ind w:left="1292" w:right="353" w:hanging="341"/>
        <w:jc w:val="left"/>
        <w:rPr>
          <w:sz w:val="22"/>
        </w:rPr>
      </w:pPr>
      <w:r>
        <w:rPr>
          <w:sz w:val="22"/>
        </w:rPr>
        <w:t>We are only authorising indoor, low power use – minimising risk of interference with current or future</w:t>
      </w:r>
      <w:r>
        <w:rPr>
          <w:spacing w:val="-11"/>
          <w:sz w:val="22"/>
        </w:rPr>
        <w:t> </w:t>
      </w:r>
      <w:r>
        <w:rPr>
          <w:sz w:val="22"/>
        </w:rPr>
        <w:t>uses.</w:t>
      </w:r>
    </w:p>
    <w:p>
      <w:pPr>
        <w:pStyle w:val="ListParagraph"/>
        <w:numPr>
          <w:ilvl w:val="3"/>
          <w:numId w:val="1"/>
        </w:numPr>
        <w:tabs>
          <w:tab w:pos="1292" w:val="left" w:leader="none"/>
        </w:tabs>
        <w:spacing w:line="276" w:lineRule="auto" w:before="119" w:after="0"/>
        <w:ind w:left="1292" w:right="225" w:hanging="341"/>
        <w:jc w:val="left"/>
        <w:rPr>
          <w:sz w:val="22"/>
        </w:rPr>
      </w:pPr>
      <w:r>
        <w:rPr>
          <w:sz w:val="22"/>
        </w:rPr>
        <w:t>We anticipate that the equipment deployed for this band will use chipsets made for Wi-Fi</w:t>
      </w:r>
      <w:r>
        <w:rPr>
          <w:spacing w:val="-4"/>
          <w:sz w:val="22"/>
        </w:rPr>
        <w:t> </w:t>
      </w:r>
      <w:r>
        <w:rPr>
          <w:sz w:val="22"/>
        </w:rPr>
        <w:t>use.</w:t>
      </w:r>
      <w:r>
        <w:rPr>
          <w:spacing w:val="-4"/>
          <w:sz w:val="22"/>
        </w:rPr>
        <w:t> </w:t>
      </w:r>
      <w:r>
        <w:rPr>
          <w:sz w:val="22"/>
        </w:rPr>
        <w:t>This</w:t>
      </w:r>
      <w:r>
        <w:rPr>
          <w:spacing w:val="-4"/>
          <w:sz w:val="22"/>
        </w:rPr>
        <w:t> </w:t>
      </w:r>
      <w:r>
        <w:rPr>
          <w:sz w:val="22"/>
        </w:rPr>
        <w:t>is</w:t>
      </w:r>
      <w:r>
        <w:rPr>
          <w:spacing w:val="-4"/>
          <w:sz w:val="22"/>
        </w:rPr>
        <w:t> </w:t>
      </w:r>
      <w:r>
        <w:rPr>
          <w:sz w:val="22"/>
        </w:rPr>
        <w:t>because</w:t>
      </w:r>
      <w:r>
        <w:rPr>
          <w:spacing w:val="-3"/>
          <w:sz w:val="22"/>
        </w:rPr>
        <w:t> </w:t>
      </w:r>
      <w:r>
        <w:rPr>
          <w:sz w:val="22"/>
        </w:rPr>
        <w:t>manufacturers</w:t>
      </w:r>
      <w:r>
        <w:rPr>
          <w:spacing w:val="-4"/>
          <w:sz w:val="22"/>
        </w:rPr>
        <w:t> </w:t>
      </w:r>
      <w:r>
        <w:rPr>
          <w:sz w:val="22"/>
        </w:rPr>
        <w:t>are</w:t>
      </w:r>
      <w:r>
        <w:rPr>
          <w:spacing w:val="-4"/>
          <w:sz w:val="22"/>
        </w:rPr>
        <w:t> </w:t>
      </w:r>
      <w:r>
        <w:rPr>
          <w:sz w:val="22"/>
        </w:rPr>
        <w:t>producing</w:t>
      </w:r>
      <w:r>
        <w:rPr>
          <w:spacing w:val="-4"/>
          <w:sz w:val="22"/>
        </w:rPr>
        <w:t> </w:t>
      </w:r>
      <w:r>
        <w:rPr>
          <w:sz w:val="22"/>
        </w:rPr>
        <w:t>equipment</w:t>
      </w:r>
      <w:r>
        <w:rPr>
          <w:spacing w:val="-4"/>
          <w:sz w:val="22"/>
        </w:rPr>
        <w:t> </w:t>
      </w:r>
      <w:r>
        <w:rPr>
          <w:sz w:val="22"/>
        </w:rPr>
        <w:t>and</w:t>
      </w:r>
      <w:r>
        <w:rPr>
          <w:spacing w:val="-3"/>
          <w:sz w:val="22"/>
        </w:rPr>
        <w:t> </w:t>
      </w:r>
      <w:r>
        <w:rPr>
          <w:sz w:val="22"/>
        </w:rPr>
        <w:t>chipsets</w:t>
      </w:r>
      <w:r>
        <w:rPr>
          <w:spacing w:val="-4"/>
          <w:sz w:val="22"/>
        </w:rPr>
        <w:t> </w:t>
      </w:r>
      <w:r>
        <w:rPr>
          <w:sz w:val="22"/>
        </w:rPr>
        <w:t>to</w:t>
      </w:r>
      <w:r>
        <w:rPr>
          <w:spacing w:val="-3"/>
          <w:sz w:val="22"/>
        </w:rPr>
        <w:t> </w:t>
      </w:r>
      <w:r>
        <w:rPr>
          <w:sz w:val="22"/>
        </w:rPr>
        <w:t>sell</w:t>
      </w:r>
    </w:p>
    <w:p>
      <w:pPr>
        <w:pStyle w:val="BodyText"/>
        <w:spacing w:line="276" w:lineRule="auto"/>
        <w:ind w:left="1291" w:right="131"/>
      </w:pPr>
      <w:r>
        <w:rPr/>
        <w:t>to markets where Wi-Fi use has been authorised, including the US. Wireless equipment produced for large markets such as the US benefit from economies of scale, being therefore much cheaper than they would otherwise be. Wi-Fi equipment is generally very efficient at intelligently managing interference with other RLAN/Wi-Fi equipment.</w:t>
      </w:r>
    </w:p>
    <w:p>
      <w:pPr>
        <w:pStyle w:val="ListParagraph"/>
        <w:numPr>
          <w:ilvl w:val="3"/>
          <w:numId w:val="1"/>
        </w:numPr>
        <w:tabs>
          <w:tab w:pos="1292" w:val="left" w:leader="none"/>
        </w:tabs>
        <w:spacing w:line="276" w:lineRule="auto" w:before="119" w:after="0"/>
        <w:ind w:left="1291" w:right="316" w:hanging="341"/>
        <w:jc w:val="left"/>
        <w:rPr>
          <w:sz w:val="22"/>
        </w:rPr>
      </w:pPr>
      <w:r>
        <w:rPr>
          <w:sz w:val="22"/>
        </w:rPr>
        <w:t>As in other licences, we are able to provide a notice of revocation to licensees for spectrum management purposes if required and proportionate. We recognise that there is a risk that we would need to revoke Shared Access licences in this band to enable another authorisation in future. In our current view, this risk would arise if we decide that the band should be used for mobile services, rather than for licence- exempt Wi-Fi. Implementing this approach could in practice take several years, meaning</w:t>
      </w:r>
      <w:r>
        <w:rPr>
          <w:spacing w:val="-3"/>
          <w:sz w:val="22"/>
        </w:rPr>
        <w:t> </w:t>
      </w:r>
      <w:r>
        <w:rPr>
          <w:sz w:val="22"/>
        </w:rPr>
        <w:t>that</w:t>
      </w:r>
      <w:r>
        <w:rPr>
          <w:spacing w:val="-3"/>
          <w:sz w:val="22"/>
        </w:rPr>
        <w:t> </w:t>
      </w:r>
      <w:r>
        <w:rPr>
          <w:sz w:val="22"/>
        </w:rPr>
        <w:t>licensees</w:t>
      </w:r>
      <w:r>
        <w:rPr>
          <w:spacing w:val="-4"/>
          <w:sz w:val="22"/>
        </w:rPr>
        <w:t> </w:t>
      </w:r>
      <w:r>
        <w:rPr>
          <w:sz w:val="22"/>
        </w:rPr>
        <w:t>could</w:t>
      </w:r>
      <w:r>
        <w:rPr>
          <w:spacing w:val="-3"/>
          <w:sz w:val="22"/>
        </w:rPr>
        <w:t> </w:t>
      </w:r>
      <w:r>
        <w:rPr>
          <w:sz w:val="22"/>
        </w:rPr>
        <w:t>continue</w:t>
      </w:r>
      <w:r>
        <w:rPr>
          <w:spacing w:val="-3"/>
          <w:sz w:val="22"/>
        </w:rPr>
        <w:t> </w:t>
      </w:r>
      <w:r>
        <w:rPr>
          <w:sz w:val="22"/>
        </w:rPr>
        <w:t>to</w:t>
      </w:r>
      <w:r>
        <w:rPr>
          <w:spacing w:val="-3"/>
          <w:sz w:val="22"/>
        </w:rPr>
        <w:t> </w:t>
      </w:r>
      <w:r>
        <w:rPr>
          <w:sz w:val="22"/>
        </w:rPr>
        <w:t>use</w:t>
      </w:r>
      <w:r>
        <w:rPr>
          <w:spacing w:val="-3"/>
          <w:sz w:val="22"/>
        </w:rPr>
        <w:t> </w:t>
      </w:r>
      <w:r>
        <w:rPr>
          <w:sz w:val="22"/>
        </w:rPr>
        <w:t>this</w:t>
      </w:r>
      <w:r>
        <w:rPr>
          <w:spacing w:val="-4"/>
          <w:sz w:val="22"/>
        </w:rPr>
        <w:t> </w:t>
      </w:r>
      <w:r>
        <w:rPr>
          <w:sz w:val="22"/>
        </w:rPr>
        <w:t>band</w:t>
      </w:r>
      <w:r>
        <w:rPr>
          <w:spacing w:val="-4"/>
          <w:sz w:val="22"/>
        </w:rPr>
        <w:t> </w:t>
      </w:r>
      <w:r>
        <w:rPr>
          <w:sz w:val="22"/>
        </w:rPr>
        <w:t>in</w:t>
      </w:r>
      <w:r>
        <w:rPr>
          <w:spacing w:val="-3"/>
          <w:sz w:val="22"/>
        </w:rPr>
        <w:t> </w:t>
      </w:r>
      <w:r>
        <w:rPr>
          <w:sz w:val="22"/>
        </w:rPr>
        <w:t>the</w:t>
      </w:r>
      <w:r>
        <w:rPr>
          <w:spacing w:val="-3"/>
          <w:sz w:val="22"/>
        </w:rPr>
        <w:t> </w:t>
      </w:r>
      <w:r>
        <w:rPr>
          <w:sz w:val="22"/>
        </w:rPr>
        <w:t>medium</w:t>
      </w:r>
      <w:r>
        <w:rPr>
          <w:spacing w:val="-3"/>
          <w:sz w:val="22"/>
        </w:rPr>
        <w:t> </w:t>
      </w:r>
      <w:r>
        <w:rPr>
          <w:sz w:val="22"/>
        </w:rPr>
        <w:t>term.</w:t>
      </w:r>
    </w:p>
    <w:p>
      <w:pPr>
        <w:pStyle w:val="ListParagraph"/>
        <w:numPr>
          <w:ilvl w:val="3"/>
          <w:numId w:val="1"/>
        </w:numPr>
        <w:tabs>
          <w:tab w:pos="1292" w:val="left" w:leader="none"/>
        </w:tabs>
        <w:spacing w:line="276" w:lineRule="auto" w:before="120" w:after="0"/>
        <w:ind w:left="1291" w:right="131" w:hanging="341"/>
        <w:jc w:val="left"/>
        <w:rPr>
          <w:sz w:val="22"/>
        </w:rPr>
      </w:pPr>
      <w:r>
        <w:rPr>
          <w:sz w:val="22"/>
        </w:rPr>
        <w:t>If we eventually authorise this band for licence-exempt Wi-Fi use in future, we anticipate that equipment operating under the licences proposed here could coexist with such use, because the technical parameters in the proposed licences would be similar to those of Wi-Fi equipment. In this case, licensees can continue their use either under the licence exemption, or under the licence, in a scenario where the licence exemption</w:t>
      </w:r>
      <w:r>
        <w:rPr>
          <w:spacing w:val="-5"/>
          <w:sz w:val="22"/>
        </w:rPr>
        <w:t> </w:t>
      </w:r>
      <w:r>
        <w:rPr>
          <w:sz w:val="22"/>
        </w:rPr>
        <w:t>conditions</w:t>
      </w:r>
      <w:r>
        <w:rPr>
          <w:spacing w:val="-6"/>
          <w:sz w:val="22"/>
        </w:rPr>
        <w:t> </w:t>
      </w:r>
      <w:r>
        <w:rPr>
          <w:sz w:val="22"/>
        </w:rPr>
        <w:t>are</w:t>
      </w:r>
      <w:r>
        <w:rPr>
          <w:spacing w:val="-5"/>
          <w:sz w:val="22"/>
        </w:rPr>
        <w:t> </w:t>
      </w:r>
      <w:r>
        <w:rPr>
          <w:sz w:val="22"/>
        </w:rPr>
        <w:t>less</w:t>
      </w:r>
      <w:r>
        <w:rPr>
          <w:spacing w:val="-6"/>
          <w:sz w:val="22"/>
        </w:rPr>
        <w:t> </w:t>
      </w:r>
      <w:r>
        <w:rPr>
          <w:sz w:val="22"/>
        </w:rPr>
        <w:t>permissive</w:t>
      </w:r>
      <w:r>
        <w:rPr>
          <w:spacing w:val="-6"/>
          <w:sz w:val="22"/>
        </w:rPr>
        <w:t> </w:t>
      </w:r>
      <w:r>
        <w:rPr>
          <w:sz w:val="22"/>
        </w:rPr>
        <w:t>than</w:t>
      </w:r>
      <w:r>
        <w:rPr>
          <w:spacing w:val="-6"/>
          <w:sz w:val="22"/>
        </w:rPr>
        <w:t> </w:t>
      </w:r>
      <w:r>
        <w:rPr>
          <w:sz w:val="22"/>
        </w:rPr>
        <w:t>these</w:t>
      </w:r>
      <w:r>
        <w:rPr>
          <w:spacing w:val="-6"/>
          <w:sz w:val="22"/>
        </w:rPr>
        <w:t> </w:t>
      </w:r>
      <w:r>
        <w:rPr>
          <w:sz w:val="22"/>
        </w:rPr>
        <w:t>licences.</w:t>
      </w:r>
    </w:p>
    <w:p>
      <w:pPr>
        <w:pStyle w:val="ListParagraph"/>
        <w:numPr>
          <w:ilvl w:val="3"/>
          <w:numId w:val="1"/>
        </w:numPr>
        <w:tabs>
          <w:tab w:pos="1291" w:val="left" w:leader="none"/>
          <w:tab w:pos="1292" w:val="left" w:leader="none"/>
        </w:tabs>
        <w:spacing w:line="276" w:lineRule="auto" w:before="119" w:after="0"/>
        <w:ind w:left="1290" w:right="1246" w:hanging="340"/>
        <w:jc w:val="left"/>
        <w:rPr>
          <w:sz w:val="22"/>
        </w:rPr>
      </w:pPr>
      <w:r>
        <w:rPr>
          <w:sz w:val="22"/>
        </w:rPr>
        <w:t>If we eventually authorise this band for 5G mobile networks, there are two possibilities:</w:t>
      </w:r>
    </w:p>
    <w:p>
      <w:pPr>
        <w:spacing w:after="0" w:line="276" w:lineRule="auto"/>
        <w:jc w:val="left"/>
        <w:rPr>
          <w:sz w:val="22"/>
        </w:rPr>
        <w:sectPr>
          <w:pgSz w:w="11910" w:h="16840"/>
          <w:pgMar w:header="727" w:footer="1309" w:top="920" w:bottom="1520" w:left="1340" w:right="1340"/>
        </w:sectPr>
      </w:pPr>
    </w:p>
    <w:p>
      <w:pPr>
        <w:pStyle w:val="BodyText"/>
        <w:rPr>
          <w:sz w:val="20"/>
        </w:rPr>
      </w:pPr>
    </w:p>
    <w:p>
      <w:pPr>
        <w:pStyle w:val="BodyText"/>
        <w:rPr>
          <w:sz w:val="20"/>
        </w:rPr>
      </w:pPr>
    </w:p>
    <w:p>
      <w:pPr>
        <w:pStyle w:val="BodyText"/>
        <w:spacing w:before="11"/>
        <w:rPr>
          <w:sz w:val="18"/>
        </w:rPr>
      </w:pPr>
    </w:p>
    <w:p>
      <w:pPr>
        <w:pStyle w:val="ListParagraph"/>
        <w:numPr>
          <w:ilvl w:val="4"/>
          <w:numId w:val="1"/>
        </w:numPr>
        <w:tabs>
          <w:tab w:pos="1651" w:val="left" w:leader="none"/>
          <w:tab w:pos="1652" w:val="left" w:leader="none"/>
        </w:tabs>
        <w:spacing w:line="276" w:lineRule="auto" w:before="56" w:after="0"/>
        <w:ind w:left="1651" w:right="710" w:hanging="340"/>
        <w:jc w:val="left"/>
        <w:rPr>
          <w:sz w:val="22"/>
        </w:rPr>
      </w:pPr>
      <w:r>
        <w:rPr>
          <w:sz w:val="22"/>
        </w:rPr>
        <w:t>It might be possible for licensees to coexist with future mobile networks on a geographical basis. We consider this to be the most likely</w:t>
      </w:r>
      <w:r>
        <w:rPr>
          <w:spacing w:val="-32"/>
          <w:sz w:val="22"/>
        </w:rPr>
        <w:t> </w:t>
      </w:r>
      <w:r>
        <w:rPr>
          <w:sz w:val="22"/>
        </w:rPr>
        <w:t>scenario.</w:t>
      </w:r>
    </w:p>
    <w:p>
      <w:pPr>
        <w:pStyle w:val="ListParagraph"/>
        <w:numPr>
          <w:ilvl w:val="4"/>
          <w:numId w:val="1"/>
        </w:numPr>
        <w:tabs>
          <w:tab w:pos="1652" w:val="left" w:leader="none"/>
        </w:tabs>
        <w:spacing w:line="276" w:lineRule="auto" w:before="119" w:after="0"/>
        <w:ind w:left="1651" w:right="215" w:hanging="340"/>
        <w:jc w:val="left"/>
        <w:rPr>
          <w:sz w:val="22"/>
        </w:rPr>
      </w:pPr>
      <w:r>
        <w:rPr>
          <w:sz w:val="22"/>
        </w:rPr>
        <w:t>If it is not possible or practical to enable geographical coexistence, it is likely that awarding the band for mobile and making any preparations required for deployment would take several years. In this scenario, we might eventually revoke these</w:t>
      </w:r>
      <w:r>
        <w:rPr>
          <w:spacing w:val="-5"/>
          <w:sz w:val="22"/>
        </w:rPr>
        <w:t> </w:t>
      </w:r>
      <w:r>
        <w:rPr>
          <w:sz w:val="22"/>
        </w:rPr>
        <w:t>licences</w:t>
      </w:r>
      <w:r>
        <w:rPr>
          <w:spacing w:val="-5"/>
          <w:sz w:val="22"/>
        </w:rPr>
        <w:t> </w:t>
      </w:r>
      <w:r>
        <w:rPr>
          <w:sz w:val="22"/>
        </w:rPr>
        <w:t>–</w:t>
      </w:r>
      <w:r>
        <w:rPr>
          <w:spacing w:val="-5"/>
          <w:sz w:val="22"/>
        </w:rPr>
        <w:t> </w:t>
      </w:r>
      <w:r>
        <w:rPr>
          <w:sz w:val="22"/>
        </w:rPr>
        <w:t>therefore</w:t>
      </w:r>
      <w:r>
        <w:rPr>
          <w:spacing w:val="-4"/>
          <w:sz w:val="22"/>
        </w:rPr>
        <w:t> </w:t>
      </w:r>
      <w:r>
        <w:rPr>
          <w:sz w:val="22"/>
        </w:rPr>
        <w:t>there</w:t>
      </w:r>
      <w:r>
        <w:rPr>
          <w:spacing w:val="-4"/>
          <w:sz w:val="22"/>
        </w:rPr>
        <w:t> </w:t>
      </w:r>
      <w:r>
        <w:rPr>
          <w:sz w:val="22"/>
        </w:rPr>
        <w:t>is</w:t>
      </w:r>
      <w:r>
        <w:rPr>
          <w:spacing w:val="-5"/>
          <w:sz w:val="22"/>
        </w:rPr>
        <w:t> </w:t>
      </w:r>
      <w:r>
        <w:rPr>
          <w:sz w:val="22"/>
        </w:rPr>
        <w:t>some</w:t>
      </w:r>
      <w:r>
        <w:rPr>
          <w:spacing w:val="-4"/>
          <w:sz w:val="22"/>
        </w:rPr>
        <w:t> </w:t>
      </w:r>
      <w:r>
        <w:rPr>
          <w:sz w:val="22"/>
        </w:rPr>
        <w:t>risk</w:t>
      </w:r>
      <w:r>
        <w:rPr>
          <w:spacing w:val="-5"/>
          <w:sz w:val="22"/>
        </w:rPr>
        <w:t> </w:t>
      </w:r>
      <w:r>
        <w:rPr>
          <w:sz w:val="22"/>
        </w:rPr>
        <w:t>to</w:t>
      </w:r>
      <w:r>
        <w:rPr>
          <w:spacing w:val="-3"/>
          <w:sz w:val="22"/>
        </w:rPr>
        <w:t> </w:t>
      </w:r>
      <w:r>
        <w:rPr>
          <w:sz w:val="22"/>
        </w:rPr>
        <w:t>deployments</w:t>
      </w:r>
      <w:r>
        <w:rPr>
          <w:spacing w:val="-3"/>
          <w:sz w:val="22"/>
        </w:rPr>
        <w:t> </w:t>
      </w:r>
      <w:r>
        <w:rPr>
          <w:sz w:val="22"/>
        </w:rPr>
        <w:t>in</w:t>
      </w:r>
      <w:r>
        <w:rPr>
          <w:spacing w:val="-4"/>
          <w:sz w:val="22"/>
        </w:rPr>
        <w:t> </w:t>
      </w:r>
      <w:r>
        <w:rPr>
          <w:sz w:val="22"/>
        </w:rPr>
        <w:t>the</w:t>
      </w:r>
      <w:r>
        <w:rPr>
          <w:spacing w:val="-4"/>
          <w:sz w:val="22"/>
        </w:rPr>
        <w:t> </w:t>
      </w:r>
      <w:r>
        <w:rPr>
          <w:sz w:val="22"/>
        </w:rPr>
        <w:t>medium</w:t>
      </w:r>
      <w:r>
        <w:rPr>
          <w:spacing w:val="-4"/>
          <w:sz w:val="22"/>
        </w:rPr>
        <w:t> </w:t>
      </w:r>
      <w:r>
        <w:rPr>
          <w:sz w:val="22"/>
        </w:rPr>
        <w:t>term.</w:t>
      </w:r>
    </w:p>
    <w:p>
      <w:pPr>
        <w:pStyle w:val="ListParagraph"/>
        <w:numPr>
          <w:ilvl w:val="2"/>
          <w:numId w:val="1"/>
        </w:numPr>
        <w:tabs>
          <w:tab w:pos="971" w:val="left" w:leader="none"/>
          <w:tab w:pos="972" w:val="left" w:leader="none"/>
        </w:tabs>
        <w:spacing w:line="276" w:lineRule="auto" w:before="120" w:after="0"/>
        <w:ind w:left="971" w:right="214" w:hanging="851"/>
        <w:jc w:val="left"/>
        <w:rPr>
          <w:sz w:val="22"/>
        </w:rPr>
      </w:pPr>
      <w:r>
        <w:rPr>
          <w:sz w:val="22"/>
        </w:rPr>
        <w:t>For the reasons above, we consider that these proposals are likely to have minimal impact on</w:t>
      </w:r>
      <w:r>
        <w:rPr>
          <w:spacing w:val="-4"/>
          <w:sz w:val="22"/>
        </w:rPr>
        <w:t> </w:t>
      </w:r>
      <w:r>
        <w:rPr>
          <w:sz w:val="22"/>
        </w:rPr>
        <w:t>our</w:t>
      </w:r>
      <w:r>
        <w:rPr>
          <w:spacing w:val="-4"/>
          <w:sz w:val="22"/>
        </w:rPr>
        <w:t> </w:t>
      </w:r>
      <w:r>
        <w:rPr>
          <w:sz w:val="22"/>
        </w:rPr>
        <w:t>ability</w:t>
      </w:r>
      <w:r>
        <w:rPr>
          <w:spacing w:val="-3"/>
          <w:sz w:val="22"/>
        </w:rPr>
        <w:t> </w:t>
      </w:r>
      <w:r>
        <w:rPr>
          <w:sz w:val="22"/>
        </w:rPr>
        <w:t>to</w:t>
      </w:r>
      <w:r>
        <w:rPr>
          <w:spacing w:val="-3"/>
          <w:sz w:val="22"/>
        </w:rPr>
        <w:t> </w:t>
      </w:r>
      <w:r>
        <w:rPr>
          <w:sz w:val="22"/>
        </w:rPr>
        <w:t>consider</w:t>
      </w:r>
      <w:r>
        <w:rPr>
          <w:spacing w:val="-4"/>
          <w:sz w:val="22"/>
        </w:rPr>
        <w:t> </w:t>
      </w:r>
      <w:r>
        <w:rPr>
          <w:sz w:val="22"/>
        </w:rPr>
        <w:t>and</w:t>
      </w:r>
      <w:r>
        <w:rPr>
          <w:spacing w:val="-4"/>
          <w:sz w:val="22"/>
        </w:rPr>
        <w:t> </w:t>
      </w:r>
      <w:r>
        <w:rPr>
          <w:sz w:val="22"/>
        </w:rPr>
        <w:t>authorise</w:t>
      </w:r>
      <w:r>
        <w:rPr>
          <w:spacing w:val="-3"/>
          <w:sz w:val="22"/>
        </w:rPr>
        <w:t> </w:t>
      </w:r>
      <w:r>
        <w:rPr>
          <w:sz w:val="22"/>
        </w:rPr>
        <w:t>any</w:t>
      </w:r>
      <w:r>
        <w:rPr>
          <w:spacing w:val="-4"/>
          <w:sz w:val="22"/>
        </w:rPr>
        <w:t> </w:t>
      </w:r>
      <w:r>
        <w:rPr>
          <w:sz w:val="22"/>
        </w:rPr>
        <w:t>other</w:t>
      </w:r>
      <w:r>
        <w:rPr>
          <w:spacing w:val="-3"/>
          <w:sz w:val="22"/>
        </w:rPr>
        <w:t> </w:t>
      </w:r>
      <w:r>
        <w:rPr>
          <w:sz w:val="22"/>
        </w:rPr>
        <w:t>future</w:t>
      </w:r>
      <w:r>
        <w:rPr>
          <w:spacing w:val="-4"/>
          <w:sz w:val="22"/>
        </w:rPr>
        <w:t> </w:t>
      </w:r>
      <w:r>
        <w:rPr>
          <w:sz w:val="22"/>
        </w:rPr>
        <w:t>uses</w:t>
      </w:r>
      <w:r>
        <w:rPr>
          <w:spacing w:val="-4"/>
          <w:sz w:val="22"/>
        </w:rPr>
        <w:t> </w:t>
      </w:r>
      <w:r>
        <w:rPr>
          <w:sz w:val="22"/>
        </w:rPr>
        <w:t>of</w:t>
      </w:r>
      <w:r>
        <w:rPr>
          <w:spacing w:val="-3"/>
          <w:sz w:val="22"/>
        </w:rPr>
        <w:t> </w:t>
      </w:r>
      <w:r>
        <w:rPr>
          <w:sz w:val="22"/>
        </w:rPr>
        <w:t>the</w:t>
      </w:r>
      <w:r>
        <w:rPr>
          <w:spacing w:val="-4"/>
          <w:sz w:val="22"/>
        </w:rPr>
        <w:t> </w:t>
      </w:r>
      <w:r>
        <w:rPr>
          <w:sz w:val="22"/>
        </w:rPr>
        <w:t>band.</w:t>
      </w:r>
    </w:p>
    <w:p>
      <w:pPr>
        <w:pStyle w:val="BodyText"/>
        <w:spacing w:before="7"/>
        <w:rPr>
          <w:sz w:val="19"/>
        </w:rPr>
      </w:pPr>
    </w:p>
    <w:p>
      <w:pPr>
        <w:pStyle w:val="Heading2"/>
      </w:pPr>
      <w:bookmarkStart w:name="This proposal implements commitments in " w:id="57"/>
      <w:bookmarkEnd w:id="57"/>
      <w:r>
        <w:rPr>
          <w:b w:val="0"/>
        </w:rPr>
      </w:r>
      <w:r>
        <w:rPr>
          <w:color w:val="CC0044"/>
        </w:rPr>
        <w:t>This proposal implements commitments in our Spectrum Strategy</w:t>
      </w:r>
    </w:p>
    <w:p>
      <w:pPr>
        <w:pStyle w:val="ListParagraph"/>
        <w:numPr>
          <w:ilvl w:val="2"/>
          <w:numId w:val="1"/>
        </w:numPr>
        <w:tabs>
          <w:tab w:pos="970" w:val="left" w:leader="none"/>
          <w:tab w:pos="971" w:val="left" w:leader="none"/>
        </w:tabs>
        <w:spacing w:line="276" w:lineRule="auto" w:before="241" w:after="0"/>
        <w:ind w:left="970" w:right="260" w:hanging="850"/>
        <w:jc w:val="left"/>
        <w:rPr>
          <w:sz w:val="22"/>
        </w:rPr>
      </w:pPr>
      <w:r>
        <w:rPr>
          <w:sz w:val="22"/>
        </w:rPr>
        <w:t>This work follows on from our commitments, in our 2021 </w:t>
      </w:r>
      <w:hyperlink r:id="rId10">
        <w:r>
          <w:rPr>
            <w:color w:val="C70044"/>
            <w:sz w:val="22"/>
            <w:u w:val="single" w:color="C70044"/>
          </w:rPr>
          <w:t>spectrum management strategy </w:t>
        </w:r>
      </w:hyperlink>
      <w:hyperlink r:id="rId10">
        <w:r>
          <w:rPr>
            <w:color w:val="C70044"/>
            <w:sz w:val="22"/>
            <w:u w:val="single" w:color="C70044"/>
          </w:rPr>
          <w:t>statement</w:t>
        </w:r>
        <w:r>
          <w:rPr>
            <w:color w:val="C70044"/>
            <w:spacing w:val="-8"/>
            <w:sz w:val="22"/>
            <w:u w:val="single" w:color="C70044"/>
          </w:rPr>
          <w:t> </w:t>
        </w:r>
      </w:hyperlink>
      <w:r>
        <w:rPr>
          <w:sz w:val="22"/>
        </w:rPr>
        <w:t>to:</w:t>
      </w:r>
    </w:p>
    <w:p>
      <w:pPr>
        <w:pStyle w:val="ListParagraph"/>
        <w:numPr>
          <w:ilvl w:val="0"/>
          <w:numId w:val="3"/>
        </w:numPr>
        <w:tabs>
          <w:tab w:pos="1312" w:val="left" w:leader="none"/>
        </w:tabs>
        <w:spacing w:line="276" w:lineRule="auto" w:before="121" w:after="0"/>
        <w:ind w:left="1311" w:right="202" w:hanging="341"/>
        <w:jc w:val="left"/>
        <w:rPr>
          <w:sz w:val="22"/>
        </w:rPr>
      </w:pPr>
      <w:r>
        <w:rPr>
          <w:sz w:val="22"/>
        </w:rPr>
        <w:t>consider further options for localised spectrum access when authorising new access to spectrum;</w:t>
      </w:r>
    </w:p>
    <w:p>
      <w:pPr>
        <w:pStyle w:val="ListParagraph"/>
        <w:numPr>
          <w:ilvl w:val="0"/>
          <w:numId w:val="3"/>
        </w:numPr>
        <w:tabs>
          <w:tab w:pos="1312" w:val="left" w:leader="none"/>
        </w:tabs>
        <w:spacing w:line="240" w:lineRule="auto" w:before="119" w:after="0"/>
        <w:ind w:left="1311" w:right="0" w:hanging="341"/>
        <w:jc w:val="left"/>
        <w:rPr>
          <w:sz w:val="22"/>
        </w:rPr>
      </w:pPr>
      <w:r>
        <w:rPr>
          <w:sz w:val="22"/>
        </w:rPr>
        <w:t>promote spectrum sharing;</w:t>
      </w:r>
      <w:r>
        <w:rPr>
          <w:spacing w:val="-14"/>
          <w:sz w:val="22"/>
        </w:rPr>
        <w:t> </w:t>
      </w:r>
      <w:r>
        <w:rPr>
          <w:sz w:val="22"/>
        </w:rPr>
        <w:t>and</w:t>
      </w:r>
    </w:p>
    <w:p>
      <w:pPr>
        <w:pStyle w:val="ListParagraph"/>
        <w:numPr>
          <w:ilvl w:val="0"/>
          <w:numId w:val="3"/>
        </w:numPr>
        <w:tabs>
          <w:tab w:pos="1311" w:val="left" w:leader="none"/>
          <w:tab w:pos="1312" w:val="left" w:leader="none"/>
        </w:tabs>
        <w:spacing w:line="276" w:lineRule="auto" w:before="160" w:after="0"/>
        <w:ind w:left="1311" w:right="211" w:hanging="341"/>
        <w:jc w:val="left"/>
        <w:rPr>
          <w:sz w:val="22"/>
        </w:rPr>
      </w:pPr>
      <w:r>
        <w:rPr>
          <w:sz w:val="22"/>
        </w:rPr>
        <w:t>support innovation, by making more spectrum available for innovation before its long- term future use is certain; by making spectrum available in a variety of ways; and by making it as easy as possible for different types of organisations to access the right spectrum to meet their</w:t>
      </w:r>
      <w:r>
        <w:rPr>
          <w:spacing w:val="-13"/>
          <w:sz w:val="22"/>
        </w:rPr>
        <w:t> </w:t>
      </w:r>
      <w:r>
        <w:rPr>
          <w:sz w:val="22"/>
        </w:rPr>
        <w:t>needs.</w:t>
      </w:r>
    </w:p>
    <w:p>
      <w:pPr>
        <w:pStyle w:val="BodyText"/>
        <w:spacing w:before="7"/>
        <w:rPr>
          <w:sz w:val="19"/>
        </w:rPr>
      </w:pPr>
    </w:p>
    <w:p>
      <w:pPr>
        <w:pStyle w:val="Heading2"/>
        <w:ind w:right="402"/>
      </w:pPr>
      <w:bookmarkStart w:name="We believe our proposals will have minim" w:id="58"/>
      <w:bookmarkEnd w:id="58"/>
      <w:r>
        <w:rPr>
          <w:b w:val="0"/>
        </w:rPr>
      </w:r>
      <w:r>
        <w:rPr>
          <w:color w:val="CC0044"/>
        </w:rPr>
        <w:t>We believe our proposals will have minimal impact on incumbent users of the band</w:t>
      </w:r>
    </w:p>
    <w:p>
      <w:pPr>
        <w:pStyle w:val="ListParagraph"/>
        <w:numPr>
          <w:ilvl w:val="2"/>
          <w:numId w:val="1"/>
        </w:numPr>
        <w:tabs>
          <w:tab w:pos="970" w:val="left" w:leader="none"/>
          <w:tab w:pos="971" w:val="left" w:leader="none"/>
        </w:tabs>
        <w:spacing w:line="276" w:lineRule="auto" w:before="239" w:after="0"/>
        <w:ind w:left="970" w:right="560" w:hanging="850"/>
        <w:jc w:val="both"/>
        <w:rPr>
          <w:sz w:val="22"/>
        </w:rPr>
      </w:pPr>
      <w:r>
        <w:rPr>
          <w:sz w:val="22"/>
        </w:rPr>
        <w:t>In the UK the 6 GHz band is used for a variety of services including fixed links, satellite, space science and short range devices. Fixed link and satellite use is licensed and has a primary</w:t>
      </w:r>
      <w:r>
        <w:rPr>
          <w:spacing w:val="-13"/>
          <w:sz w:val="22"/>
        </w:rPr>
        <w:t> </w:t>
      </w:r>
      <w:r>
        <w:rPr>
          <w:sz w:val="22"/>
        </w:rPr>
        <w:t>allocation.</w:t>
      </w:r>
    </w:p>
    <w:p>
      <w:pPr>
        <w:pStyle w:val="ListParagraph"/>
        <w:numPr>
          <w:ilvl w:val="2"/>
          <w:numId w:val="1"/>
        </w:numPr>
        <w:tabs>
          <w:tab w:pos="970" w:val="left" w:leader="none"/>
          <w:tab w:pos="971" w:val="left" w:leader="none"/>
        </w:tabs>
        <w:spacing w:line="276" w:lineRule="auto" w:before="119" w:after="0"/>
        <w:ind w:left="970" w:right="187" w:hanging="850"/>
        <w:jc w:val="left"/>
        <w:rPr>
          <w:sz w:val="22"/>
        </w:rPr>
      </w:pPr>
      <w:r>
        <w:rPr>
          <w:sz w:val="22"/>
        </w:rPr>
        <w:t>When we made the lower part of the 6 GHz band (5925-6425 MHz) available for licence- exempt use by RLAN equipment in 2020, we undertook a detailed technical analysis to ensure incumbent users would not be impacted. The types of use in the upper 6 GHz band are very similar and we have considered whether our earlier analysis can be applied to our new</w:t>
      </w:r>
      <w:r>
        <w:rPr>
          <w:spacing w:val="-7"/>
          <w:sz w:val="22"/>
        </w:rPr>
        <w:t> </w:t>
      </w:r>
      <w:r>
        <w:rPr>
          <w:sz w:val="22"/>
        </w:rPr>
        <w:t>proposals.</w:t>
      </w:r>
    </w:p>
    <w:p>
      <w:pPr>
        <w:pStyle w:val="ListParagraph"/>
        <w:numPr>
          <w:ilvl w:val="2"/>
          <w:numId w:val="1"/>
        </w:numPr>
        <w:tabs>
          <w:tab w:pos="970" w:val="left" w:leader="none"/>
          <w:tab w:pos="971" w:val="left" w:leader="none"/>
        </w:tabs>
        <w:spacing w:line="276" w:lineRule="auto" w:before="119" w:after="0"/>
        <w:ind w:left="970" w:right="414" w:hanging="851"/>
        <w:jc w:val="left"/>
        <w:rPr>
          <w:sz w:val="22"/>
        </w:rPr>
      </w:pPr>
      <w:r>
        <w:rPr>
          <w:sz w:val="22"/>
        </w:rPr>
        <w:t>In the table below we present a high-level summary of our conclusions. A more detailed summary of our analysis can be found in Annex</w:t>
      </w:r>
      <w:r>
        <w:rPr>
          <w:spacing w:val="-21"/>
          <w:sz w:val="22"/>
        </w:rPr>
        <w:t> </w:t>
      </w:r>
      <w:hyperlink w:history="true" w:anchor="_bookmark20">
        <w:r>
          <w:rPr>
            <w:sz w:val="22"/>
          </w:rPr>
          <w:t>A5.</w:t>
        </w:r>
      </w:hyperlink>
    </w:p>
    <w:p>
      <w:pPr>
        <w:spacing w:after="0" w:line="276" w:lineRule="auto"/>
        <w:jc w:val="left"/>
        <w:rPr>
          <w:sz w:val="22"/>
        </w:rPr>
        <w:sectPr>
          <w:pgSz w:w="11910" w:h="16840"/>
          <w:pgMar w:header="727" w:footer="1309" w:top="920" w:bottom="1520" w:left="1320" w:right="1340"/>
        </w:sectPr>
      </w:pPr>
    </w:p>
    <w:p>
      <w:pPr>
        <w:pStyle w:val="BodyText"/>
        <w:rPr>
          <w:sz w:val="20"/>
        </w:rPr>
      </w:pPr>
    </w:p>
    <w:p>
      <w:pPr>
        <w:pStyle w:val="BodyText"/>
        <w:rPr>
          <w:sz w:val="20"/>
        </w:rPr>
      </w:pPr>
    </w:p>
    <w:p>
      <w:pPr>
        <w:pStyle w:val="BodyText"/>
        <w:spacing w:before="11"/>
        <w:rPr>
          <w:sz w:val="18"/>
        </w:rPr>
      </w:pPr>
    </w:p>
    <w:p>
      <w:pPr>
        <w:pStyle w:val="Heading5"/>
        <w:spacing w:before="56"/>
        <w:ind w:left="100"/>
      </w:pPr>
      <w:r>
        <w:rPr/>
        <w:t>Table 4.1: Protection of incumbent users in the upper 6 GHz band</w:t>
      </w:r>
    </w:p>
    <w:p>
      <w:pPr>
        <w:pStyle w:val="BodyText"/>
        <w:rPr>
          <w:b/>
          <w:sz w:val="13"/>
        </w:rPr>
      </w:pPr>
    </w:p>
    <w:tbl>
      <w:tblPr>
        <w:tblW w:w="0" w:type="auto"/>
        <w:jc w:val="left"/>
        <w:tblInd w:w="101" w:type="dxa"/>
        <w:tblBorders>
          <w:top w:val="single" w:sz="2" w:space="0" w:color="ADAEB0"/>
          <w:left w:val="single" w:sz="2" w:space="0" w:color="ADAEB0"/>
          <w:bottom w:val="single" w:sz="2" w:space="0" w:color="ADAEB0"/>
          <w:right w:val="single" w:sz="2" w:space="0" w:color="ADAEB0"/>
          <w:insideH w:val="single" w:sz="2" w:space="0" w:color="ADAEB0"/>
          <w:insideV w:val="single" w:sz="2" w:space="0" w:color="ADAEB0"/>
        </w:tblBorders>
        <w:tblLayout w:type="fixed"/>
        <w:tblCellMar>
          <w:top w:w="0" w:type="dxa"/>
          <w:left w:w="0" w:type="dxa"/>
          <w:bottom w:w="0" w:type="dxa"/>
          <w:right w:w="0" w:type="dxa"/>
        </w:tblCellMar>
        <w:tblLook w:val="01E0"/>
      </w:tblPr>
      <w:tblGrid>
        <w:gridCol w:w="2832"/>
        <w:gridCol w:w="5953"/>
      </w:tblGrid>
      <w:tr>
        <w:trPr>
          <w:trHeight w:val="494" w:hRule="exact"/>
        </w:trPr>
        <w:tc>
          <w:tcPr>
            <w:tcW w:w="2832" w:type="dxa"/>
            <w:shd w:val="clear" w:color="auto" w:fill="5F1D51"/>
          </w:tcPr>
          <w:p>
            <w:pPr>
              <w:pStyle w:val="TableParagraph"/>
              <w:spacing w:before="60"/>
              <w:ind w:left="105"/>
              <w:rPr>
                <w:b/>
                <w:sz w:val="22"/>
              </w:rPr>
            </w:pPr>
            <w:r>
              <w:rPr>
                <w:b/>
                <w:color w:val="FFFFFF"/>
                <w:sz w:val="22"/>
              </w:rPr>
              <w:t>Incumbent service</w:t>
            </w:r>
          </w:p>
        </w:tc>
        <w:tc>
          <w:tcPr>
            <w:tcW w:w="5953" w:type="dxa"/>
            <w:shd w:val="clear" w:color="auto" w:fill="5F1D51"/>
          </w:tcPr>
          <w:p>
            <w:pPr>
              <w:pStyle w:val="TableParagraph"/>
              <w:spacing w:before="60"/>
              <w:ind w:left="105"/>
              <w:rPr>
                <w:b/>
                <w:sz w:val="22"/>
              </w:rPr>
            </w:pPr>
            <w:r>
              <w:rPr>
                <w:b/>
                <w:color w:val="FFFFFF"/>
                <w:sz w:val="22"/>
              </w:rPr>
              <w:t>Our conclusions on sharing</w:t>
            </w:r>
          </w:p>
        </w:tc>
      </w:tr>
      <w:tr>
        <w:trPr>
          <w:trHeight w:val="3273" w:hRule="exact"/>
        </w:trPr>
        <w:tc>
          <w:tcPr>
            <w:tcW w:w="2832" w:type="dxa"/>
            <w:shd w:val="clear" w:color="auto" w:fill="EEC9E6"/>
          </w:tcPr>
          <w:p>
            <w:pPr>
              <w:pStyle w:val="TableParagraph"/>
              <w:spacing w:before="61"/>
              <w:ind w:left="105"/>
              <w:rPr>
                <w:b/>
                <w:sz w:val="22"/>
              </w:rPr>
            </w:pPr>
            <w:r>
              <w:rPr>
                <w:b/>
                <w:sz w:val="22"/>
              </w:rPr>
              <w:t>Fixed Links</w:t>
            </w:r>
          </w:p>
        </w:tc>
        <w:tc>
          <w:tcPr>
            <w:tcW w:w="5953" w:type="dxa"/>
            <w:shd w:val="clear" w:color="auto" w:fill="F1F1F1"/>
          </w:tcPr>
          <w:p>
            <w:pPr>
              <w:pStyle w:val="TableParagraph"/>
              <w:spacing w:line="276" w:lineRule="auto" w:before="61"/>
              <w:ind w:left="105" w:right="102"/>
              <w:rPr>
                <w:sz w:val="22"/>
              </w:rPr>
            </w:pPr>
            <w:r>
              <w:rPr>
                <w:sz w:val="22"/>
              </w:rPr>
              <w:t>Sharing between RLANs and fixed links in the upper 6 GHz band is feasible, based on previous analysis we undertook for sharing in the lower 6 GHz band. We have compared the technical parameters in the lower and upper 6 GHz band contained in our licence database and refreshed some of our earlier analysis.</w:t>
            </w:r>
          </w:p>
          <w:p>
            <w:pPr>
              <w:pStyle w:val="TableParagraph"/>
              <w:spacing w:line="276" w:lineRule="auto" w:before="0"/>
              <w:ind w:left="105" w:right="144"/>
              <w:rPr>
                <w:sz w:val="22"/>
              </w:rPr>
            </w:pPr>
            <w:r>
              <w:rPr>
                <w:sz w:val="22"/>
              </w:rPr>
              <w:t>Furthermore, we will not permit outdoor RLAN use and we anticipate the density of RLAN deployment in upper 6 GHz will be much lower than in the lower 6 GHz band due to the requirement for a licence, which should significantly reduce the chances of any interference occurring.</w:t>
            </w:r>
          </w:p>
        </w:tc>
      </w:tr>
      <w:tr>
        <w:trPr>
          <w:trHeight w:val="3394" w:hRule="exact"/>
        </w:trPr>
        <w:tc>
          <w:tcPr>
            <w:tcW w:w="2832" w:type="dxa"/>
            <w:shd w:val="clear" w:color="auto" w:fill="EEC9E6"/>
          </w:tcPr>
          <w:p>
            <w:pPr>
              <w:pStyle w:val="TableParagraph"/>
              <w:spacing w:before="60"/>
              <w:ind w:left="105"/>
              <w:rPr>
                <w:b/>
                <w:sz w:val="22"/>
              </w:rPr>
            </w:pPr>
            <w:r>
              <w:rPr>
                <w:b/>
                <w:sz w:val="22"/>
              </w:rPr>
              <w:t>Fixed Satellite Service</w:t>
            </w:r>
          </w:p>
        </w:tc>
        <w:tc>
          <w:tcPr>
            <w:tcW w:w="5953" w:type="dxa"/>
          </w:tcPr>
          <w:p>
            <w:pPr>
              <w:pStyle w:val="TableParagraph"/>
              <w:spacing w:line="276" w:lineRule="auto" w:before="60"/>
              <w:ind w:left="105" w:right="340"/>
              <w:rPr>
                <w:sz w:val="22"/>
              </w:rPr>
            </w:pPr>
            <w:r>
              <w:rPr>
                <w:sz w:val="22"/>
              </w:rPr>
              <w:t>When we made the lower 6 GHz band available, we reviewed existing studies carried out within CEPT on sharing between RLANs and the Fixed Satellite Service (FSS), published in ECC Report 302. The studies concluded that sharing between FSS satellite receivers and RLANs is feasible with limitations on higher power outdoor use.</w:t>
            </w:r>
          </w:p>
          <w:p>
            <w:pPr>
              <w:pStyle w:val="TableParagraph"/>
              <w:spacing w:line="276" w:lineRule="auto" w:before="120"/>
              <w:ind w:left="105" w:right="309"/>
              <w:rPr>
                <w:sz w:val="22"/>
              </w:rPr>
            </w:pPr>
            <w:r>
              <w:rPr>
                <w:sz w:val="22"/>
              </w:rPr>
              <w:t>FSS operation in the upper 6 GHz band is very similar to operation in the lower 6 GHz band and we believe the assumptions and analysis presented in ECC Report 302 can be applied.</w:t>
            </w:r>
          </w:p>
        </w:tc>
      </w:tr>
      <w:tr>
        <w:trPr>
          <w:trHeight w:val="3702" w:hRule="exact"/>
        </w:trPr>
        <w:tc>
          <w:tcPr>
            <w:tcW w:w="2832" w:type="dxa"/>
            <w:shd w:val="clear" w:color="auto" w:fill="EEC9E6"/>
          </w:tcPr>
          <w:p>
            <w:pPr>
              <w:pStyle w:val="TableParagraph"/>
              <w:spacing w:before="60"/>
              <w:ind w:left="105"/>
              <w:rPr>
                <w:b/>
                <w:sz w:val="22"/>
              </w:rPr>
            </w:pPr>
            <w:r>
              <w:rPr>
                <w:b/>
                <w:sz w:val="22"/>
              </w:rPr>
              <w:t>Earth Exploration Satellites</w:t>
            </w:r>
          </w:p>
        </w:tc>
        <w:tc>
          <w:tcPr>
            <w:tcW w:w="5953" w:type="dxa"/>
            <w:shd w:val="clear" w:color="auto" w:fill="F1F1F1"/>
          </w:tcPr>
          <w:p>
            <w:pPr>
              <w:pStyle w:val="TableParagraph"/>
              <w:spacing w:line="276" w:lineRule="auto" w:before="60"/>
              <w:ind w:left="105" w:right="246"/>
              <w:rPr>
                <w:sz w:val="22"/>
              </w:rPr>
            </w:pPr>
            <w:r>
              <w:rPr>
                <w:sz w:val="22"/>
              </w:rPr>
              <w:t>Passive microwave sensor measurements are carried out over the oceans in the 6425-7075 MHz band as part of Earth Exploration Satellite Services (EESS). Although these measurements are co-channel with the band which we are proposing to make available, in most cases there will be a high degree of geographic separation where measurements are made over ocean regions.</w:t>
            </w:r>
          </w:p>
          <w:p>
            <w:pPr>
              <w:pStyle w:val="TableParagraph"/>
              <w:spacing w:line="276" w:lineRule="auto" w:before="120"/>
              <w:ind w:left="105" w:right="392"/>
              <w:jc w:val="both"/>
              <w:rPr>
                <w:sz w:val="22"/>
              </w:rPr>
            </w:pPr>
            <w:r>
              <w:rPr>
                <w:sz w:val="22"/>
              </w:rPr>
              <w:t>Limiting the upper frequency of the 6 GHz band to 7070 MHz will protect adjacent channel EESS measurements over land. We have therefore concluded that detailed technical studies into sharing between RLAN and EESS are not needed.</w:t>
            </w:r>
          </w:p>
        </w:tc>
      </w:tr>
      <w:tr>
        <w:trPr>
          <w:trHeight w:val="1729" w:hRule="exact"/>
        </w:trPr>
        <w:tc>
          <w:tcPr>
            <w:tcW w:w="2832" w:type="dxa"/>
            <w:shd w:val="clear" w:color="auto" w:fill="EEC9E6"/>
          </w:tcPr>
          <w:p>
            <w:pPr>
              <w:pStyle w:val="TableParagraph"/>
              <w:spacing w:before="60"/>
              <w:ind w:left="105"/>
              <w:rPr>
                <w:b/>
                <w:sz w:val="22"/>
              </w:rPr>
            </w:pPr>
            <w:r>
              <w:rPr>
                <w:b/>
                <w:sz w:val="22"/>
              </w:rPr>
              <w:t>Radio Astronomy</w:t>
            </w:r>
          </w:p>
        </w:tc>
        <w:tc>
          <w:tcPr>
            <w:tcW w:w="5953" w:type="dxa"/>
          </w:tcPr>
          <w:p>
            <w:pPr>
              <w:pStyle w:val="TableParagraph"/>
              <w:spacing w:line="276" w:lineRule="auto" w:before="60"/>
              <w:ind w:left="105" w:right="402"/>
              <w:rPr>
                <w:sz w:val="22"/>
              </w:rPr>
            </w:pPr>
            <w:r>
              <w:rPr>
                <w:sz w:val="22"/>
              </w:rPr>
              <w:t>The Radio Astronomy Service does not have a primary allocation or Recognised Spectrum Access (RSA) in the upper 6 GHz. RAS already shares with much higher power outdoor</w:t>
            </w:r>
          </w:p>
          <w:p>
            <w:pPr>
              <w:pStyle w:val="TableParagraph"/>
              <w:spacing w:line="276" w:lineRule="auto" w:before="0"/>
              <w:ind w:left="106" w:right="116" w:hanging="1"/>
              <w:rPr>
                <w:sz w:val="22"/>
              </w:rPr>
            </w:pPr>
            <w:r>
              <w:rPr>
                <w:sz w:val="22"/>
              </w:rPr>
              <w:t>fixed links and satellite earth stations without any co-ordination and to date we are not aware of any reports of interference.</w:t>
            </w:r>
          </w:p>
        </w:tc>
      </w:tr>
    </w:tbl>
    <w:p>
      <w:pPr>
        <w:spacing w:after="0" w:line="276" w:lineRule="auto"/>
        <w:rPr>
          <w:sz w:val="22"/>
        </w:rPr>
        <w:sectPr>
          <w:pgSz w:w="11910" w:h="16840"/>
          <w:pgMar w:header="727" w:footer="1309" w:top="920" w:bottom="1520" w:left="1340" w:right="1340"/>
        </w:sectPr>
      </w:pPr>
    </w:p>
    <w:p>
      <w:pPr>
        <w:pStyle w:val="BodyText"/>
        <w:rPr>
          <w:b/>
          <w:sz w:val="20"/>
        </w:rPr>
      </w:pPr>
    </w:p>
    <w:p>
      <w:pPr>
        <w:pStyle w:val="BodyText"/>
        <w:rPr>
          <w:b/>
          <w:sz w:val="20"/>
        </w:rPr>
      </w:pPr>
    </w:p>
    <w:p>
      <w:pPr>
        <w:pStyle w:val="BodyText"/>
        <w:spacing w:before="5"/>
        <w:rPr>
          <w:b/>
          <w:sz w:val="23"/>
        </w:rPr>
      </w:pPr>
    </w:p>
    <w:tbl>
      <w:tblPr>
        <w:tblW w:w="0" w:type="auto"/>
        <w:jc w:val="left"/>
        <w:tblInd w:w="101" w:type="dxa"/>
        <w:tblBorders>
          <w:top w:val="single" w:sz="2" w:space="0" w:color="ADAEB0"/>
          <w:left w:val="single" w:sz="2" w:space="0" w:color="ADAEB0"/>
          <w:bottom w:val="single" w:sz="2" w:space="0" w:color="ADAEB0"/>
          <w:right w:val="single" w:sz="2" w:space="0" w:color="ADAEB0"/>
          <w:insideH w:val="single" w:sz="2" w:space="0" w:color="ADAEB0"/>
          <w:insideV w:val="single" w:sz="2" w:space="0" w:color="ADAEB0"/>
        </w:tblBorders>
        <w:tblLayout w:type="fixed"/>
        <w:tblCellMar>
          <w:top w:w="0" w:type="dxa"/>
          <w:left w:w="0" w:type="dxa"/>
          <w:bottom w:w="0" w:type="dxa"/>
          <w:right w:w="0" w:type="dxa"/>
        </w:tblCellMar>
        <w:tblLook w:val="01E0"/>
      </w:tblPr>
      <w:tblGrid>
        <w:gridCol w:w="2832"/>
        <w:gridCol w:w="5953"/>
      </w:tblGrid>
      <w:tr>
        <w:trPr>
          <w:trHeight w:val="493" w:hRule="exact"/>
        </w:trPr>
        <w:tc>
          <w:tcPr>
            <w:tcW w:w="2832" w:type="dxa"/>
            <w:shd w:val="clear" w:color="auto" w:fill="5F1D51"/>
          </w:tcPr>
          <w:p>
            <w:pPr>
              <w:pStyle w:val="TableParagraph"/>
              <w:spacing w:before="60"/>
              <w:ind w:left="105"/>
              <w:rPr>
                <w:b/>
                <w:sz w:val="22"/>
              </w:rPr>
            </w:pPr>
            <w:r>
              <w:rPr>
                <w:b/>
                <w:color w:val="FFFFFF"/>
                <w:sz w:val="22"/>
              </w:rPr>
              <w:t>Incumbent service</w:t>
            </w:r>
          </w:p>
        </w:tc>
        <w:tc>
          <w:tcPr>
            <w:tcW w:w="5953" w:type="dxa"/>
            <w:shd w:val="clear" w:color="auto" w:fill="5F1D51"/>
          </w:tcPr>
          <w:p>
            <w:pPr>
              <w:pStyle w:val="TableParagraph"/>
              <w:spacing w:before="60"/>
              <w:ind w:left="105"/>
              <w:rPr>
                <w:b/>
                <w:sz w:val="22"/>
              </w:rPr>
            </w:pPr>
            <w:r>
              <w:rPr>
                <w:b/>
                <w:color w:val="FFFFFF"/>
                <w:sz w:val="22"/>
              </w:rPr>
              <w:t>Our conclusions on sharing</w:t>
            </w:r>
          </w:p>
        </w:tc>
      </w:tr>
      <w:tr>
        <w:trPr>
          <w:trHeight w:val="1669" w:hRule="exact"/>
        </w:trPr>
        <w:tc>
          <w:tcPr>
            <w:tcW w:w="2832" w:type="dxa"/>
            <w:shd w:val="clear" w:color="auto" w:fill="EEC9E6"/>
          </w:tcPr>
          <w:p>
            <w:pPr/>
          </w:p>
        </w:tc>
        <w:tc>
          <w:tcPr>
            <w:tcW w:w="5953" w:type="dxa"/>
          </w:tcPr>
          <w:p>
            <w:pPr>
              <w:pStyle w:val="TableParagraph"/>
              <w:spacing w:line="276" w:lineRule="auto" w:before="0"/>
              <w:ind w:left="105" w:right="205"/>
              <w:rPr>
                <w:sz w:val="22"/>
              </w:rPr>
            </w:pPr>
            <w:r>
              <w:rPr>
                <w:sz w:val="22"/>
              </w:rPr>
              <w:t>In contrast, our proposal will limit devices to indoor use only, and at a low power level. We do not anticipate mass consumer adoption for this licence, which additionally constrains the overall risk of interference. We therefore do not anticipate a material risk of interference to RAS.</w:t>
            </w:r>
          </w:p>
        </w:tc>
      </w:tr>
      <w:tr>
        <w:trPr>
          <w:trHeight w:val="4628" w:hRule="exact"/>
        </w:trPr>
        <w:tc>
          <w:tcPr>
            <w:tcW w:w="2832" w:type="dxa"/>
            <w:shd w:val="clear" w:color="auto" w:fill="EEC9E6"/>
          </w:tcPr>
          <w:p>
            <w:pPr>
              <w:pStyle w:val="TableParagraph"/>
              <w:spacing w:before="60"/>
              <w:ind w:left="105"/>
              <w:rPr>
                <w:b/>
                <w:sz w:val="22"/>
              </w:rPr>
            </w:pPr>
            <w:r>
              <w:rPr>
                <w:b/>
                <w:sz w:val="22"/>
              </w:rPr>
              <w:t>Short Range Devices</w:t>
            </w:r>
          </w:p>
        </w:tc>
        <w:tc>
          <w:tcPr>
            <w:tcW w:w="5953" w:type="dxa"/>
            <w:shd w:val="clear" w:color="auto" w:fill="F1F1F1"/>
          </w:tcPr>
          <w:p>
            <w:pPr>
              <w:pStyle w:val="TableParagraph"/>
              <w:spacing w:line="276" w:lineRule="auto" w:before="60"/>
              <w:ind w:left="105" w:right="228"/>
              <w:rPr>
                <w:sz w:val="22"/>
              </w:rPr>
            </w:pPr>
            <w:r>
              <w:rPr>
                <w:sz w:val="22"/>
              </w:rPr>
              <w:t>The current Short Range Device use in the upper 6 GHz band is very similar to the lower 6 GHz band. We have reviewed the CEPT studies in the lower 6 GHz band for Ultra Wide Band (UWB) applications that show, in the worst-case scenario, a</w:t>
            </w:r>
          </w:p>
          <w:p>
            <w:pPr>
              <w:pStyle w:val="TableParagraph"/>
              <w:spacing w:line="276" w:lineRule="auto" w:before="0"/>
              <w:ind w:left="105" w:right="102"/>
              <w:rPr>
                <w:sz w:val="22"/>
              </w:rPr>
            </w:pPr>
            <w:r>
              <w:rPr>
                <w:sz w:val="22"/>
              </w:rPr>
              <w:t>3 dB reduction in UWB sensitivity may occur for up to 3.3% of the time. We consider that the probability of interference in the upper 6 GHz band will be much lower due to the lower density of RLAN deployment and limitations on the maximum EIRP.</w:t>
            </w:r>
          </w:p>
          <w:p>
            <w:pPr>
              <w:pStyle w:val="TableParagraph"/>
              <w:spacing w:line="276" w:lineRule="auto" w:before="119"/>
              <w:ind w:left="105" w:right="88"/>
              <w:rPr>
                <w:sz w:val="22"/>
              </w:rPr>
            </w:pPr>
            <w:r>
              <w:rPr>
                <w:sz w:val="22"/>
              </w:rPr>
              <w:t>Other short range devices in the band include tank level probing radar (TLPR) and radar level gauges. TLPR have strict installation requirements regarding the downward orientation of their antennas and are typically installed in tanks that provide a reasonable level of shielding attenuation, which will help mitigate any interference from indoor RLAN devices.</w:t>
            </w:r>
          </w:p>
        </w:tc>
      </w:tr>
    </w:tbl>
    <w:p>
      <w:pPr>
        <w:pStyle w:val="BodyText"/>
        <w:spacing w:before="9"/>
        <w:rPr>
          <w:b/>
          <w:sz w:val="16"/>
        </w:rPr>
      </w:pPr>
    </w:p>
    <w:p>
      <w:pPr>
        <w:pStyle w:val="Heading2"/>
        <w:spacing w:before="36"/>
        <w:ind w:left="100"/>
      </w:pPr>
      <w:bookmarkStart w:name="Consultation questions" w:id="59"/>
      <w:bookmarkEnd w:id="59"/>
      <w:r>
        <w:rPr>
          <w:b w:val="0"/>
        </w:rPr>
      </w:r>
      <w:r>
        <w:rPr>
          <w:color w:val="CC0044"/>
        </w:rPr>
        <w:t>Consultation questions</w:t>
      </w:r>
    </w:p>
    <w:p>
      <w:pPr>
        <w:pStyle w:val="BodyText"/>
        <w:spacing w:before="7"/>
        <w:rPr>
          <w:b/>
          <w:sz w:val="16"/>
        </w:rPr>
      </w:pPr>
      <w:r>
        <w:rPr/>
        <w:pict>
          <v:shape style="position:absolute;margin-left:113.459999pt;margin-top:12.332635pt;width:416.3pt;height:143.950pt;mso-position-horizontal-relative:page;mso-position-vertical-relative:paragraph;z-index:1312;mso-wrap-distance-left:0;mso-wrap-distance-right:0" type="#_x0000_t202" filled="true" fillcolor="#f1f1f1" stroked="true" strokeweight=".481pt" strokecolor="#d9d9d9">
            <v:textbox inset="0,0,0,0">
              <w:txbxContent>
                <w:p>
                  <w:pPr>
                    <w:spacing w:before="99"/>
                    <w:ind w:left="129" w:right="0" w:firstLine="0"/>
                    <w:jc w:val="left"/>
                    <w:rPr>
                      <w:b/>
                      <w:sz w:val="24"/>
                    </w:rPr>
                  </w:pPr>
                  <w:bookmarkStart w:name="Consultation questions" w:id="60"/>
                  <w:bookmarkEnd w:id="60"/>
                  <w:r>
                    <w:rPr/>
                  </w:r>
                  <w:r>
                    <w:rPr>
                      <w:b/>
                      <w:color w:val="632466"/>
                      <w:sz w:val="24"/>
                    </w:rPr>
                    <w:t>Consultation questions</w:t>
                  </w:r>
                </w:p>
                <w:p>
                  <w:pPr>
                    <w:pStyle w:val="ListParagraph"/>
                    <w:numPr>
                      <w:ilvl w:val="0"/>
                      <w:numId w:val="4"/>
                    </w:numPr>
                    <w:tabs>
                      <w:tab w:pos="490" w:val="left" w:leader="none"/>
                    </w:tabs>
                    <w:spacing w:line="276" w:lineRule="auto" w:before="164" w:after="0"/>
                    <w:ind w:left="489" w:right="706" w:hanging="360"/>
                    <w:jc w:val="left"/>
                    <w:rPr>
                      <w:sz w:val="22"/>
                    </w:rPr>
                  </w:pPr>
                  <w:r>
                    <w:rPr>
                      <w:sz w:val="22"/>
                    </w:rPr>
                    <w:t>Do you agree with our proposals to add the 6425-7070 MHz band to the Shared Access</w:t>
                  </w:r>
                  <w:r>
                    <w:rPr>
                      <w:spacing w:val="-7"/>
                      <w:sz w:val="22"/>
                    </w:rPr>
                    <w:t> </w:t>
                  </w:r>
                  <w:r>
                    <w:rPr>
                      <w:sz w:val="22"/>
                    </w:rPr>
                    <w:t>framework?</w:t>
                  </w:r>
                </w:p>
                <w:p>
                  <w:pPr>
                    <w:pStyle w:val="ListParagraph"/>
                    <w:numPr>
                      <w:ilvl w:val="0"/>
                      <w:numId w:val="4"/>
                    </w:numPr>
                    <w:tabs>
                      <w:tab w:pos="490" w:val="left" w:leader="none"/>
                    </w:tabs>
                    <w:spacing w:line="240" w:lineRule="auto" w:before="119" w:after="0"/>
                    <w:ind w:left="489" w:right="0" w:hanging="360"/>
                    <w:jc w:val="left"/>
                    <w:rPr>
                      <w:sz w:val="22"/>
                    </w:rPr>
                  </w:pPr>
                  <w:r>
                    <w:rPr>
                      <w:sz w:val="22"/>
                    </w:rPr>
                    <w:t>Do you have any comments on potential uses for this</w:t>
                  </w:r>
                  <w:r>
                    <w:rPr>
                      <w:spacing w:val="-33"/>
                      <w:sz w:val="22"/>
                    </w:rPr>
                    <w:t> </w:t>
                  </w:r>
                  <w:r>
                    <w:rPr>
                      <w:sz w:val="22"/>
                    </w:rPr>
                    <w:t>licence?</w:t>
                  </w:r>
                </w:p>
                <w:p>
                  <w:pPr>
                    <w:pStyle w:val="ListParagraph"/>
                    <w:numPr>
                      <w:ilvl w:val="0"/>
                      <w:numId w:val="4"/>
                    </w:numPr>
                    <w:tabs>
                      <w:tab w:pos="490" w:val="left" w:leader="none"/>
                    </w:tabs>
                    <w:spacing w:line="276" w:lineRule="auto" w:before="160" w:after="0"/>
                    <w:ind w:left="489" w:right="850" w:hanging="360"/>
                    <w:jc w:val="left"/>
                    <w:rPr>
                      <w:sz w:val="22"/>
                    </w:rPr>
                  </w:pPr>
                  <w:r>
                    <w:rPr>
                      <w:sz w:val="22"/>
                    </w:rPr>
                    <w:t>Do you have any comments on our proposed licence conditions, licence fee or minimum separation</w:t>
                  </w:r>
                  <w:r>
                    <w:rPr>
                      <w:spacing w:val="-13"/>
                      <w:sz w:val="22"/>
                    </w:rPr>
                    <w:t> </w:t>
                  </w:r>
                  <w:r>
                    <w:rPr>
                      <w:sz w:val="22"/>
                    </w:rPr>
                    <w:t>distance?</w:t>
                  </w:r>
                </w:p>
                <w:p>
                  <w:pPr>
                    <w:pStyle w:val="ListParagraph"/>
                    <w:numPr>
                      <w:ilvl w:val="0"/>
                      <w:numId w:val="4"/>
                    </w:numPr>
                    <w:tabs>
                      <w:tab w:pos="490" w:val="left" w:leader="none"/>
                    </w:tabs>
                    <w:spacing w:line="240" w:lineRule="auto" w:before="119" w:after="0"/>
                    <w:ind w:left="489" w:right="0" w:hanging="360"/>
                    <w:jc w:val="left"/>
                    <w:rPr>
                      <w:sz w:val="22"/>
                    </w:rPr>
                  </w:pPr>
                  <w:r>
                    <w:rPr>
                      <w:sz w:val="22"/>
                    </w:rPr>
                    <w:t>Do you have any comments on our technical</w:t>
                  </w:r>
                  <w:r>
                    <w:rPr>
                      <w:spacing w:val="-25"/>
                      <w:sz w:val="22"/>
                    </w:rPr>
                    <w:t> </w:t>
                  </w:r>
                  <w:r>
                    <w:rPr>
                      <w:sz w:val="22"/>
                    </w:rPr>
                    <w:t>analysis?</w:t>
                  </w:r>
                </w:p>
              </w:txbxContent>
            </v:textbox>
            <v:fill type="solid"/>
            <v:stroke dashstyle="solid"/>
            <w10:wrap type="topAndBottom"/>
          </v:shape>
        </w:pict>
      </w:r>
    </w:p>
    <w:p>
      <w:pPr>
        <w:spacing w:after="0"/>
        <w:rPr>
          <w:sz w:val="16"/>
        </w:rPr>
        <w:sectPr>
          <w:footerReference w:type="default" r:id="rId32"/>
          <w:pgSz w:w="11910" w:h="16840"/>
          <w:pgMar w:footer="1321" w:header="727" w:top="920" w:bottom="1520" w:left="1340" w:right="1200"/>
        </w:sectPr>
      </w:pPr>
    </w:p>
    <w:p>
      <w:pPr>
        <w:pStyle w:val="BodyText"/>
        <w:rPr>
          <w:b/>
          <w:sz w:val="20"/>
        </w:rPr>
      </w:pPr>
    </w:p>
    <w:p>
      <w:pPr>
        <w:pStyle w:val="BodyText"/>
        <w:rPr>
          <w:b/>
          <w:sz w:val="20"/>
        </w:rPr>
      </w:pPr>
    </w:p>
    <w:p>
      <w:pPr>
        <w:pStyle w:val="BodyText"/>
        <w:spacing w:before="2"/>
        <w:rPr>
          <w:b/>
          <w:sz w:val="23"/>
        </w:rPr>
      </w:pPr>
    </w:p>
    <w:p>
      <w:pPr>
        <w:pStyle w:val="Heading1"/>
      </w:pPr>
      <w:bookmarkStart w:name="A1. Responding to this consultation" w:id="61"/>
      <w:bookmarkEnd w:id="61"/>
      <w:r>
        <w:rPr/>
      </w:r>
      <w:bookmarkStart w:name="_bookmark16" w:id="62"/>
      <w:bookmarkEnd w:id="62"/>
      <w:r>
        <w:rPr/>
      </w:r>
      <w:r>
        <w:rPr>
          <w:color w:val="CC0044"/>
        </w:rPr>
        <w:t>A1. Responding to this consultation</w:t>
      </w:r>
    </w:p>
    <w:p>
      <w:pPr>
        <w:pStyle w:val="Heading2"/>
        <w:spacing w:before="239"/>
      </w:pPr>
      <w:bookmarkStart w:name="How to respond" w:id="63"/>
      <w:bookmarkEnd w:id="63"/>
      <w:r>
        <w:rPr>
          <w:b w:val="0"/>
        </w:rPr>
      </w:r>
      <w:r>
        <w:rPr>
          <w:color w:val="CC0044"/>
        </w:rPr>
        <w:t>How to respond</w:t>
      </w:r>
    </w:p>
    <w:p>
      <w:pPr>
        <w:pStyle w:val="BodyText"/>
        <w:tabs>
          <w:tab w:pos="970" w:val="left" w:leader="none"/>
        </w:tabs>
        <w:spacing w:line="276" w:lineRule="auto" w:before="240"/>
        <w:ind w:left="970" w:right="168" w:hanging="851"/>
      </w:pPr>
      <w:r>
        <w:rPr/>
        <w:t>A1.1</w:t>
        <w:tab/>
        <w:t>Ofcom</w:t>
      </w:r>
      <w:r>
        <w:rPr>
          <w:spacing w:val="-4"/>
        </w:rPr>
        <w:t> </w:t>
      </w:r>
      <w:r>
        <w:rPr/>
        <w:t>would</w:t>
      </w:r>
      <w:r>
        <w:rPr>
          <w:spacing w:val="-3"/>
        </w:rPr>
        <w:t> </w:t>
      </w:r>
      <w:r>
        <w:rPr/>
        <w:t>like</w:t>
      </w:r>
      <w:r>
        <w:rPr>
          <w:spacing w:val="-3"/>
        </w:rPr>
        <w:t> </w:t>
      </w:r>
      <w:r>
        <w:rPr/>
        <w:t>to</w:t>
      </w:r>
      <w:r>
        <w:rPr>
          <w:spacing w:val="-3"/>
        </w:rPr>
        <w:t> </w:t>
      </w:r>
      <w:r>
        <w:rPr/>
        <w:t>receive</w:t>
      </w:r>
      <w:r>
        <w:rPr>
          <w:spacing w:val="-4"/>
        </w:rPr>
        <w:t> </w:t>
      </w:r>
      <w:r>
        <w:rPr/>
        <w:t>views</w:t>
      </w:r>
      <w:r>
        <w:rPr>
          <w:spacing w:val="-4"/>
        </w:rPr>
        <w:t> </w:t>
      </w:r>
      <w:r>
        <w:rPr/>
        <w:t>and</w:t>
      </w:r>
      <w:r>
        <w:rPr>
          <w:spacing w:val="-3"/>
        </w:rPr>
        <w:t> </w:t>
      </w:r>
      <w:r>
        <w:rPr/>
        <w:t>comments</w:t>
      </w:r>
      <w:r>
        <w:rPr>
          <w:spacing w:val="-4"/>
        </w:rPr>
        <w:t> </w:t>
      </w:r>
      <w:r>
        <w:rPr/>
        <w:t>on</w:t>
      </w:r>
      <w:r>
        <w:rPr>
          <w:spacing w:val="-3"/>
        </w:rPr>
        <w:t> </w:t>
      </w:r>
      <w:r>
        <w:rPr/>
        <w:t>the</w:t>
      </w:r>
      <w:r>
        <w:rPr>
          <w:spacing w:val="-4"/>
        </w:rPr>
        <w:t> </w:t>
      </w:r>
      <w:r>
        <w:rPr/>
        <w:t>issues</w:t>
      </w:r>
      <w:r>
        <w:rPr>
          <w:spacing w:val="-2"/>
        </w:rPr>
        <w:t> </w:t>
      </w:r>
      <w:r>
        <w:rPr/>
        <w:t>raised</w:t>
      </w:r>
      <w:r>
        <w:rPr>
          <w:spacing w:val="-4"/>
        </w:rPr>
        <w:t> </w:t>
      </w:r>
      <w:r>
        <w:rPr/>
        <w:t>in</w:t>
      </w:r>
      <w:r>
        <w:rPr>
          <w:spacing w:val="-3"/>
        </w:rPr>
        <w:t> </w:t>
      </w:r>
      <w:r>
        <w:rPr/>
        <w:t>this</w:t>
      </w:r>
      <w:r>
        <w:rPr>
          <w:spacing w:val="-2"/>
        </w:rPr>
        <w:t> </w:t>
      </w:r>
      <w:r>
        <w:rPr/>
        <w:t>document,</w:t>
      </w:r>
      <w:r>
        <w:rPr>
          <w:spacing w:val="-2"/>
        </w:rPr>
        <w:t> </w:t>
      </w:r>
      <w:r>
        <w:rPr/>
        <w:t>by</w:t>
      </w:r>
      <w:r>
        <w:rPr>
          <w:w w:val="99"/>
        </w:rPr>
        <w:t> </w:t>
      </w:r>
      <w:r>
        <w:rPr/>
        <w:t>5pm on 11 April</w:t>
      </w:r>
      <w:r>
        <w:rPr>
          <w:spacing w:val="-8"/>
        </w:rPr>
        <w:t> </w:t>
      </w:r>
      <w:r>
        <w:rPr/>
        <w:t>2022.</w:t>
      </w:r>
    </w:p>
    <w:p>
      <w:pPr>
        <w:pStyle w:val="BodyText"/>
        <w:tabs>
          <w:tab w:pos="970" w:val="left" w:leader="none"/>
        </w:tabs>
        <w:spacing w:line="276" w:lineRule="auto" w:before="119"/>
        <w:ind w:left="970" w:right="288" w:hanging="851"/>
      </w:pPr>
      <w:r>
        <w:rPr/>
        <w:t>A1.2</w:t>
        <w:tab/>
        <w:t>You can download a response form</w:t>
      </w:r>
      <w:r>
        <w:rPr>
          <w:spacing w:val="-33"/>
        </w:rPr>
        <w:t> </w:t>
      </w:r>
      <w:r>
        <w:rPr/>
        <w:t>from</w:t>
      </w:r>
      <w:r>
        <w:rPr>
          <w:spacing w:val="-6"/>
        </w:rPr>
        <w:t> </w:t>
      </w:r>
      <w:hyperlink r:id="rId34">
        <w:r>
          <w:rPr>
            <w:color w:val="C70044"/>
            <w:u w:val="single" w:color="C70044"/>
          </w:rPr>
          <w:t>https://www.ofcom.org.uk/consultations-and-</w:t>
        </w:r>
      </w:hyperlink>
      <w:r>
        <w:rPr>
          <w:color w:val="C70044"/>
          <w:w w:val="99"/>
        </w:rPr>
        <w:t> </w:t>
      </w:r>
      <w:hyperlink r:id="rId34">
        <w:r>
          <w:rPr>
            <w:color w:val="C70044"/>
            <w:u w:val="single" w:color="C70044"/>
          </w:rPr>
          <w:t>statements/category-2/spectrum-sharing-upper-6-ghz-band</w:t>
        </w:r>
        <w:r>
          <w:rPr/>
          <w:t>.</w:t>
        </w:r>
      </w:hyperlink>
      <w:r>
        <w:rPr/>
        <w:t> You can return this by email or post to the address provided in the response</w:t>
      </w:r>
      <w:r>
        <w:rPr>
          <w:spacing w:val="-25"/>
        </w:rPr>
        <w:t> </w:t>
      </w:r>
      <w:r>
        <w:rPr/>
        <w:t>form.</w:t>
      </w:r>
    </w:p>
    <w:p>
      <w:pPr>
        <w:pStyle w:val="BodyText"/>
        <w:tabs>
          <w:tab w:pos="970" w:val="left" w:leader="none"/>
        </w:tabs>
        <w:spacing w:line="276" w:lineRule="auto" w:before="119"/>
        <w:ind w:left="970" w:right="130" w:hanging="851"/>
      </w:pPr>
      <w:r>
        <w:rPr/>
        <w:t>A1.3</w:t>
        <w:tab/>
        <w:t>If</w:t>
      </w:r>
      <w:r>
        <w:rPr>
          <w:spacing w:val="-3"/>
        </w:rPr>
        <w:t> </w:t>
      </w:r>
      <w:r>
        <w:rPr/>
        <w:t>your</w:t>
      </w:r>
      <w:r>
        <w:rPr>
          <w:spacing w:val="-3"/>
        </w:rPr>
        <w:t> </w:t>
      </w:r>
      <w:r>
        <w:rPr/>
        <w:t>response</w:t>
      </w:r>
      <w:r>
        <w:rPr>
          <w:spacing w:val="-3"/>
        </w:rPr>
        <w:t> </w:t>
      </w:r>
      <w:r>
        <w:rPr/>
        <w:t>is</w:t>
      </w:r>
      <w:r>
        <w:rPr>
          <w:spacing w:val="-3"/>
        </w:rPr>
        <w:t> </w:t>
      </w:r>
      <w:r>
        <w:rPr/>
        <w:t>a</w:t>
      </w:r>
      <w:r>
        <w:rPr>
          <w:spacing w:val="-3"/>
        </w:rPr>
        <w:t> </w:t>
      </w:r>
      <w:r>
        <w:rPr/>
        <w:t>large</w:t>
      </w:r>
      <w:r>
        <w:rPr>
          <w:spacing w:val="-2"/>
        </w:rPr>
        <w:t> </w:t>
      </w:r>
      <w:r>
        <w:rPr/>
        <w:t>file,</w:t>
      </w:r>
      <w:r>
        <w:rPr>
          <w:spacing w:val="-3"/>
        </w:rPr>
        <w:t> </w:t>
      </w:r>
      <w:r>
        <w:rPr/>
        <w:t>or</w:t>
      </w:r>
      <w:r>
        <w:rPr>
          <w:spacing w:val="-3"/>
        </w:rPr>
        <w:t> </w:t>
      </w:r>
      <w:r>
        <w:rPr/>
        <w:t>has</w:t>
      </w:r>
      <w:r>
        <w:rPr>
          <w:spacing w:val="-3"/>
        </w:rPr>
        <w:t> </w:t>
      </w:r>
      <w:r>
        <w:rPr/>
        <w:t>supporting</w:t>
      </w:r>
      <w:r>
        <w:rPr>
          <w:spacing w:val="-2"/>
        </w:rPr>
        <w:t> </w:t>
      </w:r>
      <w:r>
        <w:rPr/>
        <w:t>charts,</w:t>
      </w:r>
      <w:r>
        <w:rPr>
          <w:spacing w:val="-3"/>
        </w:rPr>
        <w:t> </w:t>
      </w:r>
      <w:r>
        <w:rPr/>
        <w:t>tables</w:t>
      </w:r>
      <w:r>
        <w:rPr>
          <w:spacing w:val="-3"/>
        </w:rPr>
        <w:t> </w:t>
      </w:r>
      <w:r>
        <w:rPr/>
        <w:t>or</w:t>
      </w:r>
      <w:r>
        <w:rPr>
          <w:spacing w:val="-3"/>
        </w:rPr>
        <w:t> </w:t>
      </w:r>
      <w:r>
        <w:rPr/>
        <w:t>other</w:t>
      </w:r>
      <w:r>
        <w:rPr>
          <w:spacing w:val="-2"/>
        </w:rPr>
        <w:t> </w:t>
      </w:r>
      <w:r>
        <w:rPr/>
        <w:t>data,</w:t>
      </w:r>
      <w:r>
        <w:rPr>
          <w:spacing w:val="-3"/>
        </w:rPr>
        <w:t> </w:t>
      </w:r>
      <w:r>
        <w:rPr/>
        <w:t>please</w:t>
      </w:r>
      <w:r>
        <w:rPr>
          <w:spacing w:val="-3"/>
        </w:rPr>
        <w:t> </w:t>
      </w:r>
      <w:r>
        <w:rPr/>
        <w:t>email</w:t>
      </w:r>
      <w:r>
        <w:rPr>
          <w:spacing w:val="-3"/>
        </w:rPr>
        <w:t> </w:t>
      </w:r>
      <w:r>
        <w:rPr/>
        <w:t>it</w:t>
      </w:r>
      <w:r>
        <w:rPr>
          <w:w w:val="99"/>
        </w:rPr>
        <w:t> </w:t>
      </w:r>
      <w:r>
        <w:rPr/>
        <w:t>to </w:t>
      </w:r>
      <w:hyperlink r:id="rId35">
        <w:r>
          <w:rPr>
            <w:color w:val="C70044"/>
            <w:u w:val="single" w:color="C70044"/>
          </w:rPr>
          <w:t>SharedAccess6GHz@ofcom.org.uk</w:t>
        </w:r>
        <w:r>
          <w:rPr/>
          <w:t>,</w:t>
        </w:r>
      </w:hyperlink>
      <w:r>
        <w:rPr/>
        <w:t> as an attachment in Microsoft Word format, together</w:t>
      </w:r>
      <w:r>
        <w:rPr>
          <w:spacing w:val="-4"/>
        </w:rPr>
        <w:t> </w:t>
      </w:r>
      <w:r>
        <w:rPr/>
        <w:t>with</w:t>
      </w:r>
      <w:r>
        <w:rPr>
          <w:spacing w:val="-3"/>
        </w:rPr>
        <w:t> </w:t>
      </w:r>
      <w:r>
        <w:rPr/>
        <w:t>the</w:t>
      </w:r>
      <w:r>
        <w:rPr>
          <w:spacing w:val="-3"/>
        </w:rPr>
        <w:t> </w:t>
      </w:r>
      <w:hyperlink r:id="rId36">
        <w:r>
          <w:rPr>
            <w:color w:val="C70044"/>
            <w:u w:val="single" w:color="C70044"/>
          </w:rPr>
          <w:t>cover</w:t>
        </w:r>
        <w:r>
          <w:rPr>
            <w:color w:val="C70044"/>
            <w:spacing w:val="-4"/>
            <w:u w:val="single" w:color="C70044"/>
          </w:rPr>
          <w:t> </w:t>
        </w:r>
        <w:r>
          <w:rPr>
            <w:color w:val="C70044"/>
            <w:u w:val="single" w:color="C70044"/>
          </w:rPr>
          <w:t>sheet</w:t>
        </w:r>
        <w:r>
          <w:rPr/>
          <w:t>.</w:t>
        </w:r>
      </w:hyperlink>
      <w:r>
        <w:rPr>
          <w:spacing w:val="-3"/>
        </w:rPr>
        <w:t> </w:t>
      </w:r>
      <w:r>
        <w:rPr/>
        <w:t>This</w:t>
      </w:r>
      <w:r>
        <w:rPr>
          <w:spacing w:val="-2"/>
        </w:rPr>
        <w:t> </w:t>
      </w:r>
      <w:r>
        <w:rPr/>
        <w:t>email</w:t>
      </w:r>
      <w:r>
        <w:rPr>
          <w:spacing w:val="-4"/>
        </w:rPr>
        <w:t> </w:t>
      </w:r>
      <w:r>
        <w:rPr/>
        <w:t>address</w:t>
      </w:r>
      <w:r>
        <w:rPr>
          <w:spacing w:val="-4"/>
        </w:rPr>
        <w:t> </w:t>
      </w:r>
      <w:r>
        <w:rPr/>
        <w:t>is</w:t>
      </w:r>
      <w:r>
        <w:rPr>
          <w:spacing w:val="-4"/>
        </w:rPr>
        <w:t> </w:t>
      </w:r>
      <w:r>
        <w:rPr/>
        <w:t>for</w:t>
      </w:r>
      <w:r>
        <w:rPr>
          <w:spacing w:val="-4"/>
        </w:rPr>
        <w:t> </w:t>
      </w:r>
      <w:r>
        <w:rPr/>
        <w:t>this</w:t>
      </w:r>
      <w:r>
        <w:rPr>
          <w:spacing w:val="-4"/>
        </w:rPr>
        <w:t> </w:t>
      </w:r>
      <w:r>
        <w:rPr/>
        <w:t>consultation</w:t>
      </w:r>
      <w:r>
        <w:rPr>
          <w:spacing w:val="-4"/>
        </w:rPr>
        <w:t> </w:t>
      </w:r>
      <w:r>
        <w:rPr/>
        <w:t>only.</w:t>
      </w:r>
    </w:p>
    <w:p>
      <w:pPr>
        <w:pStyle w:val="BodyText"/>
        <w:tabs>
          <w:tab w:pos="970" w:val="left" w:leader="none"/>
        </w:tabs>
        <w:spacing w:line="276" w:lineRule="auto" w:before="119"/>
        <w:ind w:left="970" w:right="288" w:hanging="851"/>
      </w:pPr>
      <w:r>
        <w:rPr/>
        <w:t>A1.4</w:t>
        <w:tab/>
        <w:t>Responses</w:t>
      </w:r>
      <w:r>
        <w:rPr>
          <w:spacing w:val="-4"/>
        </w:rPr>
        <w:t> </w:t>
      </w:r>
      <w:r>
        <w:rPr/>
        <w:t>may</w:t>
      </w:r>
      <w:r>
        <w:rPr>
          <w:spacing w:val="-4"/>
        </w:rPr>
        <w:t> </w:t>
      </w:r>
      <w:r>
        <w:rPr/>
        <w:t>alternatively</w:t>
      </w:r>
      <w:r>
        <w:rPr>
          <w:spacing w:val="-4"/>
        </w:rPr>
        <w:t> </w:t>
      </w:r>
      <w:r>
        <w:rPr/>
        <w:t>be</w:t>
      </w:r>
      <w:r>
        <w:rPr>
          <w:spacing w:val="-3"/>
        </w:rPr>
        <w:t> </w:t>
      </w:r>
      <w:r>
        <w:rPr/>
        <w:t>posted</w:t>
      </w:r>
      <w:r>
        <w:rPr>
          <w:spacing w:val="-3"/>
        </w:rPr>
        <w:t> </w:t>
      </w:r>
      <w:r>
        <w:rPr/>
        <w:t>to</w:t>
      </w:r>
      <w:r>
        <w:rPr>
          <w:spacing w:val="-3"/>
        </w:rPr>
        <w:t> </w:t>
      </w:r>
      <w:r>
        <w:rPr/>
        <w:t>the</w:t>
      </w:r>
      <w:r>
        <w:rPr>
          <w:spacing w:val="-3"/>
        </w:rPr>
        <w:t> </w:t>
      </w:r>
      <w:r>
        <w:rPr/>
        <w:t>address</w:t>
      </w:r>
      <w:r>
        <w:rPr>
          <w:spacing w:val="-4"/>
        </w:rPr>
        <w:t> </w:t>
      </w:r>
      <w:r>
        <w:rPr/>
        <w:t>below,</w:t>
      </w:r>
      <w:r>
        <w:rPr>
          <w:spacing w:val="-4"/>
        </w:rPr>
        <w:t> </w:t>
      </w:r>
      <w:r>
        <w:rPr/>
        <w:t>marked</w:t>
      </w:r>
      <w:r>
        <w:rPr>
          <w:spacing w:val="-4"/>
        </w:rPr>
        <w:t> </w:t>
      </w:r>
      <w:r>
        <w:rPr/>
        <w:t>with</w:t>
      </w:r>
      <w:r>
        <w:rPr>
          <w:spacing w:val="-3"/>
        </w:rPr>
        <w:t> </w:t>
      </w:r>
      <w:r>
        <w:rPr/>
        <w:t>the</w:t>
      </w:r>
      <w:r>
        <w:rPr>
          <w:spacing w:val="-3"/>
        </w:rPr>
        <w:t> </w:t>
      </w:r>
      <w:r>
        <w:rPr/>
        <w:t>title</w:t>
      </w:r>
      <w:r>
        <w:rPr>
          <w:spacing w:val="-4"/>
        </w:rPr>
        <w:t> </w:t>
      </w:r>
      <w:r>
        <w:rPr/>
        <w:t>of</w:t>
      </w:r>
      <w:r>
        <w:rPr>
          <w:spacing w:val="-3"/>
        </w:rPr>
        <w:t> </w:t>
      </w:r>
      <w:r>
        <w:rPr/>
        <w:t>the</w:t>
      </w:r>
      <w:r>
        <w:rPr>
          <w:w w:val="99"/>
        </w:rPr>
        <w:t> </w:t>
      </w:r>
      <w:r>
        <w:rPr/>
        <w:t>consultation:</w:t>
      </w:r>
    </w:p>
    <w:p>
      <w:pPr>
        <w:pStyle w:val="BodyText"/>
        <w:spacing w:before="1"/>
        <w:rPr>
          <w:sz w:val="25"/>
        </w:rPr>
      </w:pPr>
    </w:p>
    <w:p>
      <w:pPr>
        <w:pStyle w:val="BodyText"/>
        <w:spacing w:line="276" w:lineRule="auto" w:before="1"/>
        <w:ind w:left="970" w:right="4675"/>
      </w:pPr>
      <w:r>
        <w:rPr/>
        <w:t>Spectrum Management &amp; Authorisation Ofcom</w:t>
      </w:r>
    </w:p>
    <w:p>
      <w:pPr>
        <w:pStyle w:val="BodyText"/>
        <w:spacing w:line="268" w:lineRule="exact"/>
        <w:ind w:left="970"/>
      </w:pPr>
      <w:r>
        <w:rPr/>
        <w:t>Riverside House</w:t>
      </w:r>
    </w:p>
    <w:p>
      <w:pPr>
        <w:pStyle w:val="BodyText"/>
        <w:spacing w:line="276" w:lineRule="auto" w:before="39"/>
        <w:ind w:left="970" w:right="5878"/>
      </w:pPr>
      <w:r>
        <w:rPr/>
        <w:t>2A Southwark Bridge Road London SE1 9HA</w:t>
      </w:r>
    </w:p>
    <w:p>
      <w:pPr>
        <w:pStyle w:val="BodyText"/>
        <w:tabs>
          <w:tab w:pos="970" w:val="left" w:leader="none"/>
        </w:tabs>
        <w:spacing w:line="276" w:lineRule="auto" w:before="119"/>
        <w:ind w:left="970" w:right="402" w:hanging="851"/>
      </w:pPr>
      <w:r>
        <w:rPr/>
        <w:t>A1.5</w:t>
        <w:tab/>
        <w:t>We</w:t>
      </w:r>
      <w:r>
        <w:rPr>
          <w:spacing w:val="-4"/>
        </w:rPr>
        <w:t> </w:t>
      </w:r>
      <w:r>
        <w:rPr/>
        <w:t>welcome</w:t>
      </w:r>
      <w:r>
        <w:rPr>
          <w:spacing w:val="-3"/>
        </w:rPr>
        <w:t> </w:t>
      </w:r>
      <w:r>
        <w:rPr/>
        <w:t>responses</w:t>
      </w:r>
      <w:r>
        <w:rPr>
          <w:spacing w:val="-4"/>
        </w:rPr>
        <w:t> </w:t>
      </w:r>
      <w:r>
        <w:rPr/>
        <w:t>in</w:t>
      </w:r>
      <w:r>
        <w:rPr>
          <w:spacing w:val="-3"/>
        </w:rPr>
        <w:t> </w:t>
      </w:r>
      <w:r>
        <w:rPr/>
        <w:t>formats</w:t>
      </w:r>
      <w:r>
        <w:rPr>
          <w:spacing w:val="-4"/>
        </w:rPr>
        <w:t> </w:t>
      </w:r>
      <w:r>
        <w:rPr/>
        <w:t>other</w:t>
      </w:r>
      <w:r>
        <w:rPr>
          <w:spacing w:val="-4"/>
        </w:rPr>
        <w:t> </w:t>
      </w:r>
      <w:r>
        <w:rPr/>
        <w:t>than</w:t>
      </w:r>
      <w:r>
        <w:rPr>
          <w:spacing w:val="-3"/>
        </w:rPr>
        <w:t> </w:t>
      </w:r>
      <w:r>
        <w:rPr/>
        <w:t>print,</w:t>
      </w:r>
      <w:r>
        <w:rPr>
          <w:spacing w:val="-4"/>
        </w:rPr>
        <w:t> </w:t>
      </w:r>
      <w:r>
        <w:rPr/>
        <w:t>for</w:t>
      </w:r>
      <w:r>
        <w:rPr>
          <w:spacing w:val="-4"/>
        </w:rPr>
        <w:t> </w:t>
      </w:r>
      <w:r>
        <w:rPr/>
        <w:t>example</w:t>
      </w:r>
      <w:r>
        <w:rPr>
          <w:spacing w:val="-4"/>
        </w:rPr>
        <w:t> </w:t>
      </w:r>
      <w:r>
        <w:rPr/>
        <w:t>an</w:t>
      </w:r>
      <w:r>
        <w:rPr>
          <w:spacing w:val="-4"/>
        </w:rPr>
        <w:t> </w:t>
      </w:r>
      <w:r>
        <w:rPr/>
        <w:t>audio</w:t>
      </w:r>
      <w:r>
        <w:rPr>
          <w:spacing w:val="-3"/>
        </w:rPr>
        <w:t> </w:t>
      </w:r>
      <w:r>
        <w:rPr/>
        <w:t>recording</w:t>
      </w:r>
      <w:r>
        <w:rPr>
          <w:spacing w:val="-4"/>
        </w:rPr>
        <w:t> </w:t>
      </w:r>
      <w:r>
        <w:rPr/>
        <w:t>or</w:t>
      </w:r>
      <w:r>
        <w:rPr>
          <w:spacing w:val="-4"/>
        </w:rPr>
        <w:t> </w:t>
      </w:r>
      <w:r>
        <w:rPr/>
        <w:t>a</w:t>
      </w:r>
      <w:r>
        <w:rPr>
          <w:w w:val="99"/>
        </w:rPr>
        <w:t> </w:t>
      </w:r>
      <w:r>
        <w:rPr/>
        <w:t>British Sign Language video.  To respond in</w:t>
      </w:r>
      <w:r>
        <w:rPr>
          <w:spacing w:val="-20"/>
        </w:rPr>
        <w:t> </w:t>
      </w:r>
      <w:r>
        <w:rPr/>
        <w:t>BSL:</w:t>
      </w:r>
    </w:p>
    <w:p>
      <w:pPr>
        <w:pStyle w:val="ListParagraph"/>
        <w:numPr>
          <w:ilvl w:val="0"/>
          <w:numId w:val="5"/>
        </w:numPr>
        <w:tabs>
          <w:tab w:pos="1311" w:val="left" w:leader="none"/>
          <w:tab w:pos="1312" w:val="left" w:leader="none"/>
        </w:tabs>
        <w:spacing w:line="276" w:lineRule="auto" w:before="119" w:after="0"/>
        <w:ind w:left="1311" w:right="649" w:hanging="341"/>
        <w:jc w:val="left"/>
        <w:rPr>
          <w:sz w:val="22"/>
        </w:rPr>
      </w:pPr>
      <w:r>
        <w:rPr>
          <w:sz w:val="22"/>
        </w:rPr>
        <w:t>Send us a recording of you signing your response. This should be no longer than 5 minutes. Suitable file formats are DVDs, wmv or QuickTime files.</w:t>
      </w:r>
      <w:r>
        <w:rPr>
          <w:spacing w:val="-34"/>
          <w:sz w:val="22"/>
        </w:rPr>
        <w:t> </w:t>
      </w:r>
      <w:r>
        <w:rPr>
          <w:sz w:val="22"/>
        </w:rPr>
        <w:t>Or</w:t>
      </w:r>
    </w:p>
    <w:p>
      <w:pPr>
        <w:pStyle w:val="ListParagraph"/>
        <w:numPr>
          <w:ilvl w:val="0"/>
          <w:numId w:val="5"/>
        </w:numPr>
        <w:tabs>
          <w:tab w:pos="1311" w:val="left" w:leader="none"/>
          <w:tab w:pos="1312" w:val="left" w:leader="none"/>
        </w:tabs>
        <w:spacing w:line="276" w:lineRule="auto" w:before="0" w:after="0"/>
        <w:ind w:left="1311" w:right="400" w:hanging="341"/>
        <w:jc w:val="left"/>
        <w:rPr>
          <w:sz w:val="22"/>
        </w:rPr>
      </w:pPr>
      <w:r>
        <w:rPr>
          <w:sz w:val="22"/>
        </w:rPr>
        <w:t>Upload a video of you signing your response directly to YouTube (or another hosting site) and send us the</w:t>
      </w:r>
      <w:r>
        <w:rPr>
          <w:spacing w:val="-10"/>
          <w:sz w:val="22"/>
        </w:rPr>
        <w:t> </w:t>
      </w:r>
      <w:r>
        <w:rPr>
          <w:sz w:val="22"/>
        </w:rPr>
        <w:t>link.</w:t>
      </w:r>
    </w:p>
    <w:p>
      <w:pPr>
        <w:pStyle w:val="BodyText"/>
        <w:tabs>
          <w:tab w:pos="970" w:val="left" w:leader="none"/>
        </w:tabs>
        <w:spacing w:line="276" w:lineRule="auto" w:before="119"/>
        <w:ind w:left="970" w:right="790" w:hanging="851"/>
      </w:pPr>
      <w:r>
        <w:rPr/>
        <w:t>A1.6</w:t>
        <w:tab/>
        <w:t>We</w:t>
      </w:r>
      <w:r>
        <w:rPr>
          <w:spacing w:val="-3"/>
        </w:rPr>
        <w:t> </w:t>
      </w:r>
      <w:r>
        <w:rPr/>
        <w:t>will</w:t>
      </w:r>
      <w:r>
        <w:rPr>
          <w:spacing w:val="-3"/>
        </w:rPr>
        <w:t> </w:t>
      </w:r>
      <w:r>
        <w:rPr/>
        <w:t>publish</w:t>
      </w:r>
      <w:r>
        <w:rPr>
          <w:spacing w:val="-3"/>
        </w:rPr>
        <w:t> </w:t>
      </w:r>
      <w:r>
        <w:rPr/>
        <w:t>a</w:t>
      </w:r>
      <w:r>
        <w:rPr>
          <w:spacing w:val="-3"/>
        </w:rPr>
        <w:t> </w:t>
      </w:r>
      <w:r>
        <w:rPr/>
        <w:t>transcript</w:t>
      </w:r>
      <w:r>
        <w:rPr>
          <w:spacing w:val="-3"/>
        </w:rPr>
        <w:t> </w:t>
      </w:r>
      <w:r>
        <w:rPr/>
        <w:t>of</w:t>
      </w:r>
      <w:r>
        <w:rPr>
          <w:spacing w:val="-3"/>
        </w:rPr>
        <w:t> </w:t>
      </w:r>
      <w:r>
        <w:rPr/>
        <w:t>any</w:t>
      </w:r>
      <w:r>
        <w:rPr>
          <w:spacing w:val="-3"/>
        </w:rPr>
        <w:t> </w:t>
      </w:r>
      <w:r>
        <w:rPr/>
        <w:t>audio</w:t>
      </w:r>
      <w:r>
        <w:rPr>
          <w:spacing w:val="-3"/>
        </w:rPr>
        <w:t> </w:t>
      </w:r>
      <w:r>
        <w:rPr/>
        <w:t>or</w:t>
      </w:r>
      <w:r>
        <w:rPr>
          <w:spacing w:val="-3"/>
        </w:rPr>
        <w:t> </w:t>
      </w:r>
      <w:r>
        <w:rPr/>
        <w:t>video</w:t>
      </w:r>
      <w:r>
        <w:rPr>
          <w:spacing w:val="-3"/>
        </w:rPr>
        <w:t> </w:t>
      </w:r>
      <w:r>
        <w:rPr/>
        <w:t>responses</w:t>
      </w:r>
      <w:r>
        <w:rPr>
          <w:spacing w:val="-3"/>
        </w:rPr>
        <w:t> </w:t>
      </w:r>
      <w:r>
        <w:rPr/>
        <w:t>we</w:t>
      </w:r>
      <w:r>
        <w:rPr>
          <w:spacing w:val="-3"/>
        </w:rPr>
        <w:t> </w:t>
      </w:r>
      <w:r>
        <w:rPr/>
        <w:t>receive</w:t>
      </w:r>
      <w:r>
        <w:rPr>
          <w:spacing w:val="-3"/>
        </w:rPr>
        <w:t> </w:t>
      </w:r>
      <w:r>
        <w:rPr/>
        <w:t>(unless</w:t>
      </w:r>
      <w:r>
        <w:rPr>
          <w:spacing w:val="-2"/>
        </w:rPr>
        <w:t> </w:t>
      </w:r>
      <w:r>
        <w:rPr/>
        <w:t>your</w:t>
      </w:r>
      <w:r>
        <w:rPr>
          <w:spacing w:val="-1"/>
          <w:w w:val="99"/>
        </w:rPr>
        <w:t> </w:t>
      </w:r>
      <w:r>
        <w:rPr/>
        <w:t>response is</w:t>
      </w:r>
      <w:r>
        <w:rPr>
          <w:spacing w:val="-19"/>
        </w:rPr>
        <w:t> </w:t>
      </w:r>
      <w:r>
        <w:rPr/>
        <w:t>confidential)</w:t>
      </w:r>
    </w:p>
    <w:p>
      <w:pPr>
        <w:pStyle w:val="BodyText"/>
        <w:tabs>
          <w:tab w:pos="970" w:val="left" w:leader="none"/>
        </w:tabs>
        <w:spacing w:line="276" w:lineRule="auto" w:before="119"/>
        <w:ind w:left="970" w:right="490" w:hanging="851"/>
      </w:pPr>
      <w:r>
        <w:rPr/>
        <w:t>A1.7</w:t>
        <w:tab/>
        <w:t>We</w:t>
      </w:r>
      <w:r>
        <w:rPr>
          <w:spacing w:val="-3"/>
        </w:rPr>
        <w:t> </w:t>
      </w:r>
      <w:r>
        <w:rPr/>
        <w:t>do</w:t>
      </w:r>
      <w:r>
        <w:rPr>
          <w:spacing w:val="-1"/>
        </w:rPr>
        <w:t> </w:t>
      </w:r>
      <w:r>
        <w:rPr/>
        <w:t>not</w:t>
      </w:r>
      <w:r>
        <w:rPr>
          <w:spacing w:val="-3"/>
        </w:rPr>
        <w:t> </w:t>
      </w:r>
      <w:r>
        <w:rPr/>
        <w:t>need</w:t>
      </w:r>
      <w:r>
        <w:rPr>
          <w:spacing w:val="-3"/>
        </w:rPr>
        <w:t> </w:t>
      </w:r>
      <w:r>
        <w:rPr/>
        <w:t>a</w:t>
      </w:r>
      <w:r>
        <w:rPr>
          <w:spacing w:val="-1"/>
        </w:rPr>
        <w:t> </w:t>
      </w:r>
      <w:r>
        <w:rPr/>
        <w:t>paper</w:t>
      </w:r>
      <w:r>
        <w:rPr>
          <w:spacing w:val="-2"/>
        </w:rPr>
        <w:t> </w:t>
      </w:r>
      <w:r>
        <w:rPr/>
        <w:t>copy</w:t>
      </w:r>
      <w:r>
        <w:rPr>
          <w:spacing w:val="-3"/>
        </w:rPr>
        <w:t> </w:t>
      </w:r>
      <w:r>
        <w:rPr/>
        <w:t>of</w:t>
      </w:r>
      <w:r>
        <w:rPr>
          <w:spacing w:val="-3"/>
        </w:rPr>
        <w:t> </w:t>
      </w:r>
      <w:r>
        <w:rPr/>
        <w:t>your</w:t>
      </w:r>
      <w:r>
        <w:rPr>
          <w:spacing w:val="-3"/>
        </w:rPr>
        <w:t> </w:t>
      </w:r>
      <w:r>
        <w:rPr/>
        <w:t>response</w:t>
      </w:r>
      <w:r>
        <w:rPr>
          <w:spacing w:val="-3"/>
        </w:rPr>
        <w:t> </w:t>
      </w:r>
      <w:r>
        <w:rPr/>
        <w:t>as</w:t>
      </w:r>
      <w:r>
        <w:rPr>
          <w:spacing w:val="-3"/>
        </w:rPr>
        <w:t> </w:t>
      </w:r>
      <w:r>
        <w:rPr/>
        <w:t>well</w:t>
      </w:r>
      <w:r>
        <w:rPr>
          <w:spacing w:val="-2"/>
        </w:rPr>
        <w:t> </w:t>
      </w:r>
      <w:r>
        <w:rPr/>
        <w:t>as</w:t>
      </w:r>
      <w:r>
        <w:rPr>
          <w:spacing w:val="-3"/>
        </w:rPr>
        <w:t> </w:t>
      </w:r>
      <w:r>
        <w:rPr/>
        <w:t>an</w:t>
      </w:r>
      <w:r>
        <w:rPr>
          <w:spacing w:val="-3"/>
        </w:rPr>
        <w:t> </w:t>
      </w:r>
      <w:r>
        <w:rPr/>
        <w:t>electronic</w:t>
      </w:r>
      <w:r>
        <w:rPr>
          <w:spacing w:val="-3"/>
        </w:rPr>
        <w:t> </w:t>
      </w:r>
      <w:r>
        <w:rPr/>
        <w:t>version.</w:t>
      </w:r>
      <w:r>
        <w:rPr>
          <w:spacing w:val="-1"/>
        </w:rPr>
        <w:t> </w:t>
      </w:r>
      <w:r>
        <w:rPr/>
        <w:t>We</w:t>
      </w:r>
      <w:r>
        <w:rPr>
          <w:spacing w:val="-3"/>
        </w:rPr>
        <w:t> </w:t>
      </w:r>
      <w:r>
        <w:rPr/>
        <w:t>will</w:t>
      </w:r>
      <w:r>
        <w:rPr>
          <w:spacing w:val="-1"/>
          <w:w w:val="99"/>
        </w:rPr>
        <w:t> </w:t>
      </w:r>
      <w:r>
        <w:rPr/>
        <w:t>acknowledge receipt if your response is submitted via the online web form, but not otherwise.</w:t>
      </w:r>
    </w:p>
    <w:p>
      <w:pPr>
        <w:pStyle w:val="BodyText"/>
        <w:tabs>
          <w:tab w:pos="970" w:val="left" w:leader="none"/>
        </w:tabs>
        <w:spacing w:line="276" w:lineRule="auto" w:before="119"/>
        <w:ind w:left="970" w:right="130" w:hanging="851"/>
      </w:pPr>
      <w:r>
        <w:rPr/>
        <w:t>A1.8</w:t>
        <w:tab/>
        <w:t>You</w:t>
      </w:r>
      <w:r>
        <w:rPr>
          <w:spacing w:val="-3"/>
        </w:rPr>
        <w:t> </w:t>
      </w:r>
      <w:r>
        <w:rPr/>
        <w:t>do</w:t>
      </w:r>
      <w:r>
        <w:rPr>
          <w:spacing w:val="-1"/>
        </w:rPr>
        <w:t> </w:t>
      </w:r>
      <w:r>
        <w:rPr/>
        <w:t>not</w:t>
      </w:r>
      <w:r>
        <w:rPr>
          <w:spacing w:val="-3"/>
        </w:rPr>
        <w:t> </w:t>
      </w:r>
      <w:r>
        <w:rPr/>
        <w:t>have</w:t>
      </w:r>
      <w:r>
        <w:rPr>
          <w:spacing w:val="-3"/>
        </w:rPr>
        <w:t> </w:t>
      </w:r>
      <w:r>
        <w:rPr/>
        <w:t>to</w:t>
      </w:r>
      <w:r>
        <w:rPr>
          <w:spacing w:val="-2"/>
        </w:rPr>
        <w:t> </w:t>
      </w:r>
      <w:r>
        <w:rPr/>
        <w:t>answer</w:t>
      </w:r>
      <w:r>
        <w:rPr>
          <w:spacing w:val="-3"/>
        </w:rPr>
        <w:t> </w:t>
      </w:r>
      <w:r>
        <w:rPr/>
        <w:t>all</w:t>
      </w:r>
      <w:r>
        <w:rPr>
          <w:spacing w:val="-3"/>
        </w:rPr>
        <w:t> </w:t>
      </w:r>
      <w:r>
        <w:rPr/>
        <w:t>the</w:t>
      </w:r>
      <w:r>
        <w:rPr>
          <w:spacing w:val="-3"/>
        </w:rPr>
        <w:t> </w:t>
      </w:r>
      <w:r>
        <w:rPr/>
        <w:t>questions</w:t>
      </w:r>
      <w:r>
        <w:rPr>
          <w:spacing w:val="-3"/>
        </w:rPr>
        <w:t> </w:t>
      </w:r>
      <w:r>
        <w:rPr/>
        <w:t>in</w:t>
      </w:r>
      <w:r>
        <w:rPr>
          <w:spacing w:val="-2"/>
        </w:rPr>
        <w:t> </w:t>
      </w:r>
      <w:r>
        <w:rPr/>
        <w:t>the</w:t>
      </w:r>
      <w:r>
        <w:rPr>
          <w:spacing w:val="-2"/>
        </w:rPr>
        <w:t> </w:t>
      </w:r>
      <w:r>
        <w:rPr/>
        <w:t>consultation</w:t>
      </w:r>
      <w:r>
        <w:rPr>
          <w:spacing w:val="-3"/>
        </w:rPr>
        <w:t> </w:t>
      </w:r>
      <w:r>
        <w:rPr/>
        <w:t>if</w:t>
      </w:r>
      <w:r>
        <w:rPr>
          <w:spacing w:val="-2"/>
        </w:rPr>
        <w:t> </w:t>
      </w:r>
      <w:r>
        <w:rPr/>
        <w:t>you</w:t>
      </w:r>
      <w:r>
        <w:rPr>
          <w:spacing w:val="-3"/>
        </w:rPr>
        <w:t> </w:t>
      </w:r>
      <w:r>
        <w:rPr/>
        <w:t>do</w:t>
      </w:r>
      <w:r>
        <w:rPr>
          <w:spacing w:val="-1"/>
        </w:rPr>
        <w:t> </w:t>
      </w:r>
      <w:r>
        <w:rPr/>
        <w:t>not</w:t>
      </w:r>
      <w:r>
        <w:rPr>
          <w:spacing w:val="-3"/>
        </w:rPr>
        <w:t> </w:t>
      </w:r>
      <w:r>
        <w:rPr/>
        <w:t>have</w:t>
      </w:r>
      <w:r>
        <w:rPr>
          <w:spacing w:val="-3"/>
        </w:rPr>
        <w:t> </w:t>
      </w:r>
      <w:r>
        <w:rPr/>
        <w:t>a</w:t>
      </w:r>
      <w:r>
        <w:rPr>
          <w:spacing w:val="-3"/>
        </w:rPr>
        <w:t> </w:t>
      </w:r>
      <w:r>
        <w:rPr/>
        <w:t>view;</w:t>
      </w:r>
      <w:r>
        <w:rPr>
          <w:spacing w:val="-3"/>
        </w:rPr>
        <w:t> </w:t>
      </w:r>
      <w:r>
        <w:rPr/>
        <w:t>a</w:t>
      </w:r>
      <w:r>
        <w:rPr>
          <w:w w:val="99"/>
        </w:rPr>
        <w:t> </w:t>
      </w:r>
      <w:r>
        <w:rPr/>
        <w:t>short</w:t>
      </w:r>
      <w:r>
        <w:rPr>
          <w:spacing w:val="-4"/>
        </w:rPr>
        <w:t> </w:t>
      </w:r>
      <w:r>
        <w:rPr/>
        <w:t>response</w:t>
      </w:r>
      <w:r>
        <w:rPr>
          <w:spacing w:val="-4"/>
        </w:rPr>
        <w:t> </w:t>
      </w:r>
      <w:r>
        <w:rPr/>
        <w:t>on</w:t>
      </w:r>
      <w:r>
        <w:rPr>
          <w:spacing w:val="-4"/>
        </w:rPr>
        <w:t> </w:t>
      </w:r>
      <w:r>
        <w:rPr/>
        <w:t>just</w:t>
      </w:r>
      <w:r>
        <w:rPr>
          <w:spacing w:val="-3"/>
        </w:rPr>
        <w:t> </w:t>
      </w:r>
      <w:r>
        <w:rPr/>
        <w:t>one</w:t>
      </w:r>
      <w:r>
        <w:rPr>
          <w:spacing w:val="-3"/>
        </w:rPr>
        <w:t> </w:t>
      </w:r>
      <w:r>
        <w:rPr/>
        <w:t>point</w:t>
      </w:r>
      <w:r>
        <w:rPr>
          <w:spacing w:val="-4"/>
        </w:rPr>
        <w:t> </w:t>
      </w:r>
      <w:r>
        <w:rPr/>
        <w:t>is</w:t>
      </w:r>
      <w:r>
        <w:rPr>
          <w:spacing w:val="-4"/>
        </w:rPr>
        <w:t> </w:t>
      </w:r>
      <w:r>
        <w:rPr/>
        <w:t>fine.</w:t>
      </w:r>
      <w:r>
        <w:rPr>
          <w:spacing w:val="-2"/>
        </w:rPr>
        <w:t> </w:t>
      </w:r>
      <w:r>
        <w:rPr/>
        <w:t>We</w:t>
      </w:r>
      <w:r>
        <w:rPr>
          <w:spacing w:val="-4"/>
        </w:rPr>
        <w:t> </w:t>
      </w:r>
      <w:r>
        <w:rPr/>
        <w:t>also</w:t>
      </w:r>
      <w:r>
        <w:rPr>
          <w:spacing w:val="-3"/>
        </w:rPr>
        <w:t> </w:t>
      </w:r>
      <w:r>
        <w:rPr/>
        <w:t>welcome</w:t>
      </w:r>
      <w:r>
        <w:rPr>
          <w:spacing w:val="-4"/>
        </w:rPr>
        <w:t> </w:t>
      </w:r>
      <w:r>
        <w:rPr/>
        <w:t>joint</w:t>
      </w:r>
      <w:r>
        <w:rPr>
          <w:spacing w:val="-3"/>
        </w:rPr>
        <w:t> </w:t>
      </w:r>
      <w:r>
        <w:rPr/>
        <w:t>responses.</w:t>
      </w:r>
    </w:p>
    <w:p>
      <w:pPr>
        <w:pStyle w:val="BodyText"/>
        <w:tabs>
          <w:tab w:pos="970" w:val="left" w:leader="none"/>
        </w:tabs>
        <w:spacing w:line="276" w:lineRule="auto" w:before="119"/>
        <w:ind w:left="970" w:right="137" w:hanging="851"/>
      </w:pPr>
      <w:r>
        <w:rPr/>
        <w:t>A1.9</w:t>
        <w:tab/>
        <w:t>It</w:t>
      </w:r>
      <w:r>
        <w:rPr>
          <w:spacing w:val="-4"/>
        </w:rPr>
        <w:t> </w:t>
      </w:r>
      <w:r>
        <w:rPr/>
        <w:t>would</w:t>
      </w:r>
      <w:r>
        <w:rPr>
          <w:spacing w:val="-3"/>
        </w:rPr>
        <w:t> </w:t>
      </w:r>
      <w:r>
        <w:rPr/>
        <w:t>be</w:t>
      </w:r>
      <w:r>
        <w:rPr>
          <w:spacing w:val="-3"/>
        </w:rPr>
        <w:t> </w:t>
      </w:r>
      <w:r>
        <w:rPr/>
        <w:t>helpful</w:t>
      </w:r>
      <w:r>
        <w:rPr>
          <w:spacing w:val="-4"/>
        </w:rPr>
        <w:t> </w:t>
      </w:r>
      <w:r>
        <w:rPr/>
        <w:t>if</w:t>
      </w:r>
      <w:r>
        <w:rPr>
          <w:spacing w:val="-3"/>
        </w:rPr>
        <w:t> </w:t>
      </w:r>
      <w:r>
        <w:rPr/>
        <w:t>your</w:t>
      </w:r>
      <w:r>
        <w:rPr>
          <w:spacing w:val="-3"/>
        </w:rPr>
        <w:t> </w:t>
      </w:r>
      <w:r>
        <w:rPr/>
        <w:t>response</w:t>
      </w:r>
      <w:r>
        <w:rPr>
          <w:spacing w:val="-4"/>
        </w:rPr>
        <w:t> </w:t>
      </w:r>
      <w:r>
        <w:rPr/>
        <w:t>could</w:t>
      </w:r>
      <w:r>
        <w:rPr>
          <w:spacing w:val="-4"/>
        </w:rPr>
        <w:t> </w:t>
      </w:r>
      <w:r>
        <w:rPr/>
        <w:t>include</w:t>
      </w:r>
      <w:r>
        <w:rPr>
          <w:spacing w:val="-4"/>
        </w:rPr>
        <w:t> </w:t>
      </w:r>
      <w:r>
        <w:rPr/>
        <w:t>direct</w:t>
      </w:r>
      <w:r>
        <w:rPr>
          <w:spacing w:val="-3"/>
        </w:rPr>
        <w:t> </w:t>
      </w:r>
      <w:r>
        <w:rPr/>
        <w:t>answers</w:t>
      </w:r>
      <w:r>
        <w:rPr>
          <w:spacing w:val="-4"/>
        </w:rPr>
        <w:t> </w:t>
      </w:r>
      <w:r>
        <w:rPr/>
        <w:t>to</w:t>
      </w:r>
      <w:r>
        <w:rPr>
          <w:spacing w:val="-3"/>
        </w:rPr>
        <w:t> </w:t>
      </w:r>
      <w:r>
        <w:rPr/>
        <w:t>the</w:t>
      </w:r>
      <w:r>
        <w:rPr>
          <w:spacing w:val="-3"/>
        </w:rPr>
        <w:t> </w:t>
      </w:r>
      <w:r>
        <w:rPr/>
        <w:t>questions</w:t>
      </w:r>
      <w:r>
        <w:rPr>
          <w:spacing w:val="-4"/>
        </w:rPr>
        <w:t> </w:t>
      </w:r>
      <w:r>
        <w:rPr/>
        <w:t>asked</w:t>
      </w:r>
      <w:r>
        <w:rPr>
          <w:spacing w:val="-4"/>
        </w:rPr>
        <w:t> </w:t>
      </w:r>
      <w:r>
        <w:rPr/>
        <w:t>in</w:t>
      </w:r>
      <w:r>
        <w:rPr>
          <w:w w:val="99"/>
        </w:rPr>
        <w:t> </w:t>
      </w:r>
      <w:r>
        <w:rPr/>
        <w:t>the consultation document. The questions are listed at Annex 4. It would also help if you could explain why you hold your views, and what you think the effect of Ofcom’s proposals would</w:t>
      </w:r>
      <w:r>
        <w:rPr>
          <w:spacing w:val="-4"/>
        </w:rPr>
        <w:t> </w:t>
      </w:r>
      <w:r>
        <w:rPr/>
        <w:t>be.</w:t>
      </w:r>
    </w:p>
    <w:p>
      <w:pPr>
        <w:pStyle w:val="BodyText"/>
        <w:tabs>
          <w:tab w:pos="970" w:val="left" w:leader="none"/>
        </w:tabs>
        <w:spacing w:line="276" w:lineRule="auto" w:before="119"/>
        <w:ind w:left="970" w:right="357" w:hanging="851"/>
      </w:pPr>
      <w:r>
        <w:rPr/>
        <w:t>A1.10</w:t>
        <w:tab/>
        <w:t>If</w:t>
      </w:r>
      <w:r>
        <w:rPr>
          <w:spacing w:val="-4"/>
        </w:rPr>
        <w:t> </w:t>
      </w:r>
      <w:r>
        <w:rPr/>
        <w:t>you</w:t>
      </w:r>
      <w:r>
        <w:rPr>
          <w:spacing w:val="-4"/>
        </w:rPr>
        <w:t> </w:t>
      </w:r>
      <w:r>
        <w:rPr/>
        <w:t>want</w:t>
      </w:r>
      <w:r>
        <w:rPr>
          <w:spacing w:val="-4"/>
        </w:rPr>
        <w:t> </w:t>
      </w:r>
      <w:r>
        <w:rPr/>
        <w:t>to</w:t>
      </w:r>
      <w:r>
        <w:rPr>
          <w:spacing w:val="-3"/>
        </w:rPr>
        <w:t> </w:t>
      </w:r>
      <w:r>
        <w:rPr/>
        <w:t>discuss</w:t>
      </w:r>
      <w:r>
        <w:rPr>
          <w:spacing w:val="-4"/>
        </w:rPr>
        <w:t> </w:t>
      </w:r>
      <w:r>
        <w:rPr/>
        <w:t>the</w:t>
      </w:r>
      <w:r>
        <w:rPr>
          <w:spacing w:val="-3"/>
        </w:rPr>
        <w:t> </w:t>
      </w:r>
      <w:r>
        <w:rPr/>
        <w:t>issues</w:t>
      </w:r>
      <w:r>
        <w:rPr>
          <w:spacing w:val="-4"/>
        </w:rPr>
        <w:t> </w:t>
      </w:r>
      <w:r>
        <w:rPr/>
        <w:t>and</w:t>
      </w:r>
      <w:r>
        <w:rPr>
          <w:spacing w:val="-4"/>
        </w:rPr>
        <w:t> </w:t>
      </w:r>
      <w:r>
        <w:rPr/>
        <w:t>questions</w:t>
      </w:r>
      <w:r>
        <w:rPr>
          <w:spacing w:val="-4"/>
        </w:rPr>
        <w:t> </w:t>
      </w:r>
      <w:r>
        <w:rPr/>
        <w:t>raised</w:t>
      </w:r>
      <w:r>
        <w:rPr>
          <w:spacing w:val="-4"/>
        </w:rPr>
        <w:t> </w:t>
      </w:r>
      <w:r>
        <w:rPr/>
        <w:t>in</w:t>
      </w:r>
      <w:r>
        <w:rPr>
          <w:spacing w:val="-3"/>
        </w:rPr>
        <w:t> </w:t>
      </w:r>
      <w:r>
        <w:rPr/>
        <w:t>this</w:t>
      </w:r>
      <w:r>
        <w:rPr>
          <w:spacing w:val="-2"/>
        </w:rPr>
        <w:t> </w:t>
      </w:r>
      <w:r>
        <w:rPr/>
        <w:t>consultation,</w:t>
      </w:r>
      <w:r>
        <w:rPr>
          <w:spacing w:val="-2"/>
        </w:rPr>
        <w:t> </w:t>
      </w:r>
      <w:r>
        <w:rPr/>
        <w:t>please</w:t>
      </w:r>
      <w:r>
        <w:rPr>
          <w:spacing w:val="-4"/>
        </w:rPr>
        <w:t> </w:t>
      </w:r>
      <w:r>
        <w:rPr/>
        <w:t>contact</w:t>
      </w:r>
      <w:r>
        <w:rPr>
          <w:w w:val="99"/>
        </w:rPr>
        <w:t> </w:t>
      </w:r>
      <w:r>
        <w:rPr/>
        <w:t>Jessica Foster by email to</w:t>
      </w:r>
      <w:r>
        <w:rPr>
          <w:spacing w:val="-32"/>
        </w:rPr>
        <w:t> </w:t>
      </w:r>
      <w:hyperlink r:id="rId35">
        <w:r>
          <w:rPr>
            <w:color w:val="C70044"/>
            <w:u w:val="single" w:color="C70044"/>
          </w:rPr>
          <w:t>SharedAccess6GHz@ofcom.org.uk</w:t>
        </w:r>
        <w:r>
          <w:rPr/>
          <w:t>.</w:t>
        </w:r>
      </w:hyperlink>
    </w:p>
    <w:p>
      <w:pPr>
        <w:spacing w:after="0" w:line="276" w:lineRule="auto"/>
        <w:sectPr>
          <w:footerReference w:type="default" r:id="rId33"/>
          <w:pgSz w:w="11910" w:h="16840"/>
          <w:pgMar w:footer="1309" w:header="727" w:top="920" w:bottom="1500" w:left="1320" w:right="1340"/>
          <w:pgNumType w:start="21"/>
        </w:sectPr>
      </w:pPr>
    </w:p>
    <w:p>
      <w:pPr>
        <w:pStyle w:val="BodyText"/>
        <w:rPr>
          <w:sz w:val="20"/>
        </w:rPr>
      </w:pPr>
    </w:p>
    <w:p>
      <w:pPr>
        <w:pStyle w:val="BodyText"/>
        <w:rPr>
          <w:sz w:val="20"/>
        </w:rPr>
      </w:pPr>
    </w:p>
    <w:p>
      <w:pPr>
        <w:pStyle w:val="BodyText"/>
        <w:spacing w:before="6"/>
        <w:rPr>
          <w:sz w:val="20"/>
        </w:rPr>
      </w:pPr>
    </w:p>
    <w:p>
      <w:pPr>
        <w:pStyle w:val="Heading2"/>
        <w:spacing w:before="36"/>
      </w:pPr>
      <w:bookmarkStart w:name="Confidentiality" w:id="64"/>
      <w:bookmarkEnd w:id="64"/>
      <w:r>
        <w:rPr>
          <w:b w:val="0"/>
        </w:rPr>
      </w:r>
      <w:r>
        <w:rPr>
          <w:color w:val="CC0044"/>
        </w:rPr>
        <w:t>Confidentiality</w:t>
      </w:r>
    </w:p>
    <w:p>
      <w:pPr>
        <w:pStyle w:val="BodyText"/>
        <w:tabs>
          <w:tab w:pos="970" w:val="left" w:leader="none"/>
        </w:tabs>
        <w:spacing w:line="276" w:lineRule="auto" w:before="239"/>
        <w:ind w:left="970" w:right="324" w:hanging="851"/>
      </w:pPr>
      <w:r>
        <w:rPr/>
        <w:t>A1.11</w:t>
        <w:tab/>
        <w:t>Consultations</w:t>
      </w:r>
      <w:r>
        <w:rPr>
          <w:spacing w:val="-5"/>
        </w:rPr>
        <w:t> </w:t>
      </w:r>
      <w:r>
        <w:rPr/>
        <w:t>are</w:t>
      </w:r>
      <w:r>
        <w:rPr>
          <w:spacing w:val="-5"/>
        </w:rPr>
        <w:t> </w:t>
      </w:r>
      <w:r>
        <w:rPr/>
        <w:t>more</w:t>
      </w:r>
      <w:r>
        <w:rPr>
          <w:spacing w:val="-4"/>
        </w:rPr>
        <w:t> </w:t>
      </w:r>
      <w:r>
        <w:rPr/>
        <w:t>effective</w:t>
      </w:r>
      <w:r>
        <w:rPr>
          <w:spacing w:val="-4"/>
        </w:rPr>
        <w:t> </w:t>
      </w:r>
      <w:r>
        <w:rPr/>
        <w:t>if</w:t>
      </w:r>
      <w:r>
        <w:rPr>
          <w:spacing w:val="-5"/>
        </w:rPr>
        <w:t> </w:t>
      </w:r>
      <w:r>
        <w:rPr/>
        <w:t>we</w:t>
      </w:r>
      <w:r>
        <w:rPr>
          <w:spacing w:val="-4"/>
        </w:rPr>
        <w:t> </w:t>
      </w:r>
      <w:r>
        <w:rPr/>
        <w:t>publish</w:t>
      </w:r>
      <w:r>
        <w:rPr>
          <w:spacing w:val="-4"/>
        </w:rPr>
        <w:t> </w:t>
      </w:r>
      <w:r>
        <w:rPr/>
        <w:t>the</w:t>
      </w:r>
      <w:r>
        <w:rPr>
          <w:spacing w:val="-4"/>
        </w:rPr>
        <w:t> </w:t>
      </w:r>
      <w:r>
        <w:rPr/>
        <w:t>responses</w:t>
      </w:r>
      <w:r>
        <w:rPr>
          <w:spacing w:val="-5"/>
        </w:rPr>
        <w:t> </w:t>
      </w:r>
      <w:r>
        <w:rPr/>
        <w:t>before</w:t>
      </w:r>
      <w:r>
        <w:rPr>
          <w:spacing w:val="-5"/>
        </w:rPr>
        <w:t> </w:t>
      </w:r>
      <w:r>
        <w:rPr/>
        <w:t>the</w:t>
      </w:r>
      <w:r>
        <w:rPr>
          <w:spacing w:val="-4"/>
        </w:rPr>
        <w:t> </w:t>
      </w:r>
      <w:r>
        <w:rPr/>
        <w:t>consultation</w:t>
      </w:r>
      <w:r>
        <w:rPr>
          <w:w w:val="99"/>
        </w:rPr>
        <w:t> </w:t>
      </w:r>
      <w:r>
        <w:rPr/>
        <w:t>period closes. In particular, this can help people and organisations with limited resources or familiarity with the issues to respond in a more informed way. So, in the interests of transparency and good regulatory practice, and because we believe it is important that everyone who is interested in an issue can see other respondents’ views, we usually publish all responses on </w:t>
      </w:r>
      <w:hyperlink r:id="rId37">
        <w:r>
          <w:rPr>
            <w:color w:val="C70044"/>
            <w:u w:val="single" w:color="C70044"/>
          </w:rPr>
          <w:t>the Ofcom website </w:t>
        </w:r>
      </w:hyperlink>
      <w:r>
        <w:rPr/>
        <w:t>as soon as we receive</w:t>
      </w:r>
      <w:r>
        <w:rPr>
          <w:spacing w:val="-30"/>
        </w:rPr>
        <w:t> </w:t>
      </w:r>
      <w:r>
        <w:rPr/>
        <w:t>them.</w:t>
      </w:r>
    </w:p>
    <w:p>
      <w:pPr>
        <w:pStyle w:val="BodyText"/>
        <w:tabs>
          <w:tab w:pos="970" w:val="left" w:leader="none"/>
        </w:tabs>
        <w:spacing w:line="276" w:lineRule="auto" w:before="119"/>
        <w:ind w:left="970" w:right="312" w:hanging="851"/>
      </w:pPr>
      <w:r>
        <w:rPr/>
        <w:t>A1.12</w:t>
        <w:tab/>
        <w:t>If</w:t>
      </w:r>
      <w:r>
        <w:rPr>
          <w:spacing w:val="-4"/>
        </w:rPr>
        <w:t> </w:t>
      </w:r>
      <w:r>
        <w:rPr/>
        <w:t>you</w:t>
      </w:r>
      <w:r>
        <w:rPr>
          <w:spacing w:val="-4"/>
        </w:rPr>
        <w:t> </w:t>
      </w:r>
      <w:r>
        <w:rPr/>
        <w:t>think</w:t>
      </w:r>
      <w:r>
        <w:rPr>
          <w:spacing w:val="-3"/>
        </w:rPr>
        <w:t> </w:t>
      </w:r>
      <w:r>
        <w:rPr/>
        <w:t>your</w:t>
      </w:r>
      <w:r>
        <w:rPr>
          <w:spacing w:val="-4"/>
        </w:rPr>
        <w:t> </w:t>
      </w:r>
      <w:r>
        <w:rPr/>
        <w:t>response</w:t>
      </w:r>
      <w:r>
        <w:rPr>
          <w:spacing w:val="-3"/>
        </w:rPr>
        <w:t> </w:t>
      </w:r>
      <w:r>
        <w:rPr/>
        <w:t>should</w:t>
      </w:r>
      <w:r>
        <w:rPr>
          <w:spacing w:val="-4"/>
        </w:rPr>
        <w:t> </w:t>
      </w:r>
      <w:r>
        <w:rPr/>
        <w:t>be</w:t>
      </w:r>
      <w:r>
        <w:rPr>
          <w:spacing w:val="-3"/>
        </w:rPr>
        <w:t> </w:t>
      </w:r>
      <w:r>
        <w:rPr/>
        <w:t>kept</w:t>
      </w:r>
      <w:r>
        <w:rPr>
          <w:spacing w:val="-3"/>
        </w:rPr>
        <w:t> </w:t>
      </w:r>
      <w:r>
        <w:rPr/>
        <w:t>confidential,</w:t>
      </w:r>
      <w:r>
        <w:rPr>
          <w:spacing w:val="-4"/>
        </w:rPr>
        <w:t> </w:t>
      </w:r>
      <w:r>
        <w:rPr/>
        <w:t>please</w:t>
      </w:r>
      <w:r>
        <w:rPr>
          <w:spacing w:val="-4"/>
        </w:rPr>
        <w:t> </w:t>
      </w:r>
      <w:r>
        <w:rPr/>
        <w:t>specify</w:t>
      </w:r>
      <w:r>
        <w:rPr>
          <w:spacing w:val="-4"/>
        </w:rPr>
        <w:t> </w:t>
      </w:r>
      <w:r>
        <w:rPr/>
        <w:t>which</w:t>
      </w:r>
      <w:r>
        <w:rPr>
          <w:spacing w:val="-3"/>
        </w:rPr>
        <w:t> </w:t>
      </w:r>
      <w:r>
        <w:rPr/>
        <w:t>part(s)</w:t>
      </w:r>
      <w:r>
        <w:rPr>
          <w:spacing w:val="-3"/>
        </w:rPr>
        <w:t> </w:t>
      </w:r>
      <w:r>
        <w:rPr/>
        <w:t>this</w:t>
      </w:r>
      <w:r>
        <w:rPr>
          <w:w w:val="99"/>
        </w:rPr>
        <w:t> </w:t>
      </w:r>
      <w:r>
        <w:rPr/>
        <w:t>applies to, and explain why. Please send any confidential sections as a separate annex. If you want your name, address, other contact details or job title to remain confidential, please</w:t>
      </w:r>
      <w:r>
        <w:rPr>
          <w:spacing w:val="-4"/>
        </w:rPr>
        <w:t> </w:t>
      </w:r>
      <w:r>
        <w:rPr/>
        <w:t>provide</w:t>
      </w:r>
      <w:r>
        <w:rPr>
          <w:spacing w:val="-4"/>
        </w:rPr>
        <w:t> </w:t>
      </w:r>
      <w:r>
        <w:rPr/>
        <w:t>them</w:t>
      </w:r>
      <w:r>
        <w:rPr>
          <w:spacing w:val="-4"/>
        </w:rPr>
        <w:t> </w:t>
      </w:r>
      <w:r>
        <w:rPr/>
        <w:t>only</w:t>
      </w:r>
      <w:r>
        <w:rPr>
          <w:spacing w:val="-4"/>
        </w:rPr>
        <w:t> </w:t>
      </w:r>
      <w:r>
        <w:rPr/>
        <w:t>in</w:t>
      </w:r>
      <w:r>
        <w:rPr>
          <w:spacing w:val="-4"/>
        </w:rPr>
        <w:t> </w:t>
      </w:r>
      <w:r>
        <w:rPr/>
        <w:t>the</w:t>
      </w:r>
      <w:r>
        <w:rPr>
          <w:spacing w:val="-3"/>
        </w:rPr>
        <w:t> </w:t>
      </w:r>
      <w:r>
        <w:rPr/>
        <w:t>cover</w:t>
      </w:r>
      <w:r>
        <w:rPr>
          <w:spacing w:val="-4"/>
        </w:rPr>
        <w:t> </w:t>
      </w:r>
      <w:r>
        <w:rPr/>
        <w:t>sheet,</w:t>
      </w:r>
      <w:r>
        <w:rPr>
          <w:spacing w:val="-4"/>
        </w:rPr>
        <w:t> </w:t>
      </w:r>
      <w:r>
        <w:rPr/>
        <w:t>so</w:t>
      </w:r>
      <w:r>
        <w:rPr>
          <w:spacing w:val="-2"/>
        </w:rPr>
        <w:t> </w:t>
      </w:r>
      <w:r>
        <w:rPr/>
        <w:t>that</w:t>
      </w:r>
      <w:r>
        <w:rPr>
          <w:spacing w:val="-2"/>
        </w:rPr>
        <w:t> </w:t>
      </w:r>
      <w:r>
        <w:rPr/>
        <w:t>we</w:t>
      </w:r>
      <w:r>
        <w:rPr>
          <w:spacing w:val="-4"/>
        </w:rPr>
        <w:t> </w:t>
      </w:r>
      <w:r>
        <w:rPr/>
        <w:t>don’t</w:t>
      </w:r>
      <w:r>
        <w:rPr>
          <w:spacing w:val="-3"/>
        </w:rPr>
        <w:t> </w:t>
      </w:r>
      <w:r>
        <w:rPr/>
        <w:t>have</w:t>
      </w:r>
      <w:r>
        <w:rPr>
          <w:spacing w:val="-4"/>
        </w:rPr>
        <w:t> </w:t>
      </w:r>
      <w:r>
        <w:rPr/>
        <w:t>to</w:t>
      </w:r>
      <w:r>
        <w:rPr>
          <w:spacing w:val="-3"/>
        </w:rPr>
        <w:t> </w:t>
      </w:r>
      <w:r>
        <w:rPr/>
        <w:t>edit</w:t>
      </w:r>
      <w:r>
        <w:rPr>
          <w:spacing w:val="-3"/>
        </w:rPr>
        <w:t> </w:t>
      </w:r>
      <w:r>
        <w:rPr/>
        <w:t>your</w:t>
      </w:r>
      <w:r>
        <w:rPr>
          <w:spacing w:val="-3"/>
        </w:rPr>
        <w:t> </w:t>
      </w:r>
      <w:r>
        <w:rPr/>
        <w:t>response.</w:t>
      </w:r>
    </w:p>
    <w:p>
      <w:pPr>
        <w:pStyle w:val="BodyText"/>
        <w:tabs>
          <w:tab w:pos="970" w:val="left" w:leader="none"/>
        </w:tabs>
        <w:spacing w:line="276" w:lineRule="auto" w:before="120"/>
        <w:ind w:left="970" w:right="275" w:hanging="851"/>
      </w:pPr>
      <w:r>
        <w:rPr/>
        <w:t>A1.13</w:t>
        <w:tab/>
        <w:t>If</w:t>
      </w:r>
      <w:r>
        <w:rPr>
          <w:spacing w:val="-4"/>
        </w:rPr>
        <w:t> </w:t>
      </w:r>
      <w:r>
        <w:rPr/>
        <w:t>someone</w:t>
      </w:r>
      <w:r>
        <w:rPr>
          <w:spacing w:val="-4"/>
        </w:rPr>
        <w:t> </w:t>
      </w:r>
      <w:r>
        <w:rPr/>
        <w:t>asks</w:t>
      </w:r>
      <w:r>
        <w:rPr>
          <w:spacing w:val="-4"/>
        </w:rPr>
        <w:t> </w:t>
      </w:r>
      <w:r>
        <w:rPr/>
        <w:t>us</w:t>
      </w:r>
      <w:r>
        <w:rPr>
          <w:spacing w:val="-4"/>
        </w:rPr>
        <w:t> </w:t>
      </w:r>
      <w:r>
        <w:rPr/>
        <w:t>to</w:t>
      </w:r>
      <w:r>
        <w:rPr>
          <w:spacing w:val="-2"/>
        </w:rPr>
        <w:t> </w:t>
      </w:r>
      <w:r>
        <w:rPr/>
        <w:t>keep</w:t>
      </w:r>
      <w:r>
        <w:rPr>
          <w:spacing w:val="-4"/>
        </w:rPr>
        <w:t> </w:t>
      </w:r>
      <w:r>
        <w:rPr/>
        <w:t>part</w:t>
      </w:r>
      <w:r>
        <w:rPr>
          <w:spacing w:val="-3"/>
        </w:rPr>
        <w:t> </w:t>
      </w:r>
      <w:r>
        <w:rPr/>
        <w:t>or</w:t>
      </w:r>
      <w:r>
        <w:rPr>
          <w:spacing w:val="-4"/>
        </w:rPr>
        <w:t> </w:t>
      </w:r>
      <w:r>
        <w:rPr/>
        <w:t>all</w:t>
      </w:r>
      <w:r>
        <w:rPr>
          <w:spacing w:val="-4"/>
        </w:rPr>
        <w:t> </w:t>
      </w:r>
      <w:r>
        <w:rPr/>
        <w:t>of</w:t>
      </w:r>
      <w:r>
        <w:rPr>
          <w:spacing w:val="-4"/>
        </w:rPr>
        <w:t> </w:t>
      </w:r>
      <w:r>
        <w:rPr/>
        <w:t>a</w:t>
      </w:r>
      <w:r>
        <w:rPr>
          <w:spacing w:val="-4"/>
        </w:rPr>
        <w:t> </w:t>
      </w:r>
      <w:r>
        <w:rPr/>
        <w:t>response</w:t>
      </w:r>
      <w:r>
        <w:rPr>
          <w:spacing w:val="-3"/>
        </w:rPr>
        <w:t> </w:t>
      </w:r>
      <w:r>
        <w:rPr/>
        <w:t>confidential,</w:t>
      </w:r>
      <w:r>
        <w:rPr>
          <w:spacing w:val="-2"/>
        </w:rPr>
        <w:t> </w:t>
      </w:r>
      <w:r>
        <w:rPr/>
        <w:t>we</w:t>
      </w:r>
      <w:r>
        <w:rPr>
          <w:spacing w:val="-4"/>
        </w:rPr>
        <w:t> </w:t>
      </w:r>
      <w:r>
        <w:rPr/>
        <w:t>will</w:t>
      </w:r>
      <w:r>
        <w:rPr>
          <w:spacing w:val="-3"/>
        </w:rPr>
        <w:t> </w:t>
      </w:r>
      <w:r>
        <w:rPr/>
        <w:t>treat</w:t>
      </w:r>
      <w:r>
        <w:rPr>
          <w:spacing w:val="-2"/>
        </w:rPr>
        <w:t> </w:t>
      </w:r>
      <w:r>
        <w:rPr/>
        <w:t>this</w:t>
      </w:r>
      <w:r>
        <w:rPr>
          <w:spacing w:val="-4"/>
        </w:rPr>
        <w:t> </w:t>
      </w:r>
      <w:r>
        <w:rPr/>
        <w:t>request</w:t>
      </w:r>
      <w:r>
        <w:rPr>
          <w:w w:val="99"/>
        </w:rPr>
        <w:t> </w:t>
      </w:r>
      <w:r>
        <w:rPr/>
        <w:t>seriously and try to respect it. But sometimes we will need to publish all responses, including</w:t>
      </w:r>
      <w:r>
        <w:rPr>
          <w:spacing w:val="-4"/>
        </w:rPr>
        <w:t> </w:t>
      </w:r>
      <w:r>
        <w:rPr/>
        <w:t>those</w:t>
      </w:r>
      <w:r>
        <w:rPr>
          <w:spacing w:val="-5"/>
        </w:rPr>
        <w:t> </w:t>
      </w:r>
      <w:r>
        <w:rPr/>
        <w:t>that</w:t>
      </w:r>
      <w:r>
        <w:rPr>
          <w:spacing w:val="-4"/>
        </w:rPr>
        <w:t> </w:t>
      </w:r>
      <w:r>
        <w:rPr/>
        <w:t>are</w:t>
      </w:r>
      <w:r>
        <w:rPr>
          <w:spacing w:val="-4"/>
        </w:rPr>
        <w:t> </w:t>
      </w:r>
      <w:r>
        <w:rPr/>
        <w:t>marked</w:t>
      </w:r>
      <w:r>
        <w:rPr>
          <w:spacing w:val="-5"/>
        </w:rPr>
        <w:t> </w:t>
      </w:r>
      <w:r>
        <w:rPr/>
        <w:t>as</w:t>
      </w:r>
      <w:r>
        <w:rPr>
          <w:spacing w:val="-3"/>
        </w:rPr>
        <w:t> </w:t>
      </w:r>
      <w:r>
        <w:rPr/>
        <w:t>confidential,</w:t>
      </w:r>
      <w:r>
        <w:rPr>
          <w:spacing w:val="-3"/>
        </w:rPr>
        <w:t> </w:t>
      </w:r>
      <w:r>
        <w:rPr/>
        <w:t>in</w:t>
      </w:r>
      <w:r>
        <w:rPr>
          <w:spacing w:val="-5"/>
        </w:rPr>
        <w:t> </w:t>
      </w:r>
      <w:r>
        <w:rPr/>
        <w:t>order</w:t>
      </w:r>
      <w:r>
        <w:rPr>
          <w:spacing w:val="-5"/>
        </w:rPr>
        <w:t> </w:t>
      </w:r>
      <w:r>
        <w:rPr/>
        <w:t>to</w:t>
      </w:r>
      <w:r>
        <w:rPr>
          <w:spacing w:val="-3"/>
        </w:rPr>
        <w:t> </w:t>
      </w:r>
      <w:r>
        <w:rPr/>
        <w:t>meet</w:t>
      </w:r>
      <w:r>
        <w:rPr>
          <w:spacing w:val="-5"/>
        </w:rPr>
        <w:t> </w:t>
      </w:r>
      <w:r>
        <w:rPr/>
        <w:t>legal</w:t>
      </w:r>
      <w:r>
        <w:rPr>
          <w:spacing w:val="-5"/>
        </w:rPr>
        <w:t> </w:t>
      </w:r>
      <w:r>
        <w:rPr/>
        <w:t>obligations.</w:t>
      </w:r>
    </w:p>
    <w:p>
      <w:pPr>
        <w:pStyle w:val="BodyText"/>
        <w:tabs>
          <w:tab w:pos="970" w:val="left" w:leader="none"/>
        </w:tabs>
        <w:spacing w:line="276" w:lineRule="auto" w:before="120"/>
        <w:ind w:left="970" w:right="157" w:hanging="851"/>
      </w:pPr>
      <w:r>
        <w:rPr/>
        <w:t>A1.14</w:t>
        <w:tab/>
        <w:t>Please</w:t>
      </w:r>
      <w:r>
        <w:rPr>
          <w:spacing w:val="-5"/>
        </w:rPr>
        <w:t> </w:t>
      </w:r>
      <w:r>
        <w:rPr/>
        <w:t>also</w:t>
      </w:r>
      <w:r>
        <w:rPr>
          <w:spacing w:val="-4"/>
        </w:rPr>
        <w:t> </w:t>
      </w:r>
      <w:r>
        <w:rPr/>
        <w:t>note</w:t>
      </w:r>
      <w:r>
        <w:rPr>
          <w:spacing w:val="-5"/>
        </w:rPr>
        <w:t> </w:t>
      </w:r>
      <w:r>
        <w:rPr/>
        <w:t>that</w:t>
      </w:r>
      <w:r>
        <w:rPr>
          <w:spacing w:val="-4"/>
        </w:rPr>
        <w:t> </w:t>
      </w:r>
      <w:r>
        <w:rPr/>
        <w:t>copyright</w:t>
      </w:r>
      <w:r>
        <w:rPr>
          <w:spacing w:val="-5"/>
        </w:rPr>
        <w:t> </w:t>
      </w:r>
      <w:r>
        <w:rPr/>
        <w:t>and</w:t>
      </w:r>
      <w:r>
        <w:rPr>
          <w:spacing w:val="-5"/>
        </w:rPr>
        <w:t> </w:t>
      </w:r>
      <w:r>
        <w:rPr/>
        <w:t>all</w:t>
      </w:r>
      <w:r>
        <w:rPr>
          <w:spacing w:val="-4"/>
        </w:rPr>
        <w:t> </w:t>
      </w:r>
      <w:r>
        <w:rPr/>
        <w:t>other</w:t>
      </w:r>
      <w:r>
        <w:rPr>
          <w:spacing w:val="-5"/>
        </w:rPr>
        <w:t> </w:t>
      </w:r>
      <w:r>
        <w:rPr/>
        <w:t>intellectual</w:t>
      </w:r>
      <w:r>
        <w:rPr>
          <w:spacing w:val="-5"/>
        </w:rPr>
        <w:t> </w:t>
      </w:r>
      <w:r>
        <w:rPr/>
        <w:t>property</w:t>
      </w:r>
      <w:r>
        <w:rPr>
          <w:spacing w:val="-4"/>
        </w:rPr>
        <w:t> </w:t>
      </w:r>
      <w:r>
        <w:rPr/>
        <w:t>in</w:t>
      </w:r>
      <w:r>
        <w:rPr>
          <w:spacing w:val="-5"/>
        </w:rPr>
        <w:t> </w:t>
      </w:r>
      <w:r>
        <w:rPr/>
        <w:t>responses</w:t>
      </w:r>
      <w:r>
        <w:rPr>
          <w:spacing w:val="-3"/>
        </w:rPr>
        <w:t> </w:t>
      </w:r>
      <w:r>
        <w:rPr/>
        <w:t>will</w:t>
      </w:r>
      <w:r>
        <w:rPr>
          <w:spacing w:val="-5"/>
        </w:rPr>
        <w:t> </w:t>
      </w:r>
      <w:r>
        <w:rPr/>
        <w:t>be</w:t>
      </w:r>
      <w:r>
        <w:rPr>
          <w:spacing w:val="-1"/>
          <w:w w:val="99"/>
        </w:rPr>
        <w:t> </w:t>
      </w:r>
      <w:r>
        <w:rPr/>
        <w:t>assumed to be licensed to Ofcom to use. Ofcom’s intellectual property rights are explained further in our </w:t>
      </w:r>
      <w:hyperlink r:id="rId38">
        <w:r>
          <w:rPr>
            <w:color w:val="C70044"/>
            <w:u w:val="single" w:color="C70044"/>
          </w:rPr>
          <w:t>Terms of</w:t>
        </w:r>
        <w:r>
          <w:rPr>
            <w:color w:val="C70044"/>
            <w:spacing w:val="-14"/>
            <w:u w:val="single" w:color="C70044"/>
          </w:rPr>
          <w:t> </w:t>
        </w:r>
        <w:r>
          <w:rPr>
            <w:color w:val="C70044"/>
            <w:u w:val="single" w:color="C70044"/>
          </w:rPr>
          <w:t>Use</w:t>
        </w:r>
        <w:r>
          <w:rPr/>
          <w:t>.</w:t>
        </w:r>
      </w:hyperlink>
    </w:p>
    <w:p>
      <w:pPr>
        <w:pStyle w:val="BodyText"/>
        <w:spacing w:before="5"/>
        <w:rPr>
          <w:sz w:val="16"/>
        </w:rPr>
      </w:pPr>
    </w:p>
    <w:p>
      <w:pPr>
        <w:pStyle w:val="Heading2"/>
      </w:pPr>
      <w:bookmarkStart w:name="Next steps" w:id="65"/>
      <w:bookmarkEnd w:id="65"/>
      <w:r>
        <w:rPr>
          <w:b w:val="0"/>
        </w:rPr>
      </w:r>
      <w:r>
        <w:rPr>
          <w:color w:val="CC0044"/>
        </w:rPr>
        <w:t>Next steps</w:t>
      </w:r>
    </w:p>
    <w:p>
      <w:pPr>
        <w:pStyle w:val="BodyText"/>
        <w:tabs>
          <w:tab w:pos="970" w:val="left" w:leader="none"/>
        </w:tabs>
        <w:spacing w:before="239"/>
        <w:ind w:left="120"/>
      </w:pPr>
      <w:r>
        <w:rPr/>
        <w:t>A1.15</w:t>
        <w:tab/>
        <w:t>Following this consultation period, Ofcom plans to publish a statement in June</w:t>
      </w:r>
      <w:r>
        <w:rPr>
          <w:spacing w:val="-34"/>
        </w:rPr>
        <w:t> </w:t>
      </w:r>
      <w:r>
        <w:rPr/>
        <w:t>2022.</w:t>
      </w:r>
    </w:p>
    <w:p>
      <w:pPr>
        <w:pStyle w:val="BodyText"/>
        <w:tabs>
          <w:tab w:pos="970" w:val="left" w:leader="none"/>
        </w:tabs>
        <w:spacing w:line="276" w:lineRule="auto" w:before="159"/>
        <w:ind w:left="970" w:right="1197" w:hanging="851"/>
      </w:pPr>
      <w:r>
        <w:rPr/>
        <w:t>A1.16</w:t>
        <w:tab/>
        <w:t>If</w:t>
      </w:r>
      <w:r>
        <w:rPr>
          <w:spacing w:val="-4"/>
        </w:rPr>
        <w:t> </w:t>
      </w:r>
      <w:r>
        <w:rPr/>
        <w:t>you</w:t>
      </w:r>
      <w:r>
        <w:rPr>
          <w:spacing w:val="-4"/>
        </w:rPr>
        <w:t> </w:t>
      </w:r>
      <w:r>
        <w:rPr/>
        <w:t>wish,</w:t>
      </w:r>
      <w:r>
        <w:rPr>
          <w:spacing w:val="-4"/>
        </w:rPr>
        <w:t> </w:t>
      </w:r>
      <w:r>
        <w:rPr/>
        <w:t>you</w:t>
      </w:r>
      <w:r>
        <w:rPr>
          <w:spacing w:val="-4"/>
        </w:rPr>
        <w:t> </w:t>
      </w:r>
      <w:r>
        <w:rPr/>
        <w:t>can</w:t>
      </w:r>
      <w:r>
        <w:rPr>
          <w:spacing w:val="-3"/>
        </w:rPr>
        <w:t> </w:t>
      </w:r>
      <w:hyperlink r:id="rId39">
        <w:r>
          <w:rPr>
            <w:color w:val="C70044"/>
            <w:u w:val="single" w:color="C70044"/>
          </w:rPr>
          <w:t>register</w:t>
        </w:r>
        <w:r>
          <w:rPr>
            <w:color w:val="C70044"/>
            <w:spacing w:val="-4"/>
            <w:u w:val="single" w:color="C70044"/>
          </w:rPr>
          <w:t> </w:t>
        </w:r>
        <w:r>
          <w:rPr>
            <w:color w:val="C70044"/>
            <w:u w:val="single" w:color="C70044"/>
          </w:rPr>
          <w:t>to</w:t>
        </w:r>
        <w:r>
          <w:rPr>
            <w:color w:val="C70044"/>
            <w:spacing w:val="-3"/>
            <w:u w:val="single" w:color="C70044"/>
          </w:rPr>
          <w:t> </w:t>
        </w:r>
        <w:r>
          <w:rPr>
            <w:color w:val="C70044"/>
            <w:u w:val="single" w:color="C70044"/>
          </w:rPr>
          <w:t>receive</w:t>
        </w:r>
        <w:r>
          <w:rPr>
            <w:color w:val="C70044"/>
            <w:spacing w:val="-2"/>
            <w:u w:val="single" w:color="C70044"/>
          </w:rPr>
          <w:t> </w:t>
        </w:r>
        <w:r>
          <w:rPr>
            <w:color w:val="C70044"/>
            <w:u w:val="single" w:color="C70044"/>
          </w:rPr>
          <w:t>mail</w:t>
        </w:r>
        <w:r>
          <w:rPr>
            <w:color w:val="C70044"/>
            <w:spacing w:val="-4"/>
            <w:u w:val="single" w:color="C70044"/>
          </w:rPr>
          <w:t> </w:t>
        </w:r>
        <w:r>
          <w:rPr>
            <w:color w:val="C70044"/>
            <w:u w:val="single" w:color="C70044"/>
          </w:rPr>
          <w:t>updates</w:t>
        </w:r>
        <w:r>
          <w:rPr>
            <w:color w:val="C70044"/>
            <w:spacing w:val="-2"/>
            <w:u w:val="single" w:color="C70044"/>
          </w:rPr>
          <w:t> </w:t>
        </w:r>
      </w:hyperlink>
      <w:r>
        <w:rPr/>
        <w:t>alerting</w:t>
      </w:r>
      <w:r>
        <w:rPr>
          <w:spacing w:val="-3"/>
        </w:rPr>
        <w:t> </w:t>
      </w:r>
      <w:r>
        <w:rPr/>
        <w:t>you</w:t>
      </w:r>
      <w:r>
        <w:rPr>
          <w:spacing w:val="-4"/>
        </w:rPr>
        <w:t> </w:t>
      </w:r>
      <w:r>
        <w:rPr/>
        <w:t>to</w:t>
      </w:r>
      <w:r>
        <w:rPr>
          <w:spacing w:val="-3"/>
        </w:rPr>
        <w:t> </w:t>
      </w:r>
      <w:r>
        <w:rPr/>
        <w:t>new</w:t>
      </w:r>
      <w:r>
        <w:rPr>
          <w:spacing w:val="-3"/>
        </w:rPr>
        <w:t> </w:t>
      </w:r>
      <w:r>
        <w:rPr/>
        <w:t>Ofcom</w:t>
      </w:r>
      <w:r>
        <w:rPr>
          <w:w w:val="99"/>
        </w:rPr>
        <w:t> </w:t>
      </w:r>
      <w:r>
        <w:rPr/>
        <w:t>publications.</w:t>
      </w:r>
    </w:p>
    <w:p>
      <w:pPr>
        <w:spacing w:after="0" w:line="276" w:lineRule="auto"/>
        <w:sectPr>
          <w:pgSz w:w="11910" w:h="16840"/>
          <w:pgMar w:header="727" w:footer="1309" w:top="920" w:bottom="1520" w:left="1320" w:right="1340"/>
        </w:sectPr>
      </w:pPr>
    </w:p>
    <w:p>
      <w:pPr>
        <w:pStyle w:val="BodyText"/>
        <w:rPr>
          <w:sz w:val="20"/>
        </w:rPr>
      </w:pPr>
    </w:p>
    <w:p>
      <w:pPr>
        <w:pStyle w:val="BodyText"/>
        <w:rPr>
          <w:sz w:val="20"/>
        </w:rPr>
      </w:pPr>
    </w:p>
    <w:p>
      <w:pPr>
        <w:pStyle w:val="BodyText"/>
        <w:spacing w:before="6"/>
        <w:rPr>
          <w:sz w:val="20"/>
        </w:rPr>
      </w:pPr>
    </w:p>
    <w:p>
      <w:pPr>
        <w:pStyle w:val="Heading2"/>
        <w:spacing w:before="36"/>
      </w:pPr>
      <w:bookmarkStart w:name="Ofcom's consultation processes" w:id="66"/>
      <w:bookmarkEnd w:id="66"/>
      <w:r>
        <w:rPr>
          <w:b w:val="0"/>
        </w:rPr>
      </w:r>
      <w:r>
        <w:rPr>
          <w:color w:val="CC0044"/>
        </w:rPr>
        <w:t>Ofcom's consultation processes</w:t>
      </w:r>
    </w:p>
    <w:p>
      <w:pPr>
        <w:pStyle w:val="BodyText"/>
        <w:tabs>
          <w:tab w:pos="970" w:val="left" w:leader="none"/>
        </w:tabs>
        <w:spacing w:line="276" w:lineRule="auto" w:before="239"/>
        <w:ind w:left="970" w:right="1174" w:hanging="851"/>
      </w:pPr>
      <w:r>
        <w:rPr/>
        <w:t>A1.17</w:t>
        <w:tab/>
        <w:t>Ofcom aims to make responding to a consultation as easy as possible.</w:t>
      </w:r>
      <w:r>
        <w:rPr>
          <w:spacing w:val="-31"/>
        </w:rPr>
        <w:t> </w:t>
      </w:r>
      <w:r>
        <w:rPr/>
        <w:t>For</w:t>
      </w:r>
      <w:r>
        <w:rPr>
          <w:spacing w:val="-4"/>
        </w:rPr>
        <w:t> </w:t>
      </w:r>
      <w:r>
        <w:rPr/>
        <w:t>more</w:t>
      </w:r>
      <w:r>
        <w:rPr>
          <w:w w:val="99"/>
        </w:rPr>
        <w:t> </w:t>
      </w:r>
      <w:r>
        <w:rPr/>
        <w:t>information, please see our consultation principles in Annex</w:t>
      </w:r>
      <w:r>
        <w:rPr>
          <w:spacing w:val="-34"/>
        </w:rPr>
        <w:t> </w:t>
      </w:r>
      <w:r>
        <w:rPr/>
        <w:t>2.</w:t>
      </w:r>
    </w:p>
    <w:p>
      <w:pPr>
        <w:pStyle w:val="BodyText"/>
        <w:tabs>
          <w:tab w:pos="970" w:val="left" w:leader="none"/>
        </w:tabs>
        <w:spacing w:line="276" w:lineRule="auto" w:before="120"/>
        <w:ind w:left="970" w:right="450" w:hanging="851"/>
      </w:pPr>
      <w:r>
        <w:rPr/>
        <w:t>A1.18</w:t>
        <w:tab/>
        <w:t>If</w:t>
      </w:r>
      <w:r>
        <w:rPr>
          <w:spacing w:val="-4"/>
        </w:rPr>
        <w:t> </w:t>
      </w:r>
      <w:r>
        <w:rPr/>
        <w:t>you</w:t>
      </w:r>
      <w:r>
        <w:rPr>
          <w:spacing w:val="-4"/>
        </w:rPr>
        <w:t> </w:t>
      </w:r>
      <w:r>
        <w:rPr/>
        <w:t>have</w:t>
      </w:r>
      <w:r>
        <w:rPr>
          <w:spacing w:val="-3"/>
        </w:rPr>
        <w:t> </w:t>
      </w:r>
      <w:r>
        <w:rPr/>
        <w:t>any</w:t>
      </w:r>
      <w:r>
        <w:rPr>
          <w:spacing w:val="-4"/>
        </w:rPr>
        <w:t> </w:t>
      </w:r>
      <w:r>
        <w:rPr/>
        <w:t>comments</w:t>
      </w:r>
      <w:r>
        <w:rPr>
          <w:spacing w:val="-4"/>
        </w:rPr>
        <w:t> </w:t>
      </w:r>
      <w:r>
        <w:rPr/>
        <w:t>or</w:t>
      </w:r>
      <w:r>
        <w:rPr>
          <w:spacing w:val="-4"/>
        </w:rPr>
        <w:t> </w:t>
      </w:r>
      <w:r>
        <w:rPr/>
        <w:t>suggestions</w:t>
      </w:r>
      <w:r>
        <w:rPr>
          <w:spacing w:val="-4"/>
        </w:rPr>
        <w:t> </w:t>
      </w:r>
      <w:r>
        <w:rPr/>
        <w:t>on</w:t>
      </w:r>
      <w:r>
        <w:rPr>
          <w:spacing w:val="-4"/>
        </w:rPr>
        <w:t> </w:t>
      </w:r>
      <w:r>
        <w:rPr/>
        <w:t>how</w:t>
      </w:r>
      <w:r>
        <w:rPr>
          <w:spacing w:val="-4"/>
        </w:rPr>
        <w:t> </w:t>
      </w:r>
      <w:r>
        <w:rPr/>
        <w:t>we</w:t>
      </w:r>
      <w:r>
        <w:rPr>
          <w:spacing w:val="-4"/>
        </w:rPr>
        <w:t> </w:t>
      </w:r>
      <w:r>
        <w:rPr/>
        <w:t>manage</w:t>
      </w:r>
      <w:r>
        <w:rPr>
          <w:spacing w:val="-4"/>
        </w:rPr>
        <w:t> </w:t>
      </w:r>
      <w:r>
        <w:rPr/>
        <w:t>our</w:t>
      </w:r>
      <w:r>
        <w:rPr>
          <w:spacing w:val="-4"/>
        </w:rPr>
        <w:t> </w:t>
      </w:r>
      <w:r>
        <w:rPr/>
        <w:t>consultations,</w:t>
      </w:r>
      <w:r>
        <w:rPr>
          <w:spacing w:val="-4"/>
        </w:rPr>
        <w:t> </w:t>
      </w:r>
      <w:r>
        <w:rPr/>
        <w:t>please</w:t>
      </w:r>
      <w:r>
        <w:rPr>
          <w:w w:val="99"/>
        </w:rPr>
        <w:t> </w:t>
      </w:r>
      <w:r>
        <w:rPr/>
        <w:t>email us at </w:t>
      </w:r>
      <w:hyperlink r:id="rId40">
        <w:r>
          <w:rPr>
            <w:color w:val="C70044"/>
            <w:u w:val="single" w:color="C70044"/>
          </w:rPr>
          <w:t>consult@ofcom.org.uk</w:t>
        </w:r>
        <w:r>
          <w:rPr/>
          <w:t>.</w:t>
        </w:r>
      </w:hyperlink>
      <w:r>
        <w:rPr/>
        <w:t> We particularly welcome ideas on how Ofcom could more effectively seek the views of groups or individuals, such as small businesses and residential consumers, who are less likely to give their opinions through a formal consultation.</w:t>
      </w:r>
    </w:p>
    <w:p>
      <w:pPr>
        <w:pStyle w:val="BodyText"/>
        <w:tabs>
          <w:tab w:pos="970" w:val="left" w:leader="none"/>
        </w:tabs>
        <w:spacing w:line="276" w:lineRule="auto" w:before="120"/>
        <w:ind w:left="970" w:right="130" w:hanging="851"/>
      </w:pPr>
      <w:r>
        <w:rPr/>
        <w:t>A1.19</w:t>
        <w:tab/>
        <w:t>If</w:t>
      </w:r>
      <w:r>
        <w:rPr>
          <w:spacing w:val="-4"/>
        </w:rPr>
        <w:t> </w:t>
      </w:r>
      <w:r>
        <w:rPr/>
        <w:t>you</w:t>
      </w:r>
      <w:r>
        <w:rPr>
          <w:spacing w:val="-4"/>
        </w:rPr>
        <w:t> </w:t>
      </w:r>
      <w:r>
        <w:rPr/>
        <w:t>would</w:t>
      </w:r>
      <w:r>
        <w:rPr>
          <w:spacing w:val="-3"/>
        </w:rPr>
        <w:t> </w:t>
      </w:r>
      <w:r>
        <w:rPr/>
        <w:t>like</w:t>
      </w:r>
      <w:r>
        <w:rPr>
          <w:spacing w:val="-4"/>
        </w:rPr>
        <w:t> </w:t>
      </w:r>
      <w:r>
        <w:rPr/>
        <w:t>to</w:t>
      </w:r>
      <w:r>
        <w:rPr>
          <w:spacing w:val="-2"/>
        </w:rPr>
        <w:t> </w:t>
      </w:r>
      <w:r>
        <w:rPr/>
        <w:t>discuss</w:t>
      </w:r>
      <w:r>
        <w:rPr>
          <w:spacing w:val="-4"/>
        </w:rPr>
        <w:t> </w:t>
      </w:r>
      <w:r>
        <w:rPr/>
        <w:t>these</w:t>
      </w:r>
      <w:r>
        <w:rPr>
          <w:spacing w:val="-3"/>
        </w:rPr>
        <w:t> </w:t>
      </w:r>
      <w:r>
        <w:rPr/>
        <w:t>issues,</w:t>
      </w:r>
      <w:r>
        <w:rPr>
          <w:spacing w:val="-4"/>
        </w:rPr>
        <w:t> </w:t>
      </w:r>
      <w:r>
        <w:rPr/>
        <w:t>or</w:t>
      </w:r>
      <w:r>
        <w:rPr>
          <w:spacing w:val="-4"/>
        </w:rPr>
        <w:t> </w:t>
      </w:r>
      <w:r>
        <w:rPr/>
        <w:t>Ofcom's</w:t>
      </w:r>
      <w:r>
        <w:rPr>
          <w:spacing w:val="-2"/>
        </w:rPr>
        <w:t> </w:t>
      </w:r>
      <w:r>
        <w:rPr/>
        <w:t>consultation</w:t>
      </w:r>
      <w:r>
        <w:rPr>
          <w:spacing w:val="-3"/>
        </w:rPr>
        <w:t> </w:t>
      </w:r>
      <w:r>
        <w:rPr/>
        <w:t>processes</w:t>
      </w:r>
      <w:r>
        <w:rPr>
          <w:spacing w:val="-4"/>
        </w:rPr>
        <w:t> </w:t>
      </w:r>
      <w:r>
        <w:rPr/>
        <w:t>more</w:t>
      </w:r>
      <w:r>
        <w:rPr>
          <w:spacing w:val="-4"/>
        </w:rPr>
        <w:t> </w:t>
      </w:r>
      <w:r>
        <w:rPr/>
        <w:t>generally,</w:t>
      </w:r>
      <w:r>
        <w:rPr>
          <w:w w:val="99"/>
        </w:rPr>
        <w:t> </w:t>
      </w:r>
      <w:r>
        <w:rPr/>
        <w:t>please contact the corporation</w:t>
      </w:r>
      <w:r>
        <w:rPr>
          <w:spacing w:val="-18"/>
        </w:rPr>
        <w:t> </w:t>
      </w:r>
      <w:r>
        <w:rPr/>
        <w:t>secretary:</w:t>
      </w:r>
    </w:p>
    <w:p>
      <w:pPr>
        <w:pStyle w:val="BodyText"/>
        <w:spacing w:line="276" w:lineRule="auto" w:before="119"/>
        <w:ind w:left="959" w:right="6296"/>
      </w:pPr>
      <w:r>
        <w:rPr/>
        <w:t>Corporation Secretary Ofcom</w:t>
      </w:r>
    </w:p>
    <w:p>
      <w:pPr>
        <w:pStyle w:val="BodyText"/>
        <w:spacing w:line="268" w:lineRule="exact"/>
        <w:ind w:left="959"/>
      </w:pPr>
      <w:r>
        <w:rPr/>
        <w:t>Riverside House</w:t>
      </w:r>
    </w:p>
    <w:p>
      <w:pPr>
        <w:pStyle w:val="BodyText"/>
        <w:spacing w:line="276" w:lineRule="auto" w:before="39"/>
        <w:ind w:left="959" w:right="5911"/>
      </w:pPr>
      <w:r>
        <w:rPr/>
        <w:t>2a Southwark Bridge Road London SE1 9HA</w:t>
      </w:r>
    </w:p>
    <w:p>
      <w:pPr>
        <w:pStyle w:val="BodyText"/>
        <w:spacing w:line="268" w:lineRule="exact"/>
        <w:ind w:left="959"/>
      </w:pPr>
      <w:r>
        <w:rPr/>
        <w:t>Email: </w:t>
      </w:r>
      <w:hyperlink r:id="rId41">
        <w:r>
          <w:rPr>
            <w:color w:val="C70044"/>
            <w:u w:val="single" w:color="C70044"/>
          </w:rPr>
          <w:t>corporationsecretary@ofcom.org.uk</w:t>
        </w:r>
      </w:hyperlink>
    </w:p>
    <w:p>
      <w:pPr>
        <w:spacing w:after="0" w:line="268" w:lineRule="exact"/>
        <w:sectPr>
          <w:pgSz w:w="11910" w:h="16840"/>
          <w:pgMar w:header="727" w:footer="1309" w:top="920" w:bottom="1520" w:left="1320" w:right="1340"/>
        </w:sectPr>
      </w:pPr>
    </w:p>
    <w:p>
      <w:pPr>
        <w:pStyle w:val="BodyText"/>
        <w:rPr>
          <w:sz w:val="20"/>
        </w:rPr>
      </w:pPr>
    </w:p>
    <w:p>
      <w:pPr>
        <w:pStyle w:val="BodyText"/>
        <w:rPr>
          <w:sz w:val="20"/>
        </w:rPr>
      </w:pPr>
    </w:p>
    <w:p>
      <w:pPr>
        <w:pStyle w:val="BodyText"/>
        <w:spacing w:before="2"/>
        <w:rPr>
          <w:sz w:val="23"/>
        </w:rPr>
      </w:pPr>
    </w:p>
    <w:p>
      <w:pPr>
        <w:pStyle w:val="Heading1"/>
      </w:pPr>
      <w:bookmarkStart w:name="A2. Ofcom’s consultation principles" w:id="67"/>
      <w:bookmarkEnd w:id="67"/>
      <w:r>
        <w:rPr/>
      </w:r>
      <w:bookmarkStart w:name="_bookmark17" w:id="68"/>
      <w:bookmarkEnd w:id="68"/>
      <w:r>
        <w:rPr/>
      </w:r>
      <w:r>
        <w:rPr>
          <w:color w:val="CC0044"/>
        </w:rPr>
        <w:t>A2. Ofcom’s consultation principles</w:t>
      </w:r>
    </w:p>
    <w:p>
      <w:pPr>
        <w:pStyle w:val="Heading2"/>
        <w:spacing w:before="237"/>
        <w:ind w:right="357"/>
      </w:pPr>
      <w:bookmarkStart w:name="Ofcom has seven principles that it follo" w:id="69"/>
      <w:bookmarkEnd w:id="69"/>
      <w:r>
        <w:rPr>
          <w:b w:val="0"/>
        </w:rPr>
      </w:r>
      <w:r>
        <w:rPr>
          <w:color w:val="CC0044"/>
        </w:rPr>
        <w:t>Ofcom has seven principles that it follows for every public written consultation:</w:t>
      </w:r>
    </w:p>
    <w:p>
      <w:pPr>
        <w:pStyle w:val="Heading3"/>
        <w:spacing w:before="239"/>
      </w:pPr>
      <w:bookmarkStart w:name="Before the consultation" w:id="70"/>
      <w:bookmarkEnd w:id="70"/>
      <w:r>
        <w:rPr>
          <w:b w:val="0"/>
        </w:rPr>
      </w:r>
      <w:r>
        <w:rPr/>
        <w:t>Before the consultation</w:t>
      </w:r>
    </w:p>
    <w:p>
      <w:pPr>
        <w:pStyle w:val="BodyText"/>
        <w:tabs>
          <w:tab w:pos="970" w:val="left" w:leader="none"/>
        </w:tabs>
        <w:spacing w:line="276" w:lineRule="auto" w:before="240"/>
        <w:ind w:left="970" w:right="251" w:hanging="851"/>
      </w:pPr>
      <w:r>
        <w:rPr/>
        <w:t>A2.1</w:t>
        <w:tab/>
        <w:t>Wherever</w:t>
      </w:r>
      <w:r>
        <w:rPr>
          <w:spacing w:val="-5"/>
        </w:rPr>
        <w:t> </w:t>
      </w:r>
      <w:r>
        <w:rPr/>
        <w:t>possible,</w:t>
      </w:r>
      <w:r>
        <w:rPr>
          <w:spacing w:val="-5"/>
        </w:rPr>
        <w:t> </w:t>
      </w:r>
      <w:r>
        <w:rPr/>
        <w:t>we</w:t>
      </w:r>
      <w:r>
        <w:rPr>
          <w:spacing w:val="-5"/>
        </w:rPr>
        <w:t> </w:t>
      </w:r>
      <w:r>
        <w:rPr/>
        <w:t>will</w:t>
      </w:r>
      <w:r>
        <w:rPr>
          <w:spacing w:val="-4"/>
        </w:rPr>
        <w:t> </w:t>
      </w:r>
      <w:r>
        <w:rPr/>
        <w:t>hold</w:t>
      </w:r>
      <w:r>
        <w:rPr>
          <w:spacing w:val="-5"/>
        </w:rPr>
        <w:t> </w:t>
      </w:r>
      <w:r>
        <w:rPr/>
        <w:t>informal</w:t>
      </w:r>
      <w:r>
        <w:rPr>
          <w:spacing w:val="-5"/>
        </w:rPr>
        <w:t> </w:t>
      </w:r>
      <w:r>
        <w:rPr/>
        <w:t>talks</w:t>
      </w:r>
      <w:r>
        <w:rPr>
          <w:spacing w:val="-5"/>
        </w:rPr>
        <w:t> </w:t>
      </w:r>
      <w:r>
        <w:rPr/>
        <w:t>with</w:t>
      </w:r>
      <w:r>
        <w:rPr>
          <w:spacing w:val="-4"/>
        </w:rPr>
        <w:t> </w:t>
      </w:r>
      <w:r>
        <w:rPr/>
        <w:t>people</w:t>
      </w:r>
      <w:r>
        <w:rPr>
          <w:spacing w:val="-5"/>
        </w:rPr>
        <w:t> </w:t>
      </w:r>
      <w:r>
        <w:rPr/>
        <w:t>and</w:t>
      </w:r>
      <w:r>
        <w:rPr>
          <w:spacing w:val="-4"/>
        </w:rPr>
        <w:t> </w:t>
      </w:r>
      <w:r>
        <w:rPr/>
        <w:t>organisations</w:t>
      </w:r>
      <w:r>
        <w:rPr>
          <w:spacing w:val="-5"/>
        </w:rPr>
        <w:t> </w:t>
      </w:r>
      <w:r>
        <w:rPr/>
        <w:t>before</w:t>
      </w:r>
      <w:r>
        <w:rPr>
          <w:w w:val="99"/>
        </w:rPr>
        <w:t> </w:t>
      </w:r>
      <w:r>
        <w:rPr/>
        <w:t>announcing a big consultation, to find out whether we are thinking along the right lines. If we do not have enough time to do this, we will hold an open meeting to explain our proposals, shortly after announcing the</w:t>
      </w:r>
      <w:r>
        <w:rPr>
          <w:spacing w:val="-27"/>
        </w:rPr>
        <w:t> </w:t>
      </w:r>
      <w:r>
        <w:rPr/>
        <w:t>consultation.</w:t>
      </w:r>
    </w:p>
    <w:p>
      <w:pPr>
        <w:pStyle w:val="BodyText"/>
        <w:spacing w:before="3"/>
        <w:rPr>
          <w:sz w:val="16"/>
        </w:rPr>
      </w:pPr>
    </w:p>
    <w:p>
      <w:pPr>
        <w:pStyle w:val="Heading3"/>
      </w:pPr>
      <w:bookmarkStart w:name="During the consultation" w:id="71"/>
      <w:bookmarkEnd w:id="71"/>
      <w:r>
        <w:rPr>
          <w:b w:val="0"/>
        </w:rPr>
      </w:r>
      <w:r>
        <w:rPr/>
        <w:t>During the consultation</w:t>
      </w:r>
    </w:p>
    <w:p>
      <w:pPr>
        <w:pStyle w:val="BodyText"/>
        <w:tabs>
          <w:tab w:pos="970" w:val="left" w:leader="none"/>
        </w:tabs>
        <w:spacing w:before="240"/>
        <w:ind w:left="120"/>
      </w:pPr>
      <w:r>
        <w:rPr/>
        <w:t>A2.2</w:t>
        <w:tab/>
        <w:t>We</w:t>
      </w:r>
      <w:r>
        <w:rPr>
          <w:spacing w:val="-3"/>
        </w:rPr>
        <w:t> </w:t>
      </w:r>
      <w:r>
        <w:rPr/>
        <w:t>will</w:t>
      </w:r>
      <w:r>
        <w:rPr>
          <w:spacing w:val="-2"/>
        </w:rPr>
        <w:t> </w:t>
      </w:r>
      <w:r>
        <w:rPr/>
        <w:t>be</w:t>
      </w:r>
      <w:r>
        <w:rPr>
          <w:spacing w:val="-2"/>
        </w:rPr>
        <w:t> </w:t>
      </w:r>
      <w:r>
        <w:rPr/>
        <w:t>clear</w:t>
      </w:r>
      <w:r>
        <w:rPr>
          <w:spacing w:val="-3"/>
        </w:rPr>
        <w:t> </w:t>
      </w:r>
      <w:r>
        <w:rPr/>
        <w:t>about</w:t>
      </w:r>
      <w:r>
        <w:rPr>
          <w:spacing w:val="-3"/>
        </w:rPr>
        <w:t> </w:t>
      </w:r>
      <w:r>
        <w:rPr/>
        <w:t>whom</w:t>
      </w:r>
      <w:r>
        <w:rPr>
          <w:spacing w:val="-3"/>
        </w:rPr>
        <w:t> </w:t>
      </w:r>
      <w:r>
        <w:rPr/>
        <w:t>we</w:t>
      </w:r>
      <w:r>
        <w:rPr>
          <w:spacing w:val="-3"/>
        </w:rPr>
        <w:t> </w:t>
      </w:r>
      <w:r>
        <w:rPr/>
        <w:t>are</w:t>
      </w:r>
      <w:r>
        <w:rPr>
          <w:spacing w:val="-2"/>
        </w:rPr>
        <w:t> </w:t>
      </w:r>
      <w:r>
        <w:rPr/>
        <w:t>consulting,</w:t>
      </w:r>
      <w:r>
        <w:rPr>
          <w:spacing w:val="-1"/>
        </w:rPr>
        <w:t> </w:t>
      </w:r>
      <w:r>
        <w:rPr/>
        <w:t>why,</w:t>
      </w:r>
      <w:r>
        <w:rPr>
          <w:spacing w:val="-3"/>
        </w:rPr>
        <w:t> </w:t>
      </w:r>
      <w:r>
        <w:rPr/>
        <w:t>on</w:t>
      </w:r>
      <w:r>
        <w:rPr>
          <w:spacing w:val="-3"/>
        </w:rPr>
        <w:t> </w:t>
      </w:r>
      <w:r>
        <w:rPr/>
        <w:t>what</w:t>
      </w:r>
      <w:r>
        <w:rPr>
          <w:spacing w:val="-2"/>
        </w:rPr>
        <w:t> </w:t>
      </w:r>
      <w:r>
        <w:rPr/>
        <w:t>questions</w:t>
      </w:r>
      <w:r>
        <w:rPr>
          <w:spacing w:val="-3"/>
        </w:rPr>
        <w:t> </w:t>
      </w:r>
      <w:r>
        <w:rPr/>
        <w:t>and</w:t>
      </w:r>
      <w:r>
        <w:rPr>
          <w:spacing w:val="-3"/>
        </w:rPr>
        <w:t> </w:t>
      </w:r>
      <w:r>
        <w:rPr/>
        <w:t>for</w:t>
      </w:r>
      <w:r>
        <w:rPr>
          <w:spacing w:val="-3"/>
        </w:rPr>
        <w:t> </w:t>
      </w:r>
      <w:r>
        <w:rPr/>
        <w:t>how</w:t>
      </w:r>
      <w:r>
        <w:rPr>
          <w:spacing w:val="-3"/>
        </w:rPr>
        <w:t> </w:t>
      </w:r>
      <w:r>
        <w:rPr/>
        <w:t>long.</w:t>
      </w:r>
    </w:p>
    <w:p>
      <w:pPr>
        <w:pStyle w:val="BodyText"/>
        <w:spacing w:line="276" w:lineRule="auto" w:before="159"/>
        <w:ind w:left="970" w:right="148" w:hanging="851"/>
        <w:jc w:val="both"/>
      </w:pPr>
      <w:r>
        <w:rPr/>
        <w:t>A2.3         We will make the consultation document as short and simple as possible, with a summary of no more than two pages. We will try to make it as easy as possible for people to give us a written response. If the consultation is complicated, we may provide a short Plain English</w:t>
      </w:r>
    </w:p>
    <w:p>
      <w:pPr>
        <w:pStyle w:val="BodyText"/>
        <w:spacing w:line="276" w:lineRule="auto"/>
        <w:ind w:left="970" w:right="168"/>
      </w:pPr>
      <w:r>
        <w:rPr/>
        <w:t>/ Cymraeg Clir guide, to help smaller organisations or individuals who would not otherwise be able to spare the time to share their views.</w:t>
      </w:r>
    </w:p>
    <w:p>
      <w:pPr>
        <w:pStyle w:val="BodyText"/>
        <w:tabs>
          <w:tab w:pos="970" w:val="left" w:leader="none"/>
        </w:tabs>
        <w:spacing w:before="122"/>
        <w:ind w:left="119"/>
      </w:pPr>
      <w:r>
        <w:rPr/>
        <w:t>A2.4</w:t>
        <w:tab/>
        <w:t>We</w:t>
      </w:r>
      <w:r>
        <w:rPr>
          <w:spacing w:val="-4"/>
        </w:rPr>
        <w:t> </w:t>
      </w:r>
      <w:r>
        <w:rPr/>
        <w:t>will</w:t>
      </w:r>
      <w:r>
        <w:rPr>
          <w:spacing w:val="-3"/>
        </w:rPr>
        <w:t> </w:t>
      </w:r>
      <w:r>
        <w:rPr/>
        <w:t>consult</w:t>
      </w:r>
      <w:r>
        <w:rPr>
          <w:spacing w:val="-4"/>
        </w:rPr>
        <w:t> </w:t>
      </w:r>
      <w:r>
        <w:rPr/>
        <w:t>for</w:t>
      </w:r>
      <w:r>
        <w:rPr>
          <w:spacing w:val="-3"/>
        </w:rPr>
        <w:t> </w:t>
      </w:r>
      <w:r>
        <w:rPr/>
        <w:t>up</w:t>
      </w:r>
      <w:r>
        <w:rPr>
          <w:spacing w:val="-3"/>
        </w:rPr>
        <w:t> </w:t>
      </w:r>
      <w:r>
        <w:rPr/>
        <w:t>to</w:t>
      </w:r>
      <w:r>
        <w:rPr>
          <w:spacing w:val="-3"/>
        </w:rPr>
        <w:t> </w:t>
      </w:r>
      <w:r>
        <w:rPr/>
        <w:t>ten</w:t>
      </w:r>
      <w:r>
        <w:rPr>
          <w:spacing w:val="-4"/>
        </w:rPr>
        <w:t> </w:t>
      </w:r>
      <w:r>
        <w:rPr/>
        <w:t>weeks,</w:t>
      </w:r>
      <w:r>
        <w:rPr>
          <w:spacing w:val="-4"/>
        </w:rPr>
        <w:t> </w:t>
      </w:r>
      <w:r>
        <w:rPr/>
        <w:t>depending</w:t>
      </w:r>
      <w:r>
        <w:rPr>
          <w:spacing w:val="-4"/>
        </w:rPr>
        <w:t> </w:t>
      </w:r>
      <w:r>
        <w:rPr/>
        <w:t>on</w:t>
      </w:r>
      <w:r>
        <w:rPr>
          <w:spacing w:val="-3"/>
        </w:rPr>
        <w:t> </w:t>
      </w:r>
      <w:r>
        <w:rPr/>
        <w:t>the</w:t>
      </w:r>
      <w:r>
        <w:rPr>
          <w:spacing w:val="-4"/>
        </w:rPr>
        <w:t> </w:t>
      </w:r>
      <w:r>
        <w:rPr/>
        <w:t>potential</w:t>
      </w:r>
      <w:r>
        <w:rPr>
          <w:spacing w:val="-3"/>
        </w:rPr>
        <w:t> </w:t>
      </w:r>
      <w:r>
        <w:rPr/>
        <w:t>impact</w:t>
      </w:r>
      <w:r>
        <w:rPr>
          <w:spacing w:val="-4"/>
        </w:rPr>
        <w:t> </w:t>
      </w:r>
      <w:r>
        <w:rPr/>
        <w:t>of</w:t>
      </w:r>
      <w:r>
        <w:rPr>
          <w:spacing w:val="-4"/>
        </w:rPr>
        <w:t> </w:t>
      </w:r>
      <w:r>
        <w:rPr/>
        <w:t>our</w:t>
      </w:r>
      <w:r>
        <w:rPr>
          <w:spacing w:val="-3"/>
        </w:rPr>
        <w:t> </w:t>
      </w:r>
      <w:r>
        <w:rPr/>
        <w:t>proposals.</w:t>
      </w:r>
    </w:p>
    <w:p>
      <w:pPr>
        <w:pStyle w:val="BodyText"/>
        <w:tabs>
          <w:tab w:pos="970" w:val="left" w:leader="none"/>
        </w:tabs>
        <w:spacing w:line="276" w:lineRule="auto" w:before="160"/>
        <w:ind w:left="970" w:right="275" w:hanging="851"/>
      </w:pPr>
      <w:r>
        <w:rPr/>
        <w:t>A2.5</w:t>
        <w:tab/>
        <w:t>A person within Ofcom will be in charge of making sure we follow our own</w:t>
      </w:r>
      <w:r>
        <w:rPr>
          <w:spacing w:val="-33"/>
        </w:rPr>
        <w:t> </w:t>
      </w:r>
      <w:r>
        <w:rPr/>
        <w:t>guidelines</w:t>
      </w:r>
      <w:r>
        <w:rPr>
          <w:spacing w:val="-3"/>
        </w:rPr>
        <w:t> </w:t>
      </w:r>
      <w:r>
        <w:rPr/>
        <w:t>and</w:t>
      </w:r>
      <w:r>
        <w:rPr>
          <w:w w:val="99"/>
        </w:rPr>
        <w:t> </w:t>
      </w:r>
      <w:r>
        <w:rPr/>
        <w:t>aim to reach the largest possible number of people and organisations who may be interested in the outcome of our decisions. Ofcom’s Consultation Champion is the main person to contact if you have views on the way we run our</w:t>
      </w:r>
      <w:r>
        <w:rPr>
          <w:spacing w:val="-32"/>
        </w:rPr>
        <w:t> </w:t>
      </w:r>
      <w:r>
        <w:rPr/>
        <w:t>consultations.</w:t>
      </w:r>
    </w:p>
    <w:p>
      <w:pPr>
        <w:pStyle w:val="BodyText"/>
        <w:tabs>
          <w:tab w:pos="970" w:val="left" w:leader="none"/>
        </w:tabs>
        <w:spacing w:before="120"/>
        <w:ind w:left="119"/>
      </w:pPr>
      <w:r>
        <w:rPr/>
        <w:t>A2.6</w:t>
        <w:tab/>
        <w:t>If</w:t>
      </w:r>
      <w:r>
        <w:rPr>
          <w:spacing w:val="-4"/>
        </w:rPr>
        <w:t> </w:t>
      </w:r>
      <w:r>
        <w:rPr/>
        <w:t>we</w:t>
      </w:r>
      <w:r>
        <w:rPr>
          <w:spacing w:val="-4"/>
        </w:rPr>
        <w:t> </w:t>
      </w:r>
      <w:r>
        <w:rPr/>
        <w:t>are</w:t>
      </w:r>
      <w:r>
        <w:rPr>
          <w:spacing w:val="-3"/>
        </w:rPr>
        <w:t> </w:t>
      </w:r>
      <w:r>
        <w:rPr/>
        <w:t>not</w:t>
      </w:r>
      <w:r>
        <w:rPr>
          <w:spacing w:val="-2"/>
        </w:rPr>
        <w:t> </w:t>
      </w:r>
      <w:r>
        <w:rPr/>
        <w:t>able</w:t>
      </w:r>
      <w:r>
        <w:rPr>
          <w:spacing w:val="-4"/>
        </w:rPr>
        <w:t> </w:t>
      </w:r>
      <w:r>
        <w:rPr/>
        <w:t>to</w:t>
      </w:r>
      <w:r>
        <w:rPr>
          <w:spacing w:val="-3"/>
        </w:rPr>
        <w:t> </w:t>
      </w:r>
      <w:r>
        <w:rPr/>
        <w:t>follow</w:t>
      </w:r>
      <w:r>
        <w:rPr>
          <w:spacing w:val="-3"/>
        </w:rPr>
        <w:t> </w:t>
      </w:r>
      <w:r>
        <w:rPr/>
        <w:t>any</w:t>
      </w:r>
      <w:r>
        <w:rPr>
          <w:spacing w:val="-4"/>
        </w:rPr>
        <w:t> </w:t>
      </w:r>
      <w:r>
        <w:rPr/>
        <w:t>of</w:t>
      </w:r>
      <w:r>
        <w:rPr>
          <w:spacing w:val="-4"/>
        </w:rPr>
        <w:t> </w:t>
      </w:r>
      <w:r>
        <w:rPr/>
        <w:t>these</w:t>
      </w:r>
      <w:r>
        <w:rPr>
          <w:spacing w:val="-3"/>
        </w:rPr>
        <w:t> </w:t>
      </w:r>
      <w:r>
        <w:rPr/>
        <w:t>seven</w:t>
      </w:r>
      <w:r>
        <w:rPr>
          <w:spacing w:val="-4"/>
        </w:rPr>
        <w:t> </w:t>
      </w:r>
      <w:r>
        <w:rPr/>
        <w:t>principles,</w:t>
      </w:r>
      <w:r>
        <w:rPr>
          <w:spacing w:val="-4"/>
        </w:rPr>
        <w:t> </w:t>
      </w:r>
      <w:r>
        <w:rPr/>
        <w:t>we</w:t>
      </w:r>
      <w:r>
        <w:rPr>
          <w:spacing w:val="-4"/>
        </w:rPr>
        <w:t> </w:t>
      </w:r>
      <w:r>
        <w:rPr/>
        <w:t>will</w:t>
      </w:r>
      <w:r>
        <w:rPr>
          <w:spacing w:val="-3"/>
        </w:rPr>
        <w:t> </w:t>
      </w:r>
      <w:r>
        <w:rPr/>
        <w:t>explain</w:t>
      </w:r>
      <w:r>
        <w:rPr>
          <w:spacing w:val="-4"/>
        </w:rPr>
        <w:t> </w:t>
      </w:r>
      <w:r>
        <w:rPr/>
        <w:t>why.</w:t>
      </w:r>
    </w:p>
    <w:p>
      <w:pPr>
        <w:pStyle w:val="BodyText"/>
        <w:spacing w:before="7"/>
        <w:rPr>
          <w:sz w:val="19"/>
        </w:rPr>
      </w:pPr>
    </w:p>
    <w:p>
      <w:pPr>
        <w:pStyle w:val="Heading3"/>
      </w:pPr>
      <w:bookmarkStart w:name="After the consultation" w:id="72"/>
      <w:bookmarkEnd w:id="72"/>
      <w:r>
        <w:rPr>
          <w:b w:val="0"/>
        </w:rPr>
      </w:r>
      <w:r>
        <w:rPr/>
        <w:t>After the consultation</w:t>
      </w:r>
    </w:p>
    <w:p>
      <w:pPr>
        <w:pStyle w:val="BodyText"/>
        <w:tabs>
          <w:tab w:pos="970" w:val="left" w:leader="none"/>
        </w:tabs>
        <w:spacing w:line="276" w:lineRule="auto" w:before="239"/>
        <w:ind w:left="970" w:right="181" w:hanging="851"/>
      </w:pPr>
      <w:r>
        <w:rPr/>
        <w:t>A2.7</w:t>
        <w:tab/>
        <w:t>We</w:t>
      </w:r>
      <w:r>
        <w:rPr>
          <w:spacing w:val="-4"/>
        </w:rPr>
        <w:t> </w:t>
      </w:r>
      <w:r>
        <w:rPr/>
        <w:t>think</w:t>
      </w:r>
      <w:r>
        <w:rPr>
          <w:spacing w:val="-3"/>
        </w:rPr>
        <w:t> </w:t>
      </w:r>
      <w:r>
        <w:rPr/>
        <w:t>it</w:t>
      </w:r>
      <w:r>
        <w:rPr>
          <w:spacing w:val="-3"/>
        </w:rPr>
        <w:t> </w:t>
      </w:r>
      <w:r>
        <w:rPr/>
        <w:t>is</w:t>
      </w:r>
      <w:r>
        <w:rPr>
          <w:spacing w:val="-2"/>
        </w:rPr>
        <w:t> </w:t>
      </w:r>
      <w:r>
        <w:rPr/>
        <w:t>important</w:t>
      </w:r>
      <w:r>
        <w:rPr>
          <w:spacing w:val="-3"/>
        </w:rPr>
        <w:t> </w:t>
      </w:r>
      <w:r>
        <w:rPr/>
        <w:t>that</w:t>
      </w:r>
      <w:r>
        <w:rPr>
          <w:spacing w:val="-4"/>
        </w:rPr>
        <w:t> </w:t>
      </w:r>
      <w:r>
        <w:rPr/>
        <w:t>everyone</w:t>
      </w:r>
      <w:r>
        <w:rPr>
          <w:spacing w:val="-3"/>
        </w:rPr>
        <w:t> </w:t>
      </w:r>
      <w:r>
        <w:rPr/>
        <w:t>who</w:t>
      </w:r>
      <w:r>
        <w:rPr>
          <w:spacing w:val="-3"/>
        </w:rPr>
        <w:t> </w:t>
      </w:r>
      <w:r>
        <w:rPr/>
        <w:t>is</w:t>
      </w:r>
      <w:r>
        <w:rPr>
          <w:spacing w:val="-4"/>
        </w:rPr>
        <w:t> </w:t>
      </w:r>
      <w:r>
        <w:rPr/>
        <w:t>interested</w:t>
      </w:r>
      <w:r>
        <w:rPr>
          <w:spacing w:val="-4"/>
        </w:rPr>
        <w:t> </w:t>
      </w:r>
      <w:r>
        <w:rPr/>
        <w:t>in</w:t>
      </w:r>
      <w:r>
        <w:rPr>
          <w:spacing w:val="-3"/>
        </w:rPr>
        <w:t> </w:t>
      </w:r>
      <w:r>
        <w:rPr/>
        <w:t>an</w:t>
      </w:r>
      <w:r>
        <w:rPr>
          <w:spacing w:val="-3"/>
        </w:rPr>
        <w:t> </w:t>
      </w:r>
      <w:r>
        <w:rPr/>
        <w:t>issue</w:t>
      </w:r>
      <w:r>
        <w:rPr>
          <w:spacing w:val="-4"/>
        </w:rPr>
        <w:t> </w:t>
      </w:r>
      <w:r>
        <w:rPr/>
        <w:t>can</w:t>
      </w:r>
      <w:r>
        <w:rPr>
          <w:spacing w:val="-4"/>
        </w:rPr>
        <w:t> </w:t>
      </w:r>
      <w:r>
        <w:rPr/>
        <w:t>see</w:t>
      </w:r>
      <w:r>
        <w:rPr>
          <w:spacing w:val="-3"/>
        </w:rPr>
        <w:t> </w:t>
      </w:r>
      <w:r>
        <w:rPr/>
        <w:t>other</w:t>
      </w:r>
      <w:r>
        <w:rPr>
          <w:spacing w:val="-4"/>
        </w:rPr>
        <w:t> </w:t>
      </w:r>
      <w:r>
        <w:rPr/>
        <w:t>people’s</w:t>
      </w:r>
      <w:r>
        <w:rPr>
          <w:w w:val="99"/>
        </w:rPr>
        <w:t> </w:t>
      </w:r>
      <w:r>
        <w:rPr/>
        <w:t>views, so we usually publish all the responses on our website as soon as we receive them. After the consultation we will make our decisions and publish a statement explaining what we are going to do, and why, showing how respondents’ views helped to shape these decisions.</w:t>
      </w:r>
    </w:p>
    <w:p>
      <w:pPr>
        <w:spacing w:after="0" w:line="276" w:lineRule="auto"/>
        <w:sectPr>
          <w:pgSz w:w="11910" w:h="16840"/>
          <w:pgMar w:header="727" w:footer="1309" w:top="920" w:bottom="1520" w:left="1320" w:right="1340"/>
        </w:sectPr>
      </w:pPr>
    </w:p>
    <w:p>
      <w:pPr>
        <w:pStyle w:val="BodyText"/>
        <w:rPr>
          <w:sz w:val="20"/>
        </w:rPr>
      </w:pPr>
    </w:p>
    <w:p>
      <w:pPr>
        <w:pStyle w:val="BodyText"/>
        <w:rPr>
          <w:sz w:val="20"/>
        </w:rPr>
      </w:pPr>
    </w:p>
    <w:p>
      <w:pPr>
        <w:pStyle w:val="BodyText"/>
        <w:spacing w:before="2"/>
        <w:rPr>
          <w:sz w:val="23"/>
        </w:rPr>
      </w:pPr>
    </w:p>
    <w:p>
      <w:pPr>
        <w:pStyle w:val="Heading1"/>
      </w:pPr>
      <w:bookmarkStart w:name="A3. Consultation coversheet" w:id="73"/>
      <w:bookmarkEnd w:id="73"/>
      <w:r>
        <w:rPr/>
      </w:r>
      <w:bookmarkStart w:name="_bookmark18" w:id="74"/>
      <w:bookmarkEnd w:id="74"/>
      <w:r>
        <w:rPr/>
      </w:r>
      <w:r>
        <w:rPr>
          <w:color w:val="CC0044"/>
        </w:rPr>
        <w:t>A3. Consultation coversheet</w:t>
      </w:r>
    </w:p>
    <w:p>
      <w:pPr>
        <w:pStyle w:val="Heading2"/>
        <w:spacing w:before="239"/>
      </w:pPr>
      <w:bookmarkStart w:name="BASIC DETAILS" w:id="75"/>
      <w:bookmarkEnd w:id="75"/>
      <w:r>
        <w:rPr>
          <w:b w:val="0"/>
        </w:rPr>
      </w:r>
      <w:r>
        <w:rPr>
          <w:color w:val="CC0044"/>
        </w:rPr>
        <w:t>BASIC DETAILS</w:t>
      </w:r>
    </w:p>
    <w:p>
      <w:pPr>
        <w:pStyle w:val="BodyText"/>
        <w:spacing w:line="384" w:lineRule="auto" w:before="240"/>
        <w:ind w:left="119" w:right="7328"/>
      </w:pPr>
      <w:r>
        <w:rPr/>
        <w:t>Consultation title: To (Ofcom contact):</w:t>
      </w:r>
    </w:p>
    <w:p>
      <w:pPr>
        <w:pStyle w:val="BodyText"/>
        <w:spacing w:line="267" w:lineRule="exact"/>
        <w:ind w:left="119"/>
      </w:pPr>
      <w:r>
        <w:rPr/>
        <w:t>Name of respondent:</w:t>
      </w:r>
    </w:p>
    <w:p>
      <w:pPr>
        <w:pStyle w:val="BodyText"/>
        <w:spacing w:line="384" w:lineRule="auto" w:before="159"/>
        <w:ind w:left="119" w:right="5792"/>
      </w:pPr>
      <w:r>
        <w:rPr/>
        <w:t>Representing (self or organisation/s): Address (if not received by email):</w:t>
      </w:r>
    </w:p>
    <w:p>
      <w:pPr>
        <w:pStyle w:val="Heading2"/>
        <w:spacing w:before="78"/>
      </w:pPr>
      <w:bookmarkStart w:name="CONFIDENTIALITY" w:id="76"/>
      <w:bookmarkEnd w:id="76"/>
      <w:r>
        <w:rPr>
          <w:b w:val="0"/>
        </w:rPr>
      </w:r>
      <w:r>
        <w:rPr>
          <w:color w:val="CC0044"/>
        </w:rPr>
        <w:t>CONFIDENTIALITY</w:t>
      </w:r>
    </w:p>
    <w:p>
      <w:pPr>
        <w:pStyle w:val="BodyText"/>
        <w:tabs>
          <w:tab w:pos="4439" w:val="left" w:leader="none"/>
        </w:tabs>
        <w:spacing w:line="384" w:lineRule="auto" w:before="240"/>
        <w:ind w:left="120" w:right="358"/>
        <w:rPr>
          <w:rFonts w:ascii="Wingdings" w:hAnsi="Wingdings"/>
        </w:rPr>
      </w:pPr>
      <w:r>
        <w:rPr/>
        <w:t>Please tick below what part of your response you consider is confidential, giving your reasons why Nothing</w:t>
        <w:tab/>
      </w:r>
      <w:r>
        <w:rPr>
          <w:rFonts w:ascii="Wingdings" w:hAnsi="Wingdings"/>
        </w:rPr>
        <w:t></w:t>
      </w:r>
    </w:p>
    <w:p>
      <w:pPr>
        <w:pStyle w:val="BodyText"/>
        <w:tabs>
          <w:tab w:pos="4439" w:val="left" w:leader="none"/>
        </w:tabs>
        <w:spacing w:line="267" w:lineRule="exact"/>
        <w:ind w:left="119"/>
        <w:rPr>
          <w:rFonts w:ascii="Wingdings" w:hAnsi="Wingdings"/>
        </w:rPr>
      </w:pPr>
      <w:r>
        <w:rPr/>
        <w:t>Name/contact</w:t>
      </w:r>
      <w:r>
        <w:rPr>
          <w:spacing w:val="-4"/>
        </w:rPr>
        <w:t> </w:t>
      </w:r>
      <w:r>
        <w:rPr/>
        <w:t>details/job</w:t>
      </w:r>
      <w:r>
        <w:rPr>
          <w:spacing w:val="-4"/>
        </w:rPr>
        <w:t> </w:t>
      </w:r>
      <w:r>
        <w:rPr/>
        <w:t>title</w:t>
        <w:tab/>
      </w:r>
      <w:r>
        <w:rPr>
          <w:rFonts w:ascii="Wingdings" w:hAnsi="Wingdings"/>
        </w:rPr>
        <w:t></w:t>
      </w:r>
    </w:p>
    <w:p>
      <w:pPr>
        <w:pStyle w:val="BodyText"/>
        <w:tabs>
          <w:tab w:pos="4440" w:val="left" w:leader="none"/>
        </w:tabs>
        <w:spacing w:before="159"/>
        <w:ind w:left="119"/>
        <w:rPr>
          <w:rFonts w:ascii="Wingdings" w:hAnsi="Wingdings"/>
        </w:rPr>
      </w:pPr>
      <w:r>
        <w:rPr/>
        <w:t>Whole</w:t>
      </w:r>
      <w:r>
        <w:rPr>
          <w:spacing w:val="-3"/>
        </w:rPr>
        <w:t> </w:t>
      </w:r>
      <w:r>
        <w:rPr/>
        <w:t>response</w:t>
        <w:tab/>
      </w:r>
      <w:r>
        <w:rPr>
          <w:rFonts w:ascii="Wingdings" w:hAnsi="Wingdings"/>
        </w:rPr>
        <w:t></w:t>
      </w:r>
    </w:p>
    <w:p>
      <w:pPr>
        <w:pStyle w:val="BodyText"/>
        <w:tabs>
          <w:tab w:pos="4440" w:val="left" w:leader="none"/>
        </w:tabs>
        <w:spacing w:before="160"/>
        <w:ind w:left="120"/>
        <w:rPr>
          <w:rFonts w:ascii="Wingdings" w:hAnsi="Wingdings"/>
        </w:rPr>
      </w:pPr>
      <w:r>
        <w:rPr/>
        <w:t>Organisation</w:t>
        <w:tab/>
      </w:r>
      <w:r>
        <w:rPr>
          <w:rFonts w:ascii="Wingdings" w:hAnsi="Wingdings"/>
        </w:rPr>
        <w:t></w:t>
      </w:r>
    </w:p>
    <w:p>
      <w:pPr>
        <w:pStyle w:val="BodyText"/>
        <w:tabs>
          <w:tab w:pos="4440" w:val="left" w:leader="none"/>
        </w:tabs>
        <w:spacing w:before="159"/>
        <w:ind w:left="120"/>
        <w:rPr>
          <w:rFonts w:ascii="Wingdings" w:hAnsi="Wingdings"/>
        </w:rPr>
      </w:pPr>
      <w:r>
        <w:rPr/>
        <w:t>Part of</w:t>
      </w:r>
      <w:r>
        <w:rPr>
          <w:spacing w:val="-5"/>
        </w:rPr>
        <w:t> </w:t>
      </w:r>
      <w:r>
        <w:rPr/>
        <w:t>the</w:t>
      </w:r>
      <w:r>
        <w:rPr>
          <w:spacing w:val="-2"/>
        </w:rPr>
        <w:t> </w:t>
      </w:r>
      <w:r>
        <w:rPr/>
        <w:t>response</w:t>
        <w:tab/>
      </w:r>
      <w:r>
        <w:rPr>
          <w:rFonts w:ascii="Wingdings" w:hAnsi="Wingdings"/>
        </w:rPr>
        <w:t></w:t>
      </w:r>
    </w:p>
    <w:p>
      <w:pPr>
        <w:pStyle w:val="BodyText"/>
        <w:tabs>
          <w:tab w:pos="4489" w:val="left" w:leader="none"/>
          <w:tab w:pos="9087" w:val="left" w:leader="none"/>
        </w:tabs>
        <w:spacing w:before="160"/>
        <w:ind w:left="120"/>
      </w:pPr>
      <w:r>
        <w:rPr/>
        <w:t>If there is no separate annex, which</w:t>
      </w:r>
      <w:r>
        <w:rPr>
          <w:spacing w:val="-19"/>
        </w:rPr>
        <w:t> </w:t>
      </w:r>
      <w:r>
        <w:rPr/>
        <w:t>parts?</w:t>
        <w:tab/>
      </w:r>
      <w:r>
        <w:rPr>
          <w:w w:val="99"/>
          <w:u w:val="single"/>
        </w:rPr>
        <w:t> </w:t>
      </w:r>
      <w:r>
        <w:rPr>
          <w:u w:val="single"/>
        </w:rPr>
        <w:tab/>
      </w:r>
    </w:p>
    <w:p>
      <w:pPr>
        <w:pStyle w:val="BodyText"/>
        <w:rPr>
          <w:sz w:val="29"/>
        </w:rPr>
      </w:pPr>
      <w:r>
        <w:rPr/>
        <w:pict>
          <v:line style="position:absolute;mso-position-horizontal-relative:page;mso-position-vertical-relative:paragraph;z-index:1336;mso-wrap-distance-left:0;mso-wrap-distance-right:0" from="72.043922pt,20.050495pt" to="520.918936pt,20.050495pt" stroked="true" strokeweight=".713014pt" strokecolor="#000000">
            <v:stroke dashstyle="solid"/>
            <w10:wrap type="topAndBottom"/>
          </v:line>
        </w:pict>
      </w:r>
    </w:p>
    <w:p>
      <w:pPr>
        <w:pStyle w:val="BodyText"/>
        <w:spacing w:before="9"/>
        <w:rPr>
          <w:sz w:val="7"/>
        </w:rPr>
      </w:pPr>
    </w:p>
    <w:p>
      <w:pPr>
        <w:pStyle w:val="BodyText"/>
        <w:spacing w:line="276" w:lineRule="auto" w:before="56"/>
        <w:ind w:left="120" w:right="336"/>
      </w:pPr>
      <w:r>
        <w:rPr/>
        <w:t>If you want part of your response, your name or your organisation not to be published, can Ofcom still publish a reference to the contents of your response (including, for any confidential parts, a general summary that does not disclose the specific information or enable you to be identified)?</w:t>
      </w:r>
    </w:p>
    <w:p>
      <w:pPr>
        <w:pStyle w:val="BodyText"/>
        <w:spacing w:before="4"/>
        <w:rPr>
          <w:sz w:val="16"/>
        </w:rPr>
      </w:pPr>
    </w:p>
    <w:p>
      <w:pPr>
        <w:pStyle w:val="Heading2"/>
      </w:pPr>
      <w:bookmarkStart w:name="DECLARATION" w:id="77"/>
      <w:bookmarkEnd w:id="77"/>
      <w:r>
        <w:rPr>
          <w:b w:val="0"/>
        </w:rPr>
      </w:r>
      <w:r>
        <w:rPr>
          <w:color w:val="CC0044"/>
        </w:rPr>
        <w:t>DECLARATION</w:t>
      </w:r>
    </w:p>
    <w:p>
      <w:pPr>
        <w:pStyle w:val="BodyText"/>
        <w:spacing w:line="276" w:lineRule="auto" w:before="240"/>
        <w:ind w:left="120" w:right="128"/>
      </w:pPr>
      <w:r>
        <w:rPr/>
        <w:t>I confirm that the correspondence supplied with this cover sheet is a formal consultation response that Ofcom can publish. However, in supplying this response, I understand that Ofcom may need to publish all responses, including those which are marked as confidential, in order to meet legal obligations. If I have sent my response by email, Ofcom can disregard any standard e-mail text about not disclosing email contents and attachments.</w:t>
      </w:r>
    </w:p>
    <w:p>
      <w:pPr>
        <w:pStyle w:val="BodyText"/>
        <w:spacing w:line="276" w:lineRule="auto" w:before="119"/>
        <w:ind w:left="120" w:right="520"/>
      </w:pPr>
      <w:r>
        <w:rPr/>
        <w:t>Ofcom seeks to publish responses on receipt. If your response is non-confidential (in whole or in part), and you would prefer us to publish your response only once the consultation has ended, please tick here.</w:t>
      </w:r>
    </w:p>
    <w:p>
      <w:pPr>
        <w:pStyle w:val="BodyText"/>
      </w:pPr>
    </w:p>
    <w:p>
      <w:pPr>
        <w:pStyle w:val="BodyText"/>
        <w:spacing w:before="12"/>
      </w:pPr>
    </w:p>
    <w:p>
      <w:pPr>
        <w:pStyle w:val="BodyText"/>
        <w:tabs>
          <w:tab w:pos="3720" w:val="left" w:leader="none"/>
        </w:tabs>
        <w:ind w:left="120"/>
      </w:pPr>
      <w:r>
        <w:rPr/>
        <w:t>Name</w:t>
        <w:tab/>
        <w:t>Signed (if hard</w:t>
      </w:r>
      <w:r>
        <w:rPr>
          <w:spacing w:val="-12"/>
        </w:rPr>
        <w:t> </w:t>
      </w:r>
      <w:r>
        <w:rPr/>
        <w:t>copy)</w:t>
      </w:r>
    </w:p>
    <w:p>
      <w:pPr>
        <w:spacing w:after="0"/>
        <w:sectPr>
          <w:pgSz w:w="11910" w:h="16840"/>
          <w:pgMar w:header="727" w:footer="1309" w:top="920" w:bottom="1520" w:left="1320" w:right="1340"/>
        </w:sectPr>
      </w:pPr>
    </w:p>
    <w:p>
      <w:pPr>
        <w:pStyle w:val="BodyText"/>
        <w:rPr>
          <w:sz w:val="20"/>
        </w:rPr>
      </w:pPr>
    </w:p>
    <w:p>
      <w:pPr>
        <w:pStyle w:val="BodyText"/>
        <w:rPr>
          <w:sz w:val="20"/>
        </w:rPr>
      </w:pPr>
    </w:p>
    <w:p>
      <w:pPr>
        <w:pStyle w:val="BodyText"/>
        <w:spacing w:before="2"/>
        <w:rPr>
          <w:sz w:val="23"/>
        </w:rPr>
      </w:pPr>
    </w:p>
    <w:p>
      <w:pPr>
        <w:pStyle w:val="Heading1"/>
        <w:ind w:left="100"/>
      </w:pPr>
      <w:bookmarkStart w:name="A4. Consultation questions" w:id="78"/>
      <w:bookmarkEnd w:id="78"/>
      <w:r>
        <w:rPr/>
      </w:r>
      <w:bookmarkStart w:name="_bookmark19" w:id="79"/>
      <w:bookmarkEnd w:id="79"/>
      <w:r>
        <w:rPr/>
      </w:r>
      <w:r>
        <w:rPr>
          <w:color w:val="CC0044"/>
        </w:rPr>
        <w:t>A4. Consultation questions</w:t>
      </w:r>
    </w:p>
    <w:p>
      <w:pPr>
        <w:pStyle w:val="BodyText"/>
        <w:spacing w:before="5"/>
        <w:rPr>
          <w:sz w:val="16"/>
        </w:rPr>
      </w:pPr>
      <w:r>
        <w:rPr/>
        <w:pict>
          <v:shape style="position:absolute;margin-left:113.459999pt;margin-top:12.237855pt;width:416.3pt;height:143.950pt;mso-position-horizontal-relative:page;mso-position-vertical-relative:paragraph;z-index:1360;mso-wrap-distance-left:0;mso-wrap-distance-right:0" type="#_x0000_t202" filled="true" fillcolor="#f1f1f1" stroked="true" strokeweight=".481pt" strokecolor="#d9d9d9">
            <v:textbox inset="0,0,0,0">
              <w:txbxContent>
                <w:p>
                  <w:pPr>
                    <w:spacing w:before="99"/>
                    <w:ind w:left="129" w:right="0" w:firstLine="0"/>
                    <w:jc w:val="left"/>
                    <w:rPr>
                      <w:b/>
                      <w:sz w:val="24"/>
                    </w:rPr>
                  </w:pPr>
                  <w:bookmarkStart w:name="Consultation questions" w:id="80"/>
                  <w:bookmarkEnd w:id="80"/>
                  <w:r>
                    <w:rPr/>
                  </w:r>
                  <w:r>
                    <w:rPr>
                      <w:b/>
                      <w:color w:val="632466"/>
                      <w:sz w:val="24"/>
                    </w:rPr>
                    <w:t>Consultation questions</w:t>
                  </w:r>
                </w:p>
                <w:p>
                  <w:pPr>
                    <w:pStyle w:val="ListParagraph"/>
                    <w:numPr>
                      <w:ilvl w:val="0"/>
                      <w:numId w:val="6"/>
                    </w:numPr>
                    <w:tabs>
                      <w:tab w:pos="490" w:val="left" w:leader="none"/>
                    </w:tabs>
                    <w:spacing w:line="276" w:lineRule="auto" w:before="164" w:after="0"/>
                    <w:ind w:left="489" w:right="706" w:hanging="360"/>
                    <w:jc w:val="left"/>
                    <w:rPr>
                      <w:sz w:val="22"/>
                    </w:rPr>
                  </w:pPr>
                  <w:r>
                    <w:rPr>
                      <w:sz w:val="22"/>
                    </w:rPr>
                    <w:t>Do you agree with our proposals to add the 6425-7070 MHz band to the Shared Access</w:t>
                  </w:r>
                  <w:r>
                    <w:rPr>
                      <w:spacing w:val="-7"/>
                      <w:sz w:val="22"/>
                    </w:rPr>
                    <w:t> </w:t>
                  </w:r>
                  <w:r>
                    <w:rPr>
                      <w:sz w:val="22"/>
                    </w:rPr>
                    <w:t>framework?</w:t>
                  </w:r>
                </w:p>
                <w:p>
                  <w:pPr>
                    <w:pStyle w:val="ListParagraph"/>
                    <w:numPr>
                      <w:ilvl w:val="0"/>
                      <w:numId w:val="6"/>
                    </w:numPr>
                    <w:tabs>
                      <w:tab w:pos="490" w:val="left" w:leader="none"/>
                    </w:tabs>
                    <w:spacing w:line="240" w:lineRule="auto" w:before="119" w:after="0"/>
                    <w:ind w:left="489" w:right="0" w:hanging="360"/>
                    <w:jc w:val="left"/>
                    <w:rPr>
                      <w:sz w:val="22"/>
                    </w:rPr>
                  </w:pPr>
                  <w:r>
                    <w:rPr>
                      <w:sz w:val="22"/>
                    </w:rPr>
                    <w:t>Do you have any comments on potential uses for this</w:t>
                  </w:r>
                  <w:r>
                    <w:rPr>
                      <w:spacing w:val="-33"/>
                      <w:sz w:val="22"/>
                    </w:rPr>
                    <w:t> </w:t>
                  </w:r>
                  <w:r>
                    <w:rPr>
                      <w:sz w:val="22"/>
                    </w:rPr>
                    <w:t>licence?</w:t>
                  </w:r>
                </w:p>
                <w:p>
                  <w:pPr>
                    <w:pStyle w:val="ListParagraph"/>
                    <w:numPr>
                      <w:ilvl w:val="0"/>
                      <w:numId w:val="6"/>
                    </w:numPr>
                    <w:tabs>
                      <w:tab w:pos="490" w:val="left" w:leader="none"/>
                    </w:tabs>
                    <w:spacing w:line="276" w:lineRule="auto" w:before="159" w:after="0"/>
                    <w:ind w:left="489" w:right="850" w:hanging="360"/>
                    <w:jc w:val="left"/>
                    <w:rPr>
                      <w:sz w:val="22"/>
                    </w:rPr>
                  </w:pPr>
                  <w:r>
                    <w:rPr>
                      <w:sz w:val="22"/>
                    </w:rPr>
                    <w:t>Do you have any comments on our proposed licence conditions, licence fee or minimum separation</w:t>
                  </w:r>
                  <w:r>
                    <w:rPr>
                      <w:spacing w:val="-13"/>
                      <w:sz w:val="22"/>
                    </w:rPr>
                    <w:t> </w:t>
                  </w:r>
                  <w:r>
                    <w:rPr>
                      <w:sz w:val="22"/>
                    </w:rPr>
                    <w:t>distance?</w:t>
                  </w:r>
                </w:p>
                <w:p>
                  <w:pPr>
                    <w:pStyle w:val="ListParagraph"/>
                    <w:numPr>
                      <w:ilvl w:val="0"/>
                      <w:numId w:val="6"/>
                    </w:numPr>
                    <w:tabs>
                      <w:tab w:pos="490" w:val="left" w:leader="none"/>
                    </w:tabs>
                    <w:spacing w:line="240" w:lineRule="auto" w:before="119" w:after="0"/>
                    <w:ind w:left="489" w:right="0" w:hanging="360"/>
                    <w:jc w:val="left"/>
                    <w:rPr>
                      <w:sz w:val="22"/>
                    </w:rPr>
                  </w:pPr>
                  <w:r>
                    <w:rPr>
                      <w:sz w:val="22"/>
                    </w:rPr>
                    <w:t>Do you have any comments on our technical</w:t>
                  </w:r>
                  <w:r>
                    <w:rPr>
                      <w:spacing w:val="-24"/>
                      <w:sz w:val="22"/>
                    </w:rPr>
                    <w:t> </w:t>
                  </w:r>
                  <w:r>
                    <w:rPr>
                      <w:sz w:val="22"/>
                    </w:rPr>
                    <w:t>analysis?</w:t>
                  </w:r>
                </w:p>
              </w:txbxContent>
            </v:textbox>
            <v:fill type="solid"/>
            <v:stroke dashstyle="solid"/>
            <w10:wrap type="topAndBottom"/>
          </v:shape>
        </w:pict>
      </w:r>
    </w:p>
    <w:p>
      <w:pPr>
        <w:spacing w:after="0"/>
        <w:rPr>
          <w:sz w:val="16"/>
        </w:rPr>
        <w:sectPr>
          <w:pgSz w:w="11910" w:h="16840"/>
          <w:pgMar w:header="727" w:footer="1309" w:top="920" w:bottom="1520" w:left="1340" w:right="1200"/>
        </w:sectPr>
      </w:pPr>
    </w:p>
    <w:p>
      <w:pPr>
        <w:pStyle w:val="BodyText"/>
        <w:rPr>
          <w:sz w:val="20"/>
        </w:rPr>
      </w:pPr>
    </w:p>
    <w:p>
      <w:pPr>
        <w:pStyle w:val="BodyText"/>
        <w:rPr>
          <w:sz w:val="20"/>
        </w:rPr>
      </w:pPr>
    </w:p>
    <w:p>
      <w:pPr>
        <w:pStyle w:val="BodyText"/>
        <w:spacing w:before="2"/>
        <w:rPr>
          <w:sz w:val="23"/>
        </w:rPr>
      </w:pPr>
    </w:p>
    <w:p>
      <w:pPr>
        <w:pStyle w:val="Heading1"/>
        <w:ind w:right="215" w:hanging="1"/>
      </w:pPr>
      <w:bookmarkStart w:name="A5. Technical analysis in the 6425-7070 " w:id="81"/>
      <w:bookmarkEnd w:id="81"/>
      <w:r>
        <w:rPr/>
      </w:r>
      <w:bookmarkStart w:name="_bookmark20" w:id="82"/>
      <w:bookmarkEnd w:id="82"/>
      <w:r>
        <w:rPr/>
      </w:r>
      <w:r>
        <w:rPr>
          <w:color w:val="CC0044"/>
        </w:rPr>
        <w:t>A5. Technical analysis in the 6425-7070 MHz band</w:t>
      </w:r>
    </w:p>
    <w:p>
      <w:pPr>
        <w:pStyle w:val="Heading2"/>
        <w:spacing w:before="239"/>
      </w:pPr>
      <w:bookmarkStart w:name="Summary" w:id="83"/>
      <w:bookmarkEnd w:id="83"/>
      <w:r>
        <w:rPr>
          <w:b w:val="0"/>
        </w:rPr>
      </w:r>
      <w:r>
        <w:rPr>
          <w:color w:val="CC0044"/>
        </w:rPr>
        <w:t>Summary</w:t>
      </w:r>
    </w:p>
    <w:p>
      <w:pPr>
        <w:pStyle w:val="Heading3"/>
        <w:spacing w:before="240"/>
      </w:pPr>
      <w:bookmarkStart w:name="Background and conclusions from our anal" w:id="84"/>
      <w:bookmarkEnd w:id="84"/>
      <w:r>
        <w:rPr>
          <w:b w:val="0"/>
        </w:rPr>
      </w:r>
      <w:r>
        <w:rPr/>
        <w:t>Background and conclusions from our analysis</w:t>
      </w:r>
    </w:p>
    <w:p>
      <w:pPr>
        <w:pStyle w:val="BodyText"/>
        <w:tabs>
          <w:tab w:pos="970" w:val="left" w:leader="none"/>
        </w:tabs>
        <w:spacing w:line="276" w:lineRule="auto" w:before="239"/>
        <w:ind w:left="970" w:right="234" w:hanging="851"/>
      </w:pPr>
      <w:r>
        <w:rPr/>
        <w:t>A5.1</w:t>
        <w:tab/>
        <w:t>We are proposing to make the upper 6 GHz band (6425-7070 MHz) available</w:t>
      </w:r>
      <w:r>
        <w:rPr>
          <w:spacing w:val="-34"/>
        </w:rPr>
        <w:t> </w:t>
      </w:r>
      <w:r>
        <w:rPr/>
        <w:t>for</w:t>
      </w:r>
      <w:r>
        <w:rPr>
          <w:spacing w:val="-3"/>
        </w:rPr>
        <w:t> </w:t>
      </w:r>
      <w:r>
        <w:rPr/>
        <w:t>indoor-</w:t>
      </w:r>
      <w:r>
        <w:rPr>
          <w:w w:val="99"/>
        </w:rPr>
        <w:t> </w:t>
      </w:r>
      <w:r>
        <w:rPr/>
        <w:t>only, technology-neutral use on a licensed basis.</w:t>
      </w:r>
      <w:hyperlink w:history="true" w:anchor="_bookmark22">
        <w:r>
          <w:rPr>
            <w:position w:val="6"/>
            <w:sz w:val="12"/>
          </w:rPr>
          <w:t>13</w:t>
        </w:r>
      </w:hyperlink>
      <w:r>
        <w:rPr>
          <w:position w:val="6"/>
          <w:sz w:val="12"/>
        </w:rPr>
        <w:t> </w:t>
      </w:r>
      <w:r>
        <w:rPr/>
        <w:t>Given the technical parameters we are proposing, we expected most use to be by RLANs and other related wireless technologies. We have decided to limit the top of the band in the licence to 7070 MHz to expediate access to the</w:t>
      </w:r>
      <w:r>
        <w:rPr>
          <w:spacing w:val="-12"/>
        </w:rPr>
        <w:t> </w:t>
      </w:r>
      <w:r>
        <w:rPr/>
        <w:t>spectrum.</w:t>
      </w:r>
    </w:p>
    <w:p>
      <w:pPr>
        <w:pStyle w:val="BodyText"/>
        <w:tabs>
          <w:tab w:pos="970" w:val="left" w:leader="none"/>
        </w:tabs>
        <w:spacing w:line="276" w:lineRule="auto" w:before="119"/>
        <w:ind w:left="971" w:right="151" w:hanging="851"/>
      </w:pPr>
      <w:r>
        <w:rPr/>
        <w:t>A5.2</w:t>
        <w:tab/>
        <w:t>Outdoor</w:t>
      </w:r>
      <w:r>
        <w:rPr>
          <w:spacing w:val="-4"/>
        </w:rPr>
        <w:t> </w:t>
      </w:r>
      <w:r>
        <w:rPr/>
        <w:t>use</w:t>
      </w:r>
      <w:r>
        <w:rPr>
          <w:spacing w:val="-2"/>
        </w:rPr>
        <w:t> </w:t>
      </w:r>
      <w:r>
        <w:rPr/>
        <w:t>would</w:t>
      </w:r>
      <w:r>
        <w:rPr>
          <w:spacing w:val="-4"/>
        </w:rPr>
        <w:t> </w:t>
      </w:r>
      <w:r>
        <w:rPr/>
        <w:t>not</w:t>
      </w:r>
      <w:r>
        <w:rPr>
          <w:spacing w:val="-3"/>
        </w:rPr>
        <w:t> </w:t>
      </w:r>
      <w:r>
        <w:rPr/>
        <w:t>be</w:t>
      </w:r>
      <w:r>
        <w:rPr>
          <w:spacing w:val="-3"/>
        </w:rPr>
        <w:t> </w:t>
      </w:r>
      <w:r>
        <w:rPr/>
        <w:t>permitted,</w:t>
      </w:r>
      <w:r>
        <w:rPr>
          <w:spacing w:val="-4"/>
        </w:rPr>
        <w:t> </w:t>
      </w:r>
      <w:r>
        <w:rPr/>
        <w:t>and</w:t>
      </w:r>
      <w:r>
        <w:rPr>
          <w:spacing w:val="-4"/>
        </w:rPr>
        <w:t> </w:t>
      </w:r>
      <w:r>
        <w:rPr/>
        <w:t>the</w:t>
      </w:r>
      <w:r>
        <w:rPr>
          <w:spacing w:val="-3"/>
        </w:rPr>
        <w:t> </w:t>
      </w:r>
      <w:r>
        <w:rPr/>
        <w:t>maximum</w:t>
      </w:r>
      <w:r>
        <w:rPr>
          <w:spacing w:val="-3"/>
        </w:rPr>
        <w:t> </w:t>
      </w:r>
      <w:r>
        <w:rPr/>
        <w:t>EIRP</w:t>
      </w:r>
      <w:r>
        <w:rPr>
          <w:spacing w:val="-3"/>
        </w:rPr>
        <w:t> </w:t>
      </w:r>
      <w:r>
        <w:rPr/>
        <w:t>of</w:t>
      </w:r>
      <w:r>
        <w:rPr>
          <w:spacing w:val="-3"/>
        </w:rPr>
        <w:t> </w:t>
      </w:r>
      <w:r>
        <w:rPr/>
        <w:t>indoor</w:t>
      </w:r>
      <w:r>
        <w:rPr>
          <w:spacing w:val="-4"/>
        </w:rPr>
        <w:t> </w:t>
      </w:r>
      <w:r>
        <w:rPr/>
        <w:t>Access</w:t>
      </w:r>
      <w:r>
        <w:rPr>
          <w:spacing w:val="-4"/>
        </w:rPr>
        <w:t> </w:t>
      </w:r>
      <w:r>
        <w:rPr/>
        <w:t>Points</w:t>
      </w:r>
      <w:r>
        <w:rPr>
          <w:spacing w:val="-4"/>
        </w:rPr>
        <w:t> </w:t>
      </w:r>
      <w:r>
        <w:rPr/>
        <w:t>(APs)</w:t>
      </w:r>
      <w:r>
        <w:rPr>
          <w:w w:val="99"/>
        </w:rPr>
        <w:t> </w:t>
      </w:r>
      <w:r>
        <w:rPr/>
        <w:t>and their client devices would be limited to 250mW (with maximum mean EIRP density of 12.6mW/MHz in any 1 MHz band), consistent with our limits for the lower 6 GHz band (5925-6425 MHz). Mobile/nomadic client device use must be under the control of a licensed indoor</w:t>
      </w:r>
      <w:r>
        <w:rPr>
          <w:spacing w:val="-10"/>
        </w:rPr>
        <w:t> </w:t>
      </w:r>
      <w:r>
        <w:rPr/>
        <w:t>AP.</w:t>
      </w:r>
    </w:p>
    <w:p>
      <w:pPr>
        <w:pStyle w:val="BodyText"/>
        <w:tabs>
          <w:tab w:pos="970" w:val="left" w:leader="none"/>
        </w:tabs>
        <w:spacing w:line="276" w:lineRule="auto" w:before="119"/>
        <w:ind w:left="970" w:right="358" w:hanging="851"/>
      </w:pPr>
      <w:r>
        <w:rPr/>
        <w:t>A5.3</w:t>
        <w:tab/>
        <w:t>We</w:t>
      </w:r>
      <w:r>
        <w:rPr>
          <w:spacing w:val="-4"/>
        </w:rPr>
        <w:t> </w:t>
      </w:r>
      <w:r>
        <w:rPr/>
        <w:t>would</w:t>
      </w:r>
      <w:r>
        <w:rPr>
          <w:spacing w:val="-3"/>
        </w:rPr>
        <w:t> </w:t>
      </w:r>
      <w:r>
        <w:rPr/>
        <w:t>make</w:t>
      </w:r>
      <w:r>
        <w:rPr>
          <w:spacing w:val="-4"/>
        </w:rPr>
        <w:t> </w:t>
      </w:r>
      <w:r>
        <w:rPr/>
        <w:t>the</w:t>
      </w:r>
      <w:r>
        <w:rPr>
          <w:spacing w:val="-3"/>
        </w:rPr>
        <w:t> </w:t>
      </w:r>
      <w:r>
        <w:rPr/>
        <w:t>band</w:t>
      </w:r>
      <w:r>
        <w:rPr>
          <w:spacing w:val="-3"/>
        </w:rPr>
        <w:t> </w:t>
      </w:r>
      <w:r>
        <w:rPr/>
        <w:t>available</w:t>
      </w:r>
      <w:r>
        <w:rPr>
          <w:spacing w:val="-4"/>
        </w:rPr>
        <w:t> </w:t>
      </w:r>
      <w:r>
        <w:rPr/>
        <w:t>on</w:t>
      </w:r>
      <w:r>
        <w:rPr>
          <w:spacing w:val="-3"/>
        </w:rPr>
        <w:t> </w:t>
      </w:r>
      <w:r>
        <w:rPr/>
        <w:t>a</w:t>
      </w:r>
      <w:r>
        <w:rPr>
          <w:spacing w:val="-4"/>
        </w:rPr>
        <w:t> </w:t>
      </w:r>
      <w:r>
        <w:rPr/>
        <w:t>technology-neutral</w:t>
      </w:r>
      <w:r>
        <w:rPr>
          <w:spacing w:val="-3"/>
        </w:rPr>
        <w:t> </w:t>
      </w:r>
      <w:r>
        <w:rPr/>
        <w:t>basis</w:t>
      </w:r>
      <w:r>
        <w:rPr>
          <w:spacing w:val="-2"/>
        </w:rPr>
        <w:t> </w:t>
      </w:r>
      <w:r>
        <w:rPr/>
        <w:t>but</w:t>
      </w:r>
      <w:r>
        <w:rPr>
          <w:spacing w:val="-3"/>
        </w:rPr>
        <w:t> </w:t>
      </w:r>
      <w:r>
        <w:rPr/>
        <w:t>expect</w:t>
      </w:r>
      <w:r>
        <w:rPr>
          <w:spacing w:val="-4"/>
        </w:rPr>
        <w:t> </w:t>
      </w:r>
      <w:r>
        <w:rPr/>
        <w:t>that</w:t>
      </w:r>
      <w:r>
        <w:rPr>
          <w:spacing w:val="-4"/>
        </w:rPr>
        <w:t> </w:t>
      </w:r>
      <w:r>
        <w:rPr/>
        <w:t>RLANs</w:t>
      </w:r>
      <w:r>
        <w:rPr>
          <w:spacing w:val="-1"/>
          <w:w w:val="99"/>
        </w:rPr>
        <w:t> </w:t>
      </w:r>
      <w:r>
        <w:rPr/>
        <w:t>would be the most likely use given the proposed technical parameters. A licence will permit the use of any channels in the upper 6 GHz band by licensed indoor APs and their client devices. The use of polite protocols is not required; however, in our coexistence analysis we have assumed that they will be used within most deployments, based on the equipment that is currently available for the</w:t>
      </w:r>
      <w:r>
        <w:rPr>
          <w:spacing w:val="-29"/>
        </w:rPr>
        <w:t> </w:t>
      </w:r>
      <w:r>
        <w:rPr/>
        <w:t>band.</w:t>
      </w:r>
    </w:p>
    <w:p>
      <w:pPr>
        <w:pStyle w:val="BodyText"/>
        <w:tabs>
          <w:tab w:pos="970" w:val="left" w:leader="none"/>
        </w:tabs>
        <w:spacing w:line="276" w:lineRule="auto" w:before="119"/>
        <w:ind w:left="970" w:right="103" w:hanging="851"/>
      </w:pPr>
      <w:bookmarkStart w:name="_bookmark21" w:id="85"/>
      <w:bookmarkEnd w:id="85"/>
      <w:r>
        <w:rPr/>
      </w:r>
      <w:r>
        <w:rPr/>
        <w:t>A5.4</w:t>
        <w:tab/>
        <w:t>We</w:t>
      </w:r>
      <w:r>
        <w:rPr>
          <w:spacing w:val="-3"/>
        </w:rPr>
        <w:t> </w:t>
      </w:r>
      <w:r>
        <w:rPr/>
        <w:t>would</w:t>
      </w:r>
      <w:r>
        <w:rPr>
          <w:spacing w:val="-2"/>
        </w:rPr>
        <w:t> </w:t>
      </w:r>
      <w:r>
        <w:rPr/>
        <w:t>expect</w:t>
      </w:r>
      <w:r>
        <w:rPr>
          <w:spacing w:val="-2"/>
        </w:rPr>
        <w:t> </w:t>
      </w:r>
      <w:r>
        <w:rPr/>
        <w:t>that</w:t>
      </w:r>
      <w:r>
        <w:rPr>
          <w:spacing w:val="-2"/>
        </w:rPr>
        <w:t> </w:t>
      </w:r>
      <w:r>
        <w:rPr/>
        <w:t>there</w:t>
      </w:r>
      <w:r>
        <w:rPr>
          <w:spacing w:val="-3"/>
        </w:rPr>
        <w:t> </w:t>
      </w:r>
      <w:r>
        <w:rPr/>
        <w:t>would</w:t>
      </w:r>
      <w:r>
        <w:rPr>
          <w:spacing w:val="-2"/>
        </w:rPr>
        <w:t> </w:t>
      </w:r>
      <w:r>
        <w:rPr/>
        <w:t>be</w:t>
      </w:r>
      <w:r>
        <w:rPr>
          <w:spacing w:val="-3"/>
        </w:rPr>
        <w:t> </w:t>
      </w:r>
      <w:r>
        <w:rPr/>
        <w:t>a</w:t>
      </w:r>
      <w:r>
        <w:rPr>
          <w:spacing w:val="-1"/>
        </w:rPr>
        <w:t> </w:t>
      </w:r>
      <w:r>
        <w:rPr/>
        <w:t>lower</w:t>
      </w:r>
      <w:r>
        <w:rPr>
          <w:spacing w:val="-3"/>
        </w:rPr>
        <w:t> </w:t>
      </w:r>
      <w:r>
        <w:rPr/>
        <w:t>density</w:t>
      </w:r>
      <w:r>
        <w:rPr>
          <w:spacing w:val="-3"/>
        </w:rPr>
        <w:t> </w:t>
      </w:r>
      <w:r>
        <w:rPr/>
        <w:t>of</w:t>
      </w:r>
      <w:r>
        <w:rPr>
          <w:spacing w:val="-3"/>
        </w:rPr>
        <w:t> </w:t>
      </w:r>
      <w:r>
        <w:rPr/>
        <w:t>use</w:t>
      </w:r>
      <w:r>
        <w:rPr>
          <w:spacing w:val="-3"/>
        </w:rPr>
        <w:t> </w:t>
      </w:r>
      <w:r>
        <w:rPr/>
        <w:t>of</w:t>
      </w:r>
      <w:r>
        <w:rPr>
          <w:spacing w:val="-2"/>
        </w:rPr>
        <w:t> </w:t>
      </w:r>
      <w:r>
        <w:rPr/>
        <w:t>the</w:t>
      </w:r>
      <w:r>
        <w:rPr>
          <w:spacing w:val="-3"/>
        </w:rPr>
        <w:t> </w:t>
      </w:r>
      <w:r>
        <w:rPr/>
        <w:t>upper</w:t>
      </w:r>
      <w:r>
        <w:rPr>
          <w:spacing w:val="-3"/>
        </w:rPr>
        <w:t> </w:t>
      </w:r>
      <w:r>
        <w:rPr/>
        <w:t>6</w:t>
      </w:r>
      <w:r>
        <w:rPr>
          <w:spacing w:val="-2"/>
        </w:rPr>
        <w:t> </w:t>
      </w:r>
      <w:r>
        <w:rPr/>
        <w:t>GHz</w:t>
      </w:r>
      <w:r>
        <w:rPr>
          <w:spacing w:val="-3"/>
        </w:rPr>
        <w:t> </w:t>
      </w:r>
      <w:r>
        <w:rPr/>
        <w:t>Shared</w:t>
      </w:r>
      <w:r>
        <w:rPr>
          <w:w w:val="99"/>
        </w:rPr>
        <w:t> </w:t>
      </w:r>
      <w:r>
        <w:rPr/>
        <w:t>Access band compared to the lower 6 GHz licence-exempt band. This is because, due to the requirement to obtain a licence, use is more likely to be for industrial or research purposes, rather than for mass-market consumer equipment. ECC Report 302, Table 33: Summary of WAS/RLAN deployment model, estimated that 90% of devices operate in licence-exempt spectrum compared to licensed</w:t>
      </w:r>
      <w:r>
        <w:rPr>
          <w:spacing w:val="-22"/>
        </w:rPr>
        <w:t> </w:t>
      </w:r>
      <w:r>
        <w:rPr/>
        <w:t>spectrum.</w:t>
      </w:r>
    </w:p>
    <w:p>
      <w:pPr>
        <w:pStyle w:val="BodyText"/>
        <w:tabs>
          <w:tab w:pos="970" w:val="left" w:leader="none"/>
        </w:tabs>
        <w:spacing w:line="276" w:lineRule="auto" w:before="119"/>
        <w:ind w:left="970" w:right="285" w:hanging="851"/>
      </w:pPr>
      <w:r>
        <w:rPr/>
        <w:t>A5.5</w:t>
        <w:tab/>
        <w:t>The</w:t>
      </w:r>
      <w:r>
        <w:rPr>
          <w:spacing w:val="-3"/>
        </w:rPr>
        <w:t> </w:t>
      </w:r>
      <w:r>
        <w:rPr/>
        <w:t>upper</w:t>
      </w:r>
      <w:r>
        <w:rPr>
          <w:spacing w:val="-3"/>
        </w:rPr>
        <w:t> </w:t>
      </w:r>
      <w:r>
        <w:rPr/>
        <w:t>6</w:t>
      </w:r>
      <w:r>
        <w:rPr>
          <w:spacing w:val="-2"/>
        </w:rPr>
        <w:t> </w:t>
      </w:r>
      <w:r>
        <w:rPr/>
        <w:t>GHz</w:t>
      </w:r>
      <w:r>
        <w:rPr>
          <w:spacing w:val="-3"/>
        </w:rPr>
        <w:t> </w:t>
      </w:r>
      <w:r>
        <w:rPr/>
        <w:t>band</w:t>
      </w:r>
      <w:r>
        <w:rPr>
          <w:spacing w:val="-4"/>
        </w:rPr>
        <w:t> </w:t>
      </w:r>
      <w:r>
        <w:rPr/>
        <w:t>is</w:t>
      </w:r>
      <w:r>
        <w:rPr>
          <w:spacing w:val="-3"/>
        </w:rPr>
        <w:t> </w:t>
      </w:r>
      <w:r>
        <w:rPr/>
        <w:t>used</w:t>
      </w:r>
      <w:r>
        <w:rPr>
          <w:spacing w:val="-4"/>
        </w:rPr>
        <w:t> </w:t>
      </w:r>
      <w:r>
        <w:rPr/>
        <w:t>for</w:t>
      </w:r>
      <w:r>
        <w:rPr>
          <w:spacing w:val="-4"/>
        </w:rPr>
        <w:t> </w:t>
      </w:r>
      <w:r>
        <w:rPr/>
        <w:t>a</w:t>
      </w:r>
      <w:r>
        <w:rPr>
          <w:spacing w:val="-4"/>
        </w:rPr>
        <w:t> </w:t>
      </w:r>
      <w:r>
        <w:rPr/>
        <w:t>range</w:t>
      </w:r>
      <w:r>
        <w:rPr>
          <w:spacing w:val="-4"/>
        </w:rPr>
        <w:t> </w:t>
      </w:r>
      <w:r>
        <w:rPr/>
        <w:t>of</w:t>
      </w:r>
      <w:r>
        <w:rPr>
          <w:spacing w:val="-4"/>
        </w:rPr>
        <w:t> </w:t>
      </w:r>
      <w:r>
        <w:rPr/>
        <w:t>different</w:t>
      </w:r>
      <w:r>
        <w:rPr>
          <w:spacing w:val="-2"/>
        </w:rPr>
        <w:t> </w:t>
      </w:r>
      <w:r>
        <w:rPr/>
        <w:t>communications</w:t>
      </w:r>
      <w:r>
        <w:rPr>
          <w:spacing w:val="-4"/>
        </w:rPr>
        <w:t> </w:t>
      </w:r>
      <w:r>
        <w:rPr/>
        <w:t>services</w:t>
      </w:r>
      <w:r>
        <w:rPr>
          <w:spacing w:val="-4"/>
        </w:rPr>
        <w:t> </w:t>
      </w:r>
      <w:r>
        <w:rPr/>
        <w:t>including</w:t>
      </w:r>
      <w:r>
        <w:rPr>
          <w:w w:val="99"/>
        </w:rPr>
        <w:t> </w:t>
      </w:r>
      <w:r>
        <w:rPr/>
        <w:t>fixed links, fixed satellites, space science and short range devices (for example Ultra Wide Band, radio determination devices and radar level gauges). To understand the potential risks of interference to other services we have reviewed and, where necessary, refreshed the previous analysis we undertook when we made the lower 6 GHz band</w:t>
      </w:r>
      <w:r>
        <w:rPr>
          <w:spacing w:val="-31"/>
        </w:rPr>
        <w:t> </w:t>
      </w:r>
      <w:r>
        <w:rPr/>
        <w:t>(5925-</w:t>
      </w:r>
    </w:p>
    <w:p>
      <w:pPr>
        <w:pStyle w:val="BodyText"/>
        <w:spacing w:line="276" w:lineRule="auto"/>
        <w:ind w:left="970" w:right="205"/>
      </w:pPr>
      <w:r>
        <w:rPr/>
        <w:t>6425 MHz) </w:t>
      </w:r>
      <w:hyperlink r:id="rId14">
        <w:r>
          <w:rPr>
            <w:color w:val="C70044"/>
            <w:u w:val="single" w:color="C70044"/>
          </w:rPr>
          <w:t>available for RLAN/Wi-Fi use </w:t>
        </w:r>
      </w:hyperlink>
      <w:r>
        <w:rPr/>
        <w:t>in July 2020. We have concluded that, due to the similarity in use between the lower and upper 6 GHz band, where applicable, our previous analysis is still valid for sharing scenarios in the upper 6 GHz band.</w:t>
      </w:r>
    </w:p>
    <w:p>
      <w:pPr>
        <w:pStyle w:val="BodyText"/>
        <w:rPr>
          <w:sz w:val="20"/>
        </w:rPr>
      </w:pPr>
    </w:p>
    <w:p>
      <w:pPr>
        <w:pStyle w:val="BodyText"/>
        <w:rPr>
          <w:sz w:val="20"/>
        </w:rPr>
      </w:pPr>
    </w:p>
    <w:p>
      <w:pPr>
        <w:pStyle w:val="BodyText"/>
        <w:spacing w:before="10"/>
        <w:rPr>
          <w:sz w:val="14"/>
        </w:rPr>
      </w:pPr>
      <w:r>
        <w:rPr/>
        <w:pict>
          <v:line style="position:absolute;mso-position-horizontal-relative:page;mso-position-vertical-relative:paragraph;z-index:1384;mso-wrap-distance-left:0;mso-wrap-distance-right:0" from="72pt,11.376452pt" to="216pt,11.376452pt" stroked="true" strokeweight=".72pt" strokecolor="#000000">
            <v:stroke dashstyle="solid"/>
            <w10:wrap type="topAndBottom"/>
          </v:line>
        </w:pict>
      </w:r>
    </w:p>
    <w:p>
      <w:pPr>
        <w:pStyle w:val="BodyText"/>
        <w:spacing w:before="6"/>
        <w:rPr>
          <w:sz w:val="12"/>
        </w:rPr>
      </w:pPr>
    </w:p>
    <w:p>
      <w:pPr>
        <w:spacing w:before="76"/>
        <w:ind w:left="120" w:right="0" w:firstLine="0"/>
        <w:jc w:val="left"/>
        <w:rPr>
          <w:sz w:val="18"/>
        </w:rPr>
      </w:pPr>
      <w:bookmarkStart w:name="_bookmark22" w:id="86"/>
      <w:bookmarkEnd w:id="86"/>
      <w:r>
        <w:rPr/>
      </w:r>
      <w:r>
        <w:rPr>
          <w:position w:val="6"/>
          <w:sz w:val="12"/>
        </w:rPr>
        <w:t>13 </w:t>
      </w:r>
      <w:r>
        <w:rPr>
          <w:sz w:val="18"/>
        </w:rPr>
        <w:t>We refer to potential RLAN use in this annex, this should not be taken to exclude other types of wireless technologies.</w:t>
      </w:r>
    </w:p>
    <w:p>
      <w:pPr>
        <w:spacing w:after="0"/>
        <w:jc w:val="left"/>
        <w:rPr>
          <w:sz w:val="18"/>
        </w:rPr>
        <w:sectPr>
          <w:pgSz w:w="11910" w:h="16840"/>
          <w:pgMar w:header="727" w:footer="1309" w:top="920" w:bottom="1500" w:left="1320" w:right="1340"/>
        </w:sectPr>
      </w:pPr>
    </w:p>
    <w:p>
      <w:pPr>
        <w:pStyle w:val="BodyText"/>
        <w:rPr>
          <w:sz w:val="20"/>
        </w:rPr>
      </w:pPr>
    </w:p>
    <w:p>
      <w:pPr>
        <w:pStyle w:val="BodyText"/>
        <w:rPr>
          <w:sz w:val="20"/>
        </w:rPr>
      </w:pPr>
    </w:p>
    <w:p>
      <w:pPr>
        <w:pStyle w:val="BodyText"/>
        <w:spacing w:before="11"/>
        <w:rPr>
          <w:sz w:val="18"/>
        </w:rPr>
      </w:pPr>
    </w:p>
    <w:p>
      <w:pPr>
        <w:pStyle w:val="BodyText"/>
        <w:tabs>
          <w:tab w:pos="970" w:val="left" w:leader="none"/>
        </w:tabs>
        <w:spacing w:line="276" w:lineRule="auto" w:before="56"/>
        <w:ind w:left="970" w:right="200" w:hanging="851"/>
      </w:pPr>
      <w:r>
        <w:rPr/>
        <w:t>A5.6</w:t>
        <w:tab/>
        <w:t>The results of our analysis suggest that opening the upper 6 GHz band for RLANs</w:t>
      </w:r>
      <w:r>
        <w:rPr>
          <w:spacing w:val="-35"/>
        </w:rPr>
        <w:t> </w:t>
      </w:r>
      <w:r>
        <w:rPr/>
        <w:t>on</w:t>
      </w:r>
      <w:r>
        <w:rPr>
          <w:spacing w:val="-4"/>
        </w:rPr>
        <w:t> </w:t>
      </w:r>
      <w:r>
        <w:rPr/>
        <w:t>a</w:t>
      </w:r>
      <w:r>
        <w:rPr>
          <w:w w:val="99"/>
        </w:rPr>
        <w:t> </w:t>
      </w:r>
      <w:r>
        <w:rPr/>
        <w:t>licensed basis is possible for indoor, low-power use (maximum EIRP 250mW) with minimal risk to incumbent users. We believe that opening the band will help facilitate new and innovative RLAN use</w:t>
      </w:r>
      <w:r>
        <w:rPr>
          <w:spacing w:val="-12"/>
        </w:rPr>
        <w:t> </w:t>
      </w:r>
      <w:r>
        <w:rPr/>
        <w:t>cases.</w:t>
      </w:r>
    </w:p>
    <w:p>
      <w:pPr>
        <w:pStyle w:val="BodyText"/>
        <w:spacing w:before="4"/>
        <w:rPr>
          <w:sz w:val="16"/>
        </w:rPr>
      </w:pPr>
    </w:p>
    <w:p>
      <w:pPr>
        <w:pStyle w:val="Heading2"/>
      </w:pPr>
      <w:bookmarkStart w:name="Coexistence with incumbent services" w:id="87"/>
      <w:bookmarkEnd w:id="87"/>
      <w:r>
        <w:rPr>
          <w:b w:val="0"/>
        </w:rPr>
      </w:r>
      <w:r>
        <w:rPr>
          <w:color w:val="CC0044"/>
        </w:rPr>
        <w:t>Coexistence with incumbent services</w:t>
      </w:r>
    </w:p>
    <w:p>
      <w:pPr>
        <w:pStyle w:val="Heading3"/>
        <w:spacing w:before="239"/>
      </w:pPr>
      <w:bookmarkStart w:name="Fixed links" w:id="88"/>
      <w:bookmarkEnd w:id="88"/>
      <w:r>
        <w:rPr>
          <w:b w:val="0"/>
        </w:rPr>
      </w:r>
      <w:r>
        <w:rPr/>
        <w:t>Fixed links</w:t>
      </w:r>
    </w:p>
    <w:p>
      <w:pPr>
        <w:pStyle w:val="Heading5"/>
        <w:spacing w:before="241"/>
      </w:pPr>
      <w:bookmarkStart w:name="Our conclusions on sharing with fixed li" w:id="89"/>
      <w:bookmarkEnd w:id="89"/>
      <w:r>
        <w:rPr>
          <w:b w:val="0"/>
        </w:rPr>
      </w:r>
      <w:r>
        <w:rPr>
          <w:color w:val="632466"/>
        </w:rPr>
        <w:t>Our conclusions on sharing with fixed links</w:t>
      </w:r>
    </w:p>
    <w:p>
      <w:pPr>
        <w:pStyle w:val="BodyText"/>
        <w:spacing w:before="8"/>
        <w:rPr>
          <w:b/>
          <w:sz w:val="19"/>
        </w:rPr>
      </w:pPr>
    </w:p>
    <w:p>
      <w:pPr>
        <w:pStyle w:val="BodyText"/>
        <w:tabs>
          <w:tab w:pos="970" w:val="left" w:leader="none"/>
        </w:tabs>
        <w:spacing w:line="276" w:lineRule="auto"/>
        <w:ind w:left="970" w:right="130" w:hanging="851"/>
      </w:pPr>
      <w:r>
        <w:rPr/>
        <w:t>A5.7</w:t>
        <w:tab/>
        <w:t>We</w:t>
      </w:r>
      <w:r>
        <w:rPr>
          <w:spacing w:val="-4"/>
        </w:rPr>
        <w:t> </w:t>
      </w:r>
      <w:r>
        <w:rPr/>
        <w:t>have</w:t>
      </w:r>
      <w:r>
        <w:rPr>
          <w:spacing w:val="-3"/>
        </w:rPr>
        <w:t> </w:t>
      </w:r>
      <w:r>
        <w:rPr/>
        <w:t>concluded</w:t>
      </w:r>
      <w:r>
        <w:rPr>
          <w:spacing w:val="-3"/>
        </w:rPr>
        <w:t> </w:t>
      </w:r>
      <w:r>
        <w:rPr/>
        <w:t>that</w:t>
      </w:r>
      <w:r>
        <w:rPr>
          <w:spacing w:val="-3"/>
        </w:rPr>
        <w:t> </w:t>
      </w:r>
      <w:r>
        <w:rPr/>
        <w:t>sharing</w:t>
      </w:r>
      <w:r>
        <w:rPr>
          <w:spacing w:val="-4"/>
        </w:rPr>
        <w:t> </w:t>
      </w:r>
      <w:r>
        <w:rPr/>
        <w:t>between</w:t>
      </w:r>
      <w:r>
        <w:rPr>
          <w:spacing w:val="-4"/>
        </w:rPr>
        <w:t> </w:t>
      </w:r>
      <w:r>
        <w:rPr/>
        <w:t>indoor</w:t>
      </w:r>
      <w:r>
        <w:rPr>
          <w:spacing w:val="-4"/>
        </w:rPr>
        <w:t> </w:t>
      </w:r>
      <w:r>
        <w:rPr/>
        <w:t>only</w:t>
      </w:r>
      <w:r>
        <w:rPr>
          <w:spacing w:val="-4"/>
        </w:rPr>
        <w:t> </w:t>
      </w:r>
      <w:r>
        <w:rPr/>
        <w:t>RLAN</w:t>
      </w:r>
      <w:r>
        <w:rPr>
          <w:spacing w:val="-3"/>
        </w:rPr>
        <w:t> </w:t>
      </w:r>
      <w:r>
        <w:rPr/>
        <w:t>use</w:t>
      </w:r>
      <w:r>
        <w:rPr>
          <w:spacing w:val="-3"/>
        </w:rPr>
        <w:t> </w:t>
      </w:r>
      <w:r>
        <w:rPr/>
        <w:t>and</w:t>
      </w:r>
      <w:r>
        <w:rPr>
          <w:spacing w:val="-4"/>
        </w:rPr>
        <w:t> </w:t>
      </w:r>
      <w:r>
        <w:rPr/>
        <w:t>fixed</w:t>
      </w:r>
      <w:r>
        <w:rPr>
          <w:spacing w:val="-3"/>
        </w:rPr>
        <w:t> </w:t>
      </w:r>
      <w:r>
        <w:rPr/>
        <w:t>links</w:t>
      </w:r>
      <w:r>
        <w:rPr>
          <w:spacing w:val="-2"/>
        </w:rPr>
        <w:t> </w:t>
      </w:r>
      <w:r>
        <w:rPr/>
        <w:t>in</w:t>
      </w:r>
      <w:r>
        <w:rPr>
          <w:spacing w:val="-4"/>
        </w:rPr>
        <w:t> </w:t>
      </w:r>
      <w:r>
        <w:rPr/>
        <w:t>the</w:t>
      </w:r>
      <w:r>
        <w:rPr>
          <w:spacing w:val="-3"/>
        </w:rPr>
        <w:t> </w:t>
      </w:r>
      <w:r>
        <w:rPr/>
        <w:t>upper</w:t>
      </w:r>
      <w:r>
        <w:rPr>
          <w:spacing w:val="-1"/>
          <w:w w:val="99"/>
        </w:rPr>
        <w:t> </w:t>
      </w:r>
      <w:r>
        <w:rPr/>
        <w:t>6</w:t>
      </w:r>
      <w:r>
        <w:rPr>
          <w:spacing w:val="-3"/>
        </w:rPr>
        <w:t> </w:t>
      </w:r>
      <w:r>
        <w:rPr/>
        <w:t>GHz</w:t>
      </w:r>
      <w:r>
        <w:rPr>
          <w:spacing w:val="-3"/>
        </w:rPr>
        <w:t> </w:t>
      </w:r>
      <w:r>
        <w:rPr/>
        <w:t>band</w:t>
      </w:r>
      <w:r>
        <w:rPr>
          <w:spacing w:val="-3"/>
        </w:rPr>
        <w:t> </w:t>
      </w:r>
      <w:r>
        <w:rPr/>
        <w:t>is</w:t>
      </w:r>
      <w:r>
        <w:rPr>
          <w:spacing w:val="-2"/>
        </w:rPr>
        <w:t> </w:t>
      </w:r>
      <w:r>
        <w:rPr/>
        <w:t>feasible,</w:t>
      </w:r>
      <w:r>
        <w:rPr>
          <w:spacing w:val="-3"/>
        </w:rPr>
        <w:t> </w:t>
      </w:r>
      <w:r>
        <w:rPr/>
        <w:t>based</w:t>
      </w:r>
      <w:r>
        <w:rPr>
          <w:spacing w:val="-3"/>
        </w:rPr>
        <w:t> </w:t>
      </w:r>
      <w:r>
        <w:rPr/>
        <w:t>on</w:t>
      </w:r>
      <w:r>
        <w:rPr>
          <w:spacing w:val="-3"/>
        </w:rPr>
        <w:t> </w:t>
      </w:r>
      <w:r>
        <w:rPr/>
        <w:t>previous</w:t>
      </w:r>
      <w:r>
        <w:rPr>
          <w:spacing w:val="-3"/>
        </w:rPr>
        <w:t> </w:t>
      </w:r>
      <w:r>
        <w:rPr/>
        <w:t>analysis</w:t>
      </w:r>
      <w:r>
        <w:rPr>
          <w:spacing w:val="-3"/>
        </w:rPr>
        <w:t> </w:t>
      </w:r>
      <w:r>
        <w:rPr/>
        <w:t>we</w:t>
      </w:r>
      <w:r>
        <w:rPr>
          <w:spacing w:val="-3"/>
        </w:rPr>
        <w:t> </w:t>
      </w:r>
      <w:r>
        <w:rPr/>
        <w:t>undertook</w:t>
      </w:r>
      <w:r>
        <w:rPr>
          <w:spacing w:val="-3"/>
        </w:rPr>
        <w:t> </w:t>
      </w:r>
      <w:r>
        <w:rPr/>
        <w:t>for</w:t>
      </w:r>
      <w:r>
        <w:rPr>
          <w:spacing w:val="-3"/>
        </w:rPr>
        <w:t> </w:t>
      </w:r>
      <w:r>
        <w:rPr/>
        <w:t>sharing</w:t>
      </w:r>
      <w:r>
        <w:rPr>
          <w:spacing w:val="-3"/>
        </w:rPr>
        <w:t> </w:t>
      </w:r>
      <w:r>
        <w:rPr/>
        <w:t>in</w:t>
      </w:r>
      <w:r>
        <w:rPr>
          <w:spacing w:val="-2"/>
        </w:rPr>
        <w:t> </w:t>
      </w:r>
      <w:r>
        <w:rPr/>
        <w:t>the</w:t>
      </w:r>
      <w:r>
        <w:rPr>
          <w:spacing w:val="-3"/>
        </w:rPr>
        <w:t> </w:t>
      </w:r>
      <w:r>
        <w:rPr/>
        <w:t>lower</w:t>
      </w:r>
    </w:p>
    <w:p>
      <w:pPr>
        <w:pStyle w:val="BodyText"/>
        <w:ind w:left="970"/>
      </w:pPr>
      <w:r>
        <w:rPr/>
        <w:t>6 GHz band.</w:t>
      </w:r>
    </w:p>
    <w:p>
      <w:pPr>
        <w:pStyle w:val="BodyText"/>
        <w:tabs>
          <w:tab w:pos="970" w:val="left" w:leader="none"/>
        </w:tabs>
        <w:spacing w:line="276" w:lineRule="auto" w:before="159"/>
        <w:ind w:left="970" w:right="231" w:hanging="851"/>
      </w:pPr>
      <w:r>
        <w:rPr/>
        <w:t>A5.8</w:t>
        <w:tab/>
        <w:t>Fixed</w:t>
      </w:r>
      <w:r>
        <w:rPr>
          <w:spacing w:val="-3"/>
        </w:rPr>
        <w:t> </w:t>
      </w:r>
      <w:r>
        <w:rPr/>
        <w:t>Service</w:t>
      </w:r>
      <w:r>
        <w:rPr>
          <w:spacing w:val="-3"/>
        </w:rPr>
        <w:t> </w:t>
      </w:r>
      <w:r>
        <w:rPr/>
        <w:t>operation</w:t>
      </w:r>
      <w:r>
        <w:rPr>
          <w:spacing w:val="-4"/>
        </w:rPr>
        <w:t> </w:t>
      </w:r>
      <w:r>
        <w:rPr/>
        <w:t>and</w:t>
      </w:r>
      <w:r>
        <w:rPr>
          <w:spacing w:val="-4"/>
        </w:rPr>
        <w:t> </w:t>
      </w:r>
      <w:r>
        <w:rPr/>
        <w:t>technical</w:t>
      </w:r>
      <w:r>
        <w:rPr>
          <w:spacing w:val="-3"/>
        </w:rPr>
        <w:t> </w:t>
      </w:r>
      <w:r>
        <w:rPr/>
        <w:t>parameters</w:t>
      </w:r>
      <w:r>
        <w:rPr>
          <w:spacing w:val="-4"/>
        </w:rPr>
        <w:t> </w:t>
      </w:r>
      <w:r>
        <w:rPr/>
        <w:t>in</w:t>
      </w:r>
      <w:r>
        <w:rPr>
          <w:spacing w:val="-2"/>
        </w:rPr>
        <w:t> </w:t>
      </w:r>
      <w:r>
        <w:rPr/>
        <w:t>the</w:t>
      </w:r>
      <w:r>
        <w:rPr>
          <w:spacing w:val="-3"/>
        </w:rPr>
        <w:t> </w:t>
      </w:r>
      <w:r>
        <w:rPr/>
        <w:t>upper</w:t>
      </w:r>
      <w:r>
        <w:rPr>
          <w:spacing w:val="-4"/>
        </w:rPr>
        <w:t> </w:t>
      </w:r>
      <w:r>
        <w:rPr/>
        <w:t>6</w:t>
      </w:r>
      <w:r>
        <w:rPr>
          <w:spacing w:val="-2"/>
        </w:rPr>
        <w:t> </w:t>
      </w:r>
      <w:r>
        <w:rPr/>
        <w:t>GHz</w:t>
      </w:r>
      <w:r>
        <w:rPr>
          <w:spacing w:val="-3"/>
        </w:rPr>
        <w:t> </w:t>
      </w:r>
      <w:r>
        <w:rPr/>
        <w:t>band</w:t>
      </w:r>
      <w:r>
        <w:rPr>
          <w:spacing w:val="-4"/>
        </w:rPr>
        <w:t> </w:t>
      </w:r>
      <w:r>
        <w:rPr/>
        <w:t>are</w:t>
      </w:r>
      <w:r>
        <w:rPr>
          <w:spacing w:val="-3"/>
        </w:rPr>
        <w:t> </w:t>
      </w:r>
      <w:r>
        <w:rPr/>
        <w:t>similar</w:t>
      </w:r>
      <w:r>
        <w:rPr>
          <w:spacing w:val="-4"/>
        </w:rPr>
        <w:t> </w:t>
      </w:r>
      <w:r>
        <w:rPr/>
        <w:t>to</w:t>
      </w:r>
      <w:r>
        <w:rPr>
          <w:w w:val="99"/>
        </w:rPr>
        <w:t> </w:t>
      </w:r>
      <w:r>
        <w:rPr/>
        <w:t>those in the lower 6 GHz band and we believe the assumptions and detailed analysis that we have previously done on sharing between RLANs and fixed links for the lower band is applicable. Furthermore, we will not permit outdoor RLAN use, and we anticipate that the density of licensed RLAN deployment in the upper 6 GHz band will be much lower than licence-exempt use in lower 6 GHz band (for the reasons explained in paragraph </w:t>
      </w:r>
      <w:hyperlink w:history="true" w:anchor="_bookmark21">
        <w:r>
          <w:rPr/>
          <w:t>A5.4</w:t>
        </w:r>
      </w:hyperlink>
      <w:r>
        <w:rPr/>
        <w:t>), which should significantly reduce the chances of any interference occurring. In the following</w:t>
      </w:r>
      <w:r>
        <w:rPr>
          <w:spacing w:val="-4"/>
        </w:rPr>
        <w:t> </w:t>
      </w:r>
      <w:r>
        <w:rPr/>
        <w:t>sections</w:t>
      </w:r>
      <w:r>
        <w:rPr>
          <w:spacing w:val="-4"/>
        </w:rPr>
        <w:t> </w:t>
      </w:r>
      <w:r>
        <w:rPr/>
        <w:t>we</w:t>
      </w:r>
      <w:r>
        <w:rPr>
          <w:spacing w:val="-4"/>
        </w:rPr>
        <w:t> </w:t>
      </w:r>
      <w:r>
        <w:rPr/>
        <w:t>outline</w:t>
      </w:r>
      <w:r>
        <w:rPr>
          <w:spacing w:val="-4"/>
        </w:rPr>
        <w:t> </w:t>
      </w:r>
      <w:r>
        <w:rPr/>
        <w:t>our</w:t>
      </w:r>
      <w:r>
        <w:rPr>
          <w:spacing w:val="-4"/>
        </w:rPr>
        <w:t> </w:t>
      </w:r>
      <w:r>
        <w:rPr/>
        <w:t>reasoning</w:t>
      </w:r>
      <w:r>
        <w:rPr>
          <w:spacing w:val="-4"/>
        </w:rPr>
        <w:t> </w:t>
      </w:r>
      <w:r>
        <w:rPr/>
        <w:t>and</w:t>
      </w:r>
      <w:r>
        <w:rPr>
          <w:spacing w:val="-4"/>
        </w:rPr>
        <w:t> </w:t>
      </w:r>
      <w:r>
        <w:rPr/>
        <w:t>assumptions</w:t>
      </w:r>
      <w:r>
        <w:rPr>
          <w:spacing w:val="-2"/>
        </w:rPr>
        <w:t> </w:t>
      </w:r>
      <w:r>
        <w:rPr/>
        <w:t>behind</w:t>
      </w:r>
      <w:r>
        <w:rPr>
          <w:spacing w:val="-4"/>
        </w:rPr>
        <w:t> </w:t>
      </w:r>
      <w:r>
        <w:rPr/>
        <w:t>our</w:t>
      </w:r>
      <w:r>
        <w:rPr>
          <w:spacing w:val="-3"/>
        </w:rPr>
        <w:t> </w:t>
      </w:r>
      <w:r>
        <w:rPr/>
        <w:t>conclusions.</w:t>
      </w:r>
    </w:p>
    <w:p>
      <w:pPr>
        <w:pStyle w:val="BodyText"/>
        <w:spacing w:before="5"/>
        <w:rPr>
          <w:sz w:val="16"/>
        </w:rPr>
      </w:pPr>
    </w:p>
    <w:p>
      <w:pPr>
        <w:pStyle w:val="Heading5"/>
        <w:ind w:left="119"/>
      </w:pPr>
      <w:bookmarkStart w:name="Background" w:id="90"/>
      <w:bookmarkEnd w:id="90"/>
      <w:r>
        <w:rPr>
          <w:b w:val="0"/>
        </w:rPr>
      </w:r>
      <w:r>
        <w:rPr>
          <w:color w:val="632466"/>
        </w:rPr>
        <w:t>Background</w:t>
      </w:r>
    </w:p>
    <w:p>
      <w:pPr>
        <w:pStyle w:val="BodyText"/>
        <w:spacing w:before="6"/>
        <w:rPr>
          <w:b/>
          <w:sz w:val="19"/>
        </w:rPr>
      </w:pPr>
    </w:p>
    <w:p>
      <w:pPr>
        <w:pStyle w:val="BodyText"/>
        <w:tabs>
          <w:tab w:pos="969" w:val="left" w:leader="none"/>
        </w:tabs>
        <w:spacing w:line="276" w:lineRule="auto"/>
        <w:ind w:left="970" w:right="312" w:hanging="851"/>
      </w:pPr>
      <w:r>
        <w:rPr/>
        <w:t>A5.9</w:t>
        <w:tab/>
        <w:t>In</w:t>
      </w:r>
      <w:r>
        <w:rPr>
          <w:spacing w:val="-4"/>
        </w:rPr>
        <w:t> </w:t>
      </w:r>
      <w:r>
        <w:rPr/>
        <w:t>the</w:t>
      </w:r>
      <w:r>
        <w:rPr>
          <w:spacing w:val="-3"/>
        </w:rPr>
        <w:t> </w:t>
      </w:r>
      <w:r>
        <w:rPr/>
        <w:t>UK</w:t>
      </w:r>
      <w:r>
        <w:rPr>
          <w:spacing w:val="-3"/>
        </w:rPr>
        <w:t> </w:t>
      </w:r>
      <w:r>
        <w:rPr/>
        <w:t>the</w:t>
      </w:r>
      <w:r>
        <w:rPr>
          <w:spacing w:val="-3"/>
        </w:rPr>
        <w:t> </w:t>
      </w:r>
      <w:r>
        <w:rPr/>
        <w:t>spectrum</w:t>
      </w:r>
      <w:r>
        <w:rPr>
          <w:spacing w:val="-3"/>
        </w:rPr>
        <w:t> </w:t>
      </w:r>
      <w:r>
        <w:rPr/>
        <w:t>between</w:t>
      </w:r>
      <w:r>
        <w:rPr>
          <w:spacing w:val="-4"/>
        </w:rPr>
        <w:t> </w:t>
      </w:r>
      <w:r>
        <w:rPr/>
        <w:t>6425-7125</w:t>
      </w:r>
      <w:r>
        <w:rPr>
          <w:spacing w:val="-4"/>
        </w:rPr>
        <w:t> </w:t>
      </w:r>
      <w:r>
        <w:rPr/>
        <w:t>MHz</w:t>
      </w:r>
      <w:r>
        <w:rPr>
          <w:spacing w:val="-4"/>
        </w:rPr>
        <w:t> </w:t>
      </w:r>
      <w:r>
        <w:rPr/>
        <w:t>is</w:t>
      </w:r>
      <w:r>
        <w:rPr>
          <w:spacing w:val="-4"/>
        </w:rPr>
        <w:t> </w:t>
      </w:r>
      <w:r>
        <w:rPr/>
        <w:t>available</w:t>
      </w:r>
      <w:r>
        <w:rPr>
          <w:spacing w:val="-4"/>
        </w:rPr>
        <w:t> </w:t>
      </w:r>
      <w:r>
        <w:rPr/>
        <w:t>for</w:t>
      </w:r>
      <w:r>
        <w:rPr>
          <w:spacing w:val="-4"/>
        </w:rPr>
        <w:t> </w:t>
      </w:r>
      <w:r>
        <w:rPr/>
        <w:t>fixed</w:t>
      </w:r>
      <w:r>
        <w:rPr>
          <w:spacing w:val="-4"/>
        </w:rPr>
        <w:t> </w:t>
      </w:r>
      <w:r>
        <w:rPr/>
        <w:t>link</w:t>
      </w:r>
      <w:r>
        <w:rPr>
          <w:spacing w:val="-3"/>
        </w:rPr>
        <w:t> </w:t>
      </w:r>
      <w:r>
        <w:rPr/>
        <w:t>services.</w:t>
      </w:r>
      <w:r>
        <w:rPr>
          <w:spacing w:val="-4"/>
        </w:rPr>
        <w:t> </w:t>
      </w:r>
      <w:r>
        <w:rPr/>
        <w:t>This</w:t>
      </w:r>
      <w:r>
        <w:rPr>
          <w:spacing w:val="-4"/>
        </w:rPr>
        <w:t> </w:t>
      </w:r>
      <w:r>
        <w:rPr/>
        <w:t>is</w:t>
      </w:r>
      <w:r>
        <w:rPr>
          <w:spacing w:val="-1"/>
          <w:w w:val="99"/>
        </w:rPr>
        <w:t> </w:t>
      </w:r>
      <w:r>
        <w:rPr/>
        <w:t>directly</w:t>
      </w:r>
      <w:r>
        <w:rPr>
          <w:spacing w:val="-4"/>
        </w:rPr>
        <w:t> </w:t>
      </w:r>
      <w:r>
        <w:rPr/>
        <w:t>adjacent</w:t>
      </w:r>
      <w:r>
        <w:rPr>
          <w:spacing w:val="-3"/>
        </w:rPr>
        <w:t> </w:t>
      </w:r>
      <w:r>
        <w:rPr/>
        <w:t>to</w:t>
      </w:r>
      <w:r>
        <w:rPr>
          <w:spacing w:val="-3"/>
        </w:rPr>
        <w:t> </w:t>
      </w:r>
      <w:r>
        <w:rPr/>
        <w:t>the</w:t>
      </w:r>
      <w:r>
        <w:rPr>
          <w:spacing w:val="-4"/>
        </w:rPr>
        <w:t> </w:t>
      </w:r>
      <w:r>
        <w:rPr/>
        <w:t>fixed</w:t>
      </w:r>
      <w:r>
        <w:rPr>
          <w:spacing w:val="-4"/>
        </w:rPr>
        <w:t> </w:t>
      </w:r>
      <w:r>
        <w:rPr/>
        <w:t>link</w:t>
      </w:r>
      <w:r>
        <w:rPr>
          <w:spacing w:val="-3"/>
        </w:rPr>
        <w:t> </w:t>
      </w:r>
      <w:r>
        <w:rPr/>
        <w:t>use</w:t>
      </w:r>
      <w:r>
        <w:rPr>
          <w:spacing w:val="-4"/>
        </w:rPr>
        <w:t> </w:t>
      </w:r>
      <w:r>
        <w:rPr/>
        <w:t>in</w:t>
      </w:r>
      <w:r>
        <w:rPr>
          <w:spacing w:val="-2"/>
        </w:rPr>
        <w:t> </w:t>
      </w:r>
      <w:r>
        <w:rPr/>
        <w:t>the</w:t>
      </w:r>
      <w:r>
        <w:rPr>
          <w:spacing w:val="-4"/>
        </w:rPr>
        <w:t> </w:t>
      </w:r>
      <w:r>
        <w:rPr/>
        <w:t>lower</w:t>
      </w:r>
      <w:r>
        <w:rPr>
          <w:spacing w:val="-3"/>
        </w:rPr>
        <w:t> </w:t>
      </w:r>
      <w:r>
        <w:rPr/>
        <w:t>6</w:t>
      </w:r>
      <w:r>
        <w:rPr>
          <w:spacing w:val="-2"/>
        </w:rPr>
        <w:t> </w:t>
      </w:r>
      <w:r>
        <w:rPr/>
        <w:t>GHz</w:t>
      </w:r>
      <w:r>
        <w:rPr>
          <w:spacing w:val="-4"/>
        </w:rPr>
        <w:t> </w:t>
      </w:r>
      <w:r>
        <w:rPr/>
        <w:t>band,</w:t>
      </w:r>
      <w:r>
        <w:rPr>
          <w:spacing w:val="-4"/>
        </w:rPr>
        <w:t> </w:t>
      </w:r>
      <w:r>
        <w:rPr/>
        <w:t>5925-6425</w:t>
      </w:r>
      <w:r>
        <w:rPr>
          <w:spacing w:val="-4"/>
        </w:rPr>
        <w:t> </w:t>
      </w:r>
      <w:r>
        <w:rPr/>
        <w:t>MHz.</w:t>
      </w:r>
    </w:p>
    <w:p>
      <w:pPr>
        <w:pStyle w:val="BodyText"/>
        <w:tabs>
          <w:tab w:pos="969" w:val="left" w:leader="none"/>
        </w:tabs>
        <w:spacing w:line="276" w:lineRule="auto" w:before="119"/>
        <w:ind w:left="970" w:right="125" w:hanging="851"/>
      </w:pPr>
      <w:r>
        <w:rPr/>
        <w:t>A5.10</w:t>
        <w:tab/>
        <w:t>In</w:t>
      </w:r>
      <w:r>
        <w:rPr>
          <w:spacing w:val="-3"/>
        </w:rPr>
        <w:t> </w:t>
      </w:r>
      <w:r>
        <w:rPr/>
        <w:t>July</w:t>
      </w:r>
      <w:r>
        <w:rPr>
          <w:spacing w:val="-3"/>
        </w:rPr>
        <w:t> </w:t>
      </w:r>
      <w:r>
        <w:rPr/>
        <w:t>2020,</w:t>
      </w:r>
      <w:r>
        <w:rPr>
          <w:spacing w:val="-2"/>
        </w:rPr>
        <w:t> </w:t>
      </w:r>
      <w:r>
        <w:rPr/>
        <w:t>we</w:t>
      </w:r>
      <w:r>
        <w:rPr>
          <w:spacing w:val="-3"/>
        </w:rPr>
        <w:t> </w:t>
      </w:r>
      <w:r>
        <w:rPr/>
        <w:t>made</w:t>
      </w:r>
      <w:r>
        <w:rPr>
          <w:spacing w:val="-3"/>
        </w:rPr>
        <w:t> </w:t>
      </w:r>
      <w:r>
        <w:rPr/>
        <w:t>the</w:t>
      </w:r>
      <w:r>
        <w:rPr>
          <w:spacing w:val="-2"/>
        </w:rPr>
        <w:t> </w:t>
      </w:r>
      <w:r>
        <w:rPr/>
        <w:t>lower</w:t>
      </w:r>
      <w:r>
        <w:rPr>
          <w:spacing w:val="-3"/>
        </w:rPr>
        <w:t> </w:t>
      </w:r>
      <w:r>
        <w:rPr/>
        <w:t>6</w:t>
      </w:r>
      <w:r>
        <w:rPr>
          <w:spacing w:val="-2"/>
        </w:rPr>
        <w:t> </w:t>
      </w:r>
      <w:r>
        <w:rPr/>
        <w:t>GHz</w:t>
      </w:r>
      <w:r>
        <w:rPr>
          <w:spacing w:val="-2"/>
        </w:rPr>
        <w:t> </w:t>
      </w:r>
      <w:r>
        <w:rPr/>
        <w:t>band</w:t>
      </w:r>
      <w:r>
        <w:rPr>
          <w:spacing w:val="-3"/>
        </w:rPr>
        <w:t> </w:t>
      </w:r>
      <w:r>
        <w:rPr/>
        <w:t>available</w:t>
      </w:r>
      <w:r>
        <w:rPr>
          <w:spacing w:val="-3"/>
        </w:rPr>
        <w:t> </w:t>
      </w:r>
      <w:r>
        <w:rPr/>
        <w:t>on</w:t>
      </w:r>
      <w:r>
        <w:rPr>
          <w:spacing w:val="-3"/>
        </w:rPr>
        <w:t> </w:t>
      </w:r>
      <w:r>
        <w:rPr/>
        <w:t>a</w:t>
      </w:r>
      <w:r>
        <w:rPr>
          <w:spacing w:val="-3"/>
        </w:rPr>
        <w:t> </w:t>
      </w:r>
      <w:r>
        <w:rPr/>
        <w:t>licence-exempt</w:t>
      </w:r>
      <w:r>
        <w:rPr>
          <w:spacing w:val="-2"/>
        </w:rPr>
        <w:t> </w:t>
      </w:r>
      <w:r>
        <w:rPr/>
        <w:t>basis</w:t>
      </w:r>
      <w:r>
        <w:rPr>
          <w:spacing w:val="-3"/>
        </w:rPr>
        <w:t> </w:t>
      </w:r>
      <w:r>
        <w:rPr/>
        <w:t>for</w:t>
      </w:r>
      <w:r>
        <w:rPr>
          <w:spacing w:val="-3"/>
        </w:rPr>
        <w:t> </w:t>
      </w:r>
      <w:r>
        <w:rPr/>
        <w:t>both</w:t>
      </w:r>
      <w:r>
        <w:rPr>
          <w:w w:val="99"/>
        </w:rPr>
        <w:t> </w:t>
      </w:r>
      <w:r>
        <w:rPr/>
        <w:t>indoor RLAN use with an EIRP up to 250mW and mobile/nomadic outdoor use with EIRP up to 25mW. In making the band available we carried out a detailed technical analysis of sharing between RLANs and fixed links based on the methodology proposed by CEPT and published in ECC Report </w:t>
      </w:r>
      <w:r>
        <w:rPr>
          <w:spacing w:val="2"/>
        </w:rPr>
        <w:t>302.</w:t>
      </w:r>
      <w:hyperlink w:history="true" w:anchor="_bookmark23">
        <w:r>
          <w:rPr>
            <w:spacing w:val="2"/>
            <w:position w:val="6"/>
            <w:sz w:val="12"/>
          </w:rPr>
          <w:t>14</w:t>
        </w:r>
      </w:hyperlink>
      <w:r>
        <w:rPr>
          <w:spacing w:val="2"/>
          <w:position w:val="6"/>
          <w:sz w:val="12"/>
        </w:rPr>
        <w:t> </w:t>
      </w:r>
      <w:r>
        <w:rPr/>
        <w:t>Our analysis, published in our </w:t>
      </w:r>
      <w:hyperlink r:id="rId43">
        <w:r>
          <w:rPr>
            <w:color w:val="C70044"/>
            <w:u w:val="single" w:color="C70044"/>
          </w:rPr>
          <w:t>2020 consultation </w:t>
        </w:r>
      </w:hyperlink>
      <w:r>
        <w:rPr/>
        <w:t>on making the lower 6 GHz band available, broadly aligned with the CEPT conclusions that the long- term protection criteria for fixed links would not be exceeded with the introduction of RLANs into the</w:t>
      </w:r>
      <w:r>
        <w:rPr>
          <w:spacing w:val="-9"/>
        </w:rPr>
        <w:t> </w:t>
      </w:r>
      <w:r>
        <w:rPr/>
        <w:t>band.</w:t>
      </w:r>
    </w:p>
    <w:p>
      <w:pPr>
        <w:pStyle w:val="BodyText"/>
        <w:tabs>
          <w:tab w:pos="970" w:val="left" w:leader="none"/>
        </w:tabs>
        <w:spacing w:line="276" w:lineRule="auto" w:before="119"/>
        <w:ind w:left="970" w:right="312" w:hanging="851"/>
      </w:pPr>
      <w:r>
        <w:rPr/>
        <w:t>A5.11</w:t>
        <w:tab/>
        <w:t>There</w:t>
      </w:r>
      <w:r>
        <w:rPr>
          <w:spacing w:val="-4"/>
        </w:rPr>
        <w:t> </w:t>
      </w:r>
      <w:r>
        <w:rPr/>
        <w:t>are</w:t>
      </w:r>
      <w:r>
        <w:rPr>
          <w:spacing w:val="-3"/>
        </w:rPr>
        <w:t> </w:t>
      </w:r>
      <w:r>
        <w:rPr/>
        <w:t>two</w:t>
      </w:r>
      <w:r>
        <w:rPr>
          <w:spacing w:val="-3"/>
        </w:rPr>
        <w:t> </w:t>
      </w:r>
      <w:r>
        <w:rPr/>
        <w:t>main</w:t>
      </w:r>
      <w:r>
        <w:rPr>
          <w:spacing w:val="-3"/>
        </w:rPr>
        <w:t> </w:t>
      </w:r>
      <w:r>
        <w:rPr/>
        <w:t>criteria</w:t>
      </w:r>
      <w:r>
        <w:rPr>
          <w:spacing w:val="-4"/>
        </w:rPr>
        <w:t> </w:t>
      </w:r>
      <w:r>
        <w:rPr/>
        <w:t>to</w:t>
      </w:r>
      <w:r>
        <w:rPr>
          <w:spacing w:val="-3"/>
        </w:rPr>
        <w:t> </w:t>
      </w:r>
      <w:r>
        <w:rPr/>
        <w:t>protect</w:t>
      </w:r>
      <w:r>
        <w:rPr>
          <w:spacing w:val="-3"/>
        </w:rPr>
        <w:t> </w:t>
      </w:r>
      <w:r>
        <w:rPr/>
        <w:t>fixed</w:t>
      </w:r>
      <w:r>
        <w:rPr>
          <w:spacing w:val="-4"/>
        </w:rPr>
        <w:t> </w:t>
      </w:r>
      <w:r>
        <w:rPr/>
        <w:t>links,</w:t>
      </w:r>
      <w:r>
        <w:rPr>
          <w:spacing w:val="-4"/>
        </w:rPr>
        <w:t> </w:t>
      </w:r>
      <w:r>
        <w:rPr/>
        <w:t>long-term</w:t>
      </w:r>
      <w:r>
        <w:rPr>
          <w:spacing w:val="-3"/>
        </w:rPr>
        <w:t> </w:t>
      </w:r>
      <w:r>
        <w:rPr/>
        <w:t>protection</w:t>
      </w:r>
      <w:r>
        <w:rPr>
          <w:spacing w:val="-3"/>
        </w:rPr>
        <w:t> </w:t>
      </w:r>
      <w:r>
        <w:rPr/>
        <w:t>criteria</w:t>
      </w:r>
      <w:r>
        <w:rPr>
          <w:spacing w:val="-3"/>
        </w:rPr>
        <w:t> </w:t>
      </w:r>
      <w:r>
        <w:rPr/>
        <w:t>and</w:t>
      </w:r>
      <w:r>
        <w:rPr>
          <w:spacing w:val="-4"/>
        </w:rPr>
        <w:t> </w:t>
      </w:r>
      <w:r>
        <w:rPr/>
        <w:t>short-</w:t>
      </w:r>
      <w:r>
        <w:rPr>
          <w:w w:val="99"/>
        </w:rPr>
        <w:t> </w:t>
      </w:r>
      <w:r>
        <w:rPr/>
        <w:t>term protection</w:t>
      </w:r>
      <w:r>
        <w:rPr>
          <w:spacing w:val="-13"/>
        </w:rPr>
        <w:t> </w:t>
      </w:r>
      <w:r>
        <w:rPr/>
        <w:t>criteria:</w:t>
      </w:r>
    </w:p>
    <w:p>
      <w:pPr>
        <w:pStyle w:val="ListParagraph"/>
        <w:numPr>
          <w:ilvl w:val="0"/>
          <w:numId w:val="7"/>
        </w:numPr>
        <w:tabs>
          <w:tab w:pos="1690" w:val="left" w:leader="none"/>
          <w:tab w:pos="1691" w:val="left" w:leader="none"/>
        </w:tabs>
        <w:spacing w:line="276" w:lineRule="auto" w:before="119" w:after="0"/>
        <w:ind w:left="1690" w:right="198" w:hanging="360"/>
        <w:jc w:val="left"/>
        <w:rPr>
          <w:sz w:val="22"/>
        </w:rPr>
      </w:pPr>
      <w:r>
        <w:rPr>
          <w:sz w:val="22"/>
        </w:rPr>
        <w:t>Long-term interference degrades the bit error performance and availability of a system by reducing the fade margin</w:t>
      </w:r>
      <w:hyperlink w:history="true" w:anchor="_bookmark24">
        <w:r>
          <w:rPr>
            <w:position w:val="6"/>
            <w:sz w:val="12"/>
          </w:rPr>
          <w:t>15</w:t>
        </w:r>
      </w:hyperlink>
      <w:r>
        <w:rPr>
          <w:position w:val="6"/>
          <w:sz w:val="12"/>
        </w:rPr>
        <w:t> </w:t>
      </w:r>
      <w:r>
        <w:rPr>
          <w:sz w:val="22"/>
        </w:rPr>
        <w:t>that is available to protect the fixed service system</w:t>
      </w:r>
      <w:r>
        <w:rPr>
          <w:spacing w:val="-4"/>
          <w:sz w:val="22"/>
        </w:rPr>
        <w:t> </w:t>
      </w:r>
      <w:r>
        <w:rPr>
          <w:sz w:val="22"/>
        </w:rPr>
        <w:t>against</w:t>
      </w:r>
      <w:r>
        <w:rPr>
          <w:spacing w:val="-4"/>
          <w:sz w:val="22"/>
        </w:rPr>
        <w:t> </w:t>
      </w:r>
      <w:r>
        <w:rPr>
          <w:sz w:val="22"/>
        </w:rPr>
        <w:t>fading.</w:t>
      </w:r>
      <w:r>
        <w:rPr>
          <w:spacing w:val="-4"/>
          <w:sz w:val="22"/>
        </w:rPr>
        <w:t> </w:t>
      </w:r>
      <w:r>
        <w:rPr>
          <w:sz w:val="22"/>
        </w:rPr>
        <w:t>In</w:t>
      </w:r>
      <w:r>
        <w:rPr>
          <w:spacing w:val="-4"/>
          <w:sz w:val="22"/>
        </w:rPr>
        <w:t> </w:t>
      </w:r>
      <w:r>
        <w:rPr>
          <w:sz w:val="22"/>
        </w:rPr>
        <w:t>sharing</w:t>
      </w:r>
      <w:r>
        <w:rPr>
          <w:spacing w:val="-4"/>
          <w:sz w:val="22"/>
        </w:rPr>
        <w:t> </w:t>
      </w:r>
      <w:r>
        <w:rPr>
          <w:sz w:val="22"/>
        </w:rPr>
        <w:t>and</w:t>
      </w:r>
      <w:r>
        <w:rPr>
          <w:spacing w:val="-3"/>
          <w:sz w:val="22"/>
        </w:rPr>
        <w:t> </w:t>
      </w:r>
      <w:r>
        <w:rPr>
          <w:sz w:val="22"/>
        </w:rPr>
        <w:t>compatibility</w:t>
      </w:r>
      <w:r>
        <w:rPr>
          <w:spacing w:val="-4"/>
          <w:sz w:val="22"/>
        </w:rPr>
        <w:t> </w:t>
      </w:r>
      <w:r>
        <w:rPr>
          <w:sz w:val="22"/>
        </w:rPr>
        <w:t>studies,</w:t>
      </w:r>
      <w:r>
        <w:rPr>
          <w:spacing w:val="-4"/>
          <w:sz w:val="22"/>
        </w:rPr>
        <w:t> </w:t>
      </w:r>
      <w:r>
        <w:rPr>
          <w:sz w:val="22"/>
        </w:rPr>
        <w:t>long-term</w:t>
      </w:r>
      <w:r>
        <w:rPr>
          <w:spacing w:val="-4"/>
          <w:sz w:val="22"/>
        </w:rPr>
        <w:t> </w:t>
      </w:r>
      <w:r>
        <w:rPr>
          <w:sz w:val="22"/>
        </w:rPr>
        <w:t>interference</w:t>
      </w:r>
    </w:p>
    <w:p>
      <w:pPr>
        <w:pStyle w:val="BodyText"/>
        <w:spacing w:before="5"/>
        <w:rPr>
          <w:sz w:val="17"/>
        </w:rPr>
      </w:pPr>
      <w:r>
        <w:rPr/>
        <w:pict>
          <v:line style="position:absolute;mso-position-horizontal-relative:page;mso-position-vertical-relative:paragraph;z-index:1408;mso-wrap-distance-left:0;mso-wrap-distance-right:0" from="72pt,12.971823pt" to="216pt,12.971823pt" stroked="true" strokeweight=".72pt" strokecolor="#000000">
            <v:stroke dashstyle="solid"/>
            <w10:wrap type="topAndBottom"/>
          </v:line>
        </w:pict>
      </w:r>
    </w:p>
    <w:p>
      <w:pPr>
        <w:pStyle w:val="BodyText"/>
        <w:spacing w:before="5"/>
        <w:rPr>
          <w:sz w:val="12"/>
        </w:rPr>
      </w:pPr>
    </w:p>
    <w:p>
      <w:pPr>
        <w:spacing w:before="75"/>
        <w:ind w:left="120" w:right="215" w:firstLine="0"/>
        <w:jc w:val="left"/>
        <w:rPr>
          <w:sz w:val="18"/>
        </w:rPr>
      </w:pPr>
      <w:bookmarkStart w:name="_bookmark23" w:id="91"/>
      <w:bookmarkEnd w:id="91"/>
      <w:r>
        <w:rPr/>
      </w:r>
      <w:r>
        <w:rPr>
          <w:position w:val="6"/>
          <w:sz w:val="12"/>
        </w:rPr>
        <w:t>14 </w:t>
      </w:r>
      <w:hyperlink r:id="rId44">
        <w:r>
          <w:rPr>
            <w:color w:val="C70044"/>
            <w:sz w:val="18"/>
            <w:u w:val="single" w:color="C70044"/>
          </w:rPr>
          <w:t>ECC Report 302: Sharing and compatibility studies related to Wireless Access Systems including Radio Local Area</w:t>
        </w:r>
      </w:hyperlink>
      <w:r>
        <w:rPr>
          <w:color w:val="C70044"/>
          <w:sz w:val="18"/>
          <w:u w:val="single" w:color="C70044"/>
        </w:rPr>
        <w:t> </w:t>
      </w:r>
      <w:hyperlink r:id="rId44">
        <w:r>
          <w:rPr>
            <w:color w:val="C70044"/>
            <w:sz w:val="18"/>
            <w:u w:val="single" w:color="C70044"/>
          </w:rPr>
          <w:t>Networks in the frequency band 5925 - 6425 MHz</w:t>
        </w:r>
      </w:hyperlink>
    </w:p>
    <w:p>
      <w:pPr>
        <w:spacing w:line="220" w:lineRule="exact" w:before="0"/>
        <w:ind w:left="120" w:right="0" w:firstLine="0"/>
        <w:jc w:val="left"/>
        <w:rPr>
          <w:sz w:val="18"/>
        </w:rPr>
      </w:pPr>
      <w:bookmarkStart w:name="_bookmark24" w:id="92"/>
      <w:bookmarkEnd w:id="92"/>
      <w:r>
        <w:rPr/>
      </w:r>
      <w:r>
        <w:rPr>
          <w:position w:val="6"/>
          <w:sz w:val="12"/>
        </w:rPr>
        <w:t>15 </w:t>
      </w:r>
      <w:r>
        <w:rPr>
          <w:sz w:val="18"/>
        </w:rPr>
        <w:t>A fade margin is an additional margin to compensate for changes in the propagation environment.</w:t>
      </w:r>
    </w:p>
    <w:p>
      <w:pPr>
        <w:spacing w:after="0" w:line="220" w:lineRule="exact"/>
        <w:jc w:val="left"/>
        <w:rPr>
          <w:sz w:val="18"/>
        </w:rPr>
        <w:sectPr>
          <w:footerReference w:type="default" r:id="rId42"/>
          <w:pgSz w:w="11910" w:h="16840"/>
          <w:pgMar w:footer="1309" w:header="727" w:top="920" w:bottom="1500" w:left="1320" w:right="1340"/>
          <w:pgNumType w:start="28"/>
        </w:sectPr>
      </w:pPr>
    </w:p>
    <w:p>
      <w:pPr>
        <w:pStyle w:val="BodyText"/>
        <w:rPr>
          <w:sz w:val="20"/>
        </w:rPr>
      </w:pPr>
    </w:p>
    <w:p>
      <w:pPr>
        <w:pStyle w:val="BodyText"/>
        <w:rPr>
          <w:sz w:val="20"/>
        </w:rPr>
      </w:pPr>
    </w:p>
    <w:p>
      <w:pPr>
        <w:pStyle w:val="BodyText"/>
        <w:spacing w:before="11"/>
        <w:rPr>
          <w:sz w:val="18"/>
        </w:rPr>
      </w:pPr>
    </w:p>
    <w:p>
      <w:pPr>
        <w:pStyle w:val="BodyText"/>
        <w:spacing w:line="276" w:lineRule="auto" w:before="56"/>
        <w:ind w:left="1690" w:right="409"/>
      </w:pPr>
      <w:r>
        <w:rPr/>
        <w:t>is usually characterised as the interference power that is not to be exceeded for more than 20% of the time, at the victim receiver input.</w:t>
      </w:r>
    </w:p>
    <w:p>
      <w:pPr>
        <w:pStyle w:val="ListParagraph"/>
        <w:numPr>
          <w:ilvl w:val="0"/>
          <w:numId w:val="7"/>
        </w:numPr>
        <w:tabs>
          <w:tab w:pos="1690" w:val="left" w:leader="none"/>
          <w:tab w:pos="1691" w:val="left" w:leader="none"/>
        </w:tabs>
        <w:spacing w:line="276" w:lineRule="auto" w:before="118" w:after="0"/>
        <w:ind w:left="1690" w:right="399" w:hanging="360"/>
        <w:jc w:val="left"/>
        <w:rPr>
          <w:sz w:val="22"/>
        </w:rPr>
      </w:pPr>
      <w:r>
        <w:rPr>
          <w:sz w:val="22"/>
        </w:rPr>
        <w:t>Short-term interference is the term used to describe the highest levels of interference power that occur for less than 1% of the time at the victim receiver input.</w:t>
      </w:r>
    </w:p>
    <w:p>
      <w:pPr>
        <w:pStyle w:val="BodyText"/>
        <w:spacing w:line="276" w:lineRule="auto" w:before="119"/>
        <w:ind w:left="970" w:right="444" w:hanging="851"/>
        <w:jc w:val="both"/>
      </w:pPr>
      <w:r>
        <w:rPr/>
        <w:t>A5.12 We have considered the similarities between the upper and lower 6 GHz bands and the applicability of existing studies done. We have also supplemented these studies with an additional minimum coupling loss analysis.</w:t>
      </w:r>
    </w:p>
    <w:p>
      <w:pPr>
        <w:pStyle w:val="BodyText"/>
        <w:spacing w:before="4"/>
        <w:rPr>
          <w:sz w:val="16"/>
        </w:rPr>
      </w:pPr>
    </w:p>
    <w:p>
      <w:pPr>
        <w:pStyle w:val="Heading5"/>
      </w:pPr>
      <w:bookmarkStart w:name="Comparison of fixed links in the lower a" w:id="93"/>
      <w:bookmarkEnd w:id="93"/>
      <w:r>
        <w:rPr>
          <w:b w:val="0"/>
        </w:rPr>
      </w:r>
      <w:r>
        <w:rPr>
          <w:color w:val="632466"/>
        </w:rPr>
        <w:t>Comparison of fixed links in the lower and the upper 6 GHz band</w:t>
      </w:r>
    </w:p>
    <w:p>
      <w:pPr>
        <w:pStyle w:val="BodyText"/>
        <w:spacing w:before="7"/>
        <w:rPr>
          <w:b/>
          <w:sz w:val="19"/>
        </w:rPr>
      </w:pPr>
    </w:p>
    <w:p>
      <w:pPr>
        <w:pStyle w:val="BodyText"/>
        <w:tabs>
          <w:tab w:pos="970" w:val="left" w:leader="none"/>
        </w:tabs>
        <w:spacing w:line="276" w:lineRule="auto"/>
        <w:ind w:left="970" w:right="255" w:hanging="851"/>
      </w:pPr>
      <w:r>
        <w:rPr/>
        <w:t>A5.13</w:t>
        <w:tab/>
        <w:t>The lower 6 GHz band and the upper 6 GHz band are managed by Ofcom and</w:t>
      </w:r>
      <w:r>
        <w:rPr>
          <w:spacing w:val="-30"/>
        </w:rPr>
        <w:t> </w:t>
      </w:r>
      <w:r>
        <w:rPr/>
        <w:t>assigned</w:t>
      </w:r>
      <w:r>
        <w:rPr>
          <w:spacing w:val="-3"/>
        </w:rPr>
        <w:t> </w:t>
      </w:r>
      <w:r>
        <w:rPr/>
        <w:t>for</w:t>
      </w:r>
      <w:r>
        <w:rPr>
          <w:w w:val="99"/>
        </w:rPr>
        <w:t> </w:t>
      </w:r>
      <w:r>
        <w:rPr/>
        <w:t>fixed links in accordance with our technical assignment criteria given in TFAC OFW 446.</w:t>
      </w:r>
      <w:hyperlink w:history="true" w:anchor="_bookmark25">
        <w:r>
          <w:rPr>
            <w:position w:val="6"/>
            <w:sz w:val="12"/>
          </w:rPr>
          <w:t>16</w:t>
        </w:r>
      </w:hyperlink>
      <w:r>
        <w:rPr>
          <w:position w:val="6"/>
          <w:sz w:val="12"/>
        </w:rPr>
        <w:t> </w:t>
      </w:r>
      <w:r>
        <w:rPr/>
        <w:t>They have similar assignment criteria. The main difference between the bands is the minimum fade margin. A fade margin is calculated on the basis of the propagation availability requirement specified by the link operator and take into account fades attributable to rain and clear-air effects. A minimum fade margin is specified for each frequency band, taking account of performance requirements (beyond radio propagation availability) and in some cases accounting for inter-service interference issues. For the lower 6 GHz band, as a result of decisions at the World Radiocommunication Conference 2003, the assignment criteria in the UK includes a minimum fade margin value of 35 dB to minimise the risk of undue interference from earth stations on board vessels. For the upper 6 GHz band the minimum fade margin value is 10</w:t>
      </w:r>
      <w:r>
        <w:rPr>
          <w:spacing w:val="-23"/>
        </w:rPr>
        <w:t> </w:t>
      </w:r>
      <w:r>
        <w:rPr/>
        <w:t>dB.</w:t>
      </w:r>
    </w:p>
    <w:p>
      <w:pPr>
        <w:pStyle w:val="BodyText"/>
        <w:tabs>
          <w:tab w:pos="970" w:val="left" w:leader="none"/>
        </w:tabs>
        <w:spacing w:line="276" w:lineRule="auto" w:before="119"/>
        <w:ind w:left="970" w:right="158" w:hanging="851"/>
      </w:pPr>
      <w:r>
        <w:rPr/>
        <w:t>A5.14</w:t>
        <w:tab/>
        <w:t>As</w:t>
      </w:r>
      <w:r>
        <w:rPr>
          <w:spacing w:val="-4"/>
        </w:rPr>
        <w:t> </w:t>
      </w:r>
      <w:r>
        <w:rPr/>
        <w:t>of</w:t>
      </w:r>
      <w:r>
        <w:rPr>
          <w:spacing w:val="-4"/>
        </w:rPr>
        <w:t> </w:t>
      </w:r>
      <w:r>
        <w:rPr/>
        <w:t>January</w:t>
      </w:r>
      <w:r>
        <w:rPr>
          <w:spacing w:val="-3"/>
        </w:rPr>
        <w:t> </w:t>
      </w:r>
      <w:r>
        <w:rPr/>
        <w:t>2022,</w:t>
      </w:r>
      <w:r>
        <w:rPr>
          <w:spacing w:val="-3"/>
        </w:rPr>
        <w:t> </w:t>
      </w:r>
      <w:r>
        <w:rPr/>
        <w:t>there</w:t>
      </w:r>
      <w:r>
        <w:rPr>
          <w:spacing w:val="-2"/>
        </w:rPr>
        <w:t> </w:t>
      </w:r>
      <w:r>
        <w:rPr/>
        <w:t>are</w:t>
      </w:r>
      <w:r>
        <w:rPr>
          <w:spacing w:val="-4"/>
        </w:rPr>
        <w:t> </w:t>
      </w:r>
      <w:r>
        <w:rPr/>
        <w:t>around</w:t>
      </w:r>
      <w:r>
        <w:rPr>
          <w:spacing w:val="-4"/>
        </w:rPr>
        <w:t> </w:t>
      </w:r>
      <w:r>
        <w:rPr/>
        <w:t>360</w:t>
      </w:r>
      <w:r>
        <w:rPr>
          <w:spacing w:val="-4"/>
        </w:rPr>
        <w:t> </w:t>
      </w:r>
      <w:r>
        <w:rPr/>
        <w:t>fixed</w:t>
      </w:r>
      <w:r>
        <w:rPr>
          <w:spacing w:val="-3"/>
        </w:rPr>
        <w:t> </w:t>
      </w:r>
      <w:r>
        <w:rPr/>
        <w:t>links</w:t>
      </w:r>
      <w:r>
        <w:rPr>
          <w:spacing w:val="-1"/>
        </w:rPr>
        <w:t> </w:t>
      </w:r>
      <w:r>
        <w:rPr/>
        <w:t>in</w:t>
      </w:r>
      <w:r>
        <w:rPr>
          <w:spacing w:val="-4"/>
        </w:rPr>
        <w:t> </w:t>
      </w:r>
      <w:r>
        <w:rPr/>
        <w:t>the</w:t>
      </w:r>
      <w:r>
        <w:rPr>
          <w:spacing w:val="-4"/>
        </w:rPr>
        <w:t> </w:t>
      </w:r>
      <w:r>
        <w:rPr/>
        <w:t>lower</w:t>
      </w:r>
      <w:r>
        <w:rPr>
          <w:spacing w:val="-1"/>
        </w:rPr>
        <w:t> </w:t>
      </w:r>
      <w:r>
        <w:rPr/>
        <w:t>6</w:t>
      </w:r>
      <w:r>
        <w:rPr>
          <w:spacing w:val="-4"/>
        </w:rPr>
        <w:t> </w:t>
      </w:r>
      <w:r>
        <w:rPr/>
        <w:t>GHz</w:t>
      </w:r>
      <w:r>
        <w:rPr>
          <w:spacing w:val="-4"/>
        </w:rPr>
        <w:t> </w:t>
      </w:r>
      <w:r>
        <w:rPr/>
        <w:t>band</w:t>
      </w:r>
      <w:r>
        <w:rPr>
          <w:spacing w:val="-3"/>
        </w:rPr>
        <w:t> </w:t>
      </w:r>
      <w:r>
        <w:rPr/>
        <w:t>compared</w:t>
      </w:r>
      <w:r>
        <w:rPr>
          <w:spacing w:val="-1"/>
          <w:w w:val="99"/>
        </w:rPr>
        <w:t> </w:t>
      </w:r>
      <w:r>
        <w:rPr/>
        <w:t>with around 500 in the upper 6 GHz band. There is a slightly higher number of fixed links in the upper 6 GHz band that are partially or completely (either one or both ends of the link) in high density population areas</w:t>
      </w:r>
      <w:hyperlink w:history="true" w:anchor="_bookmark26">
        <w:r>
          <w:rPr>
            <w:position w:val="6"/>
            <w:sz w:val="12"/>
          </w:rPr>
          <w:t>17</w:t>
        </w:r>
      </w:hyperlink>
      <w:r>
        <w:rPr>
          <w:position w:val="6"/>
          <w:sz w:val="12"/>
        </w:rPr>
        <w:t> </w:t>
      </w:r>
      <w:r>
        <w:rPr/>
        <w:t>(113 compared to 79 in the lower band). The number of fixed links partially or completely in mid density population areas is also higher within upper 6 GHz spectrum (101 compared to 67 within the lower</w:t>
      </w:r>
      <w:r>
        <w:rPr>
          <w:spacing w:val="-28"/>
        </w:rPr>
        <w:t> </w:t>
      </w:r>
      <w:r>
        <w:rPr/>
        <w:t>band).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27"/>
        </w:rPr>
      </w:pPr>
      <w:r>
        <w:rPr/>
        <w:pict>
          <v:line style="position:absolute;mso-position-horizontal-relative:page;mso-position-vertical-relative:paragraph;z-index:1432;mso-wrap-distance-left:0;mso-wrap-distance-right:0" from="72pt,19.31916pt" to="216pt,19.31916pt" stroked="true" strokeweight=".72pt" strokecolor="#000000">
            <v:stroke dashstyle="solid"/>
            <w10:wrap type="topAndBottom"/>
          </v:line>
        </w:pict>
      </w:r>
    </w:p>
    <w:p>
      <w:pPr>
        <w:pStyle w:val="BodyText"/>
        <w:spacing w:before="5"/>
        <w:rPr>
          <w:sz w:val="12"/>
        </w:rPr>
      </w:pPr>
    </w:p>
    <w:p>
      <w:pPr>
        <w:spacing w:line="221" w:lineRule="exact" w:before="75"/>
        <w:ind w:left="120" w:right="0" w:firstLine="0"/>
        <w:jc w:val="left"/>
        <w:rPr>
          <w:sz w:val="18"/>
        </w:rPr>
      </w:pPr>
      <w:bookmarkStart w:name="_bookmark25" w:id="94"/>
      <w:bookmarkEnd w:id="94"/>
      <w:r>
        <w:rPr/>
      </w:r>
      <w:r>
        <w:rPr>
          <w:position w:val="6"/>
          <w:sz w:val="12"/>
        </w:rPr>
        <w:t>16 </w:t>
      </w:r>
      <w:hyperlink r:id="rId45">
        <w:r>
          <w:rPr>
            <w:color w:val="C70044"/>
            <w:sz w:val="18"/>
            <w:u w:val="single" w:color="C70044"/>
          </w:rPr>
          <w:t>OfW 446: Technical Frequency Assignment Criteria for Fixed Point-to-Point Radio Services with Digital Modulation</w:t>
        </w:r>
      </w:hyperlink>
    </w:p>
    <w:p>
      <w:pPr>
        <w:spacing w:before="0"/>
        <w:ind w:left="120" w:right="168" w:firstLine="0"/>
        <w:jc w:val="left"/>
        <w:rPr>
          <w:sz w:val="18"/>
        </w:rPr>
      </w:pPr>
      <w:bookmarkStart w:name="_bookmark26" w:id="95"/>
      <w:bookmarkEnd w:id="95"/>
      <w:r>
        <w:rPr/>
      </w:r>
      <w:r>
        <w:rPr>
          <w:position w:val="6"/>
          <w:sz w:val="12"/>
        </w:rPr>
        <w:t>17 </w:t>
      </w:r>
      <w:r>
        <w:rPr>
          <w:sz w:val="18"/>
        </w:rPr>
        <w:t>We define population density according to the 2011 Census data for the UK, where “mid” densely populated areas refer to local authorities where up to 50% of the cumulative population of the UK lives and “high” densely populated areas are where 50% to 80% of the cumulative population of the UK lives.</w:t>
      </w:r>
    </w:p>
    <w:p>
      <w:pPr>
        <w:spacing w:after="0"/>
        <w:jc w:val="left"/>
        <w:rPr>
          <w:sz w:val="18"/>
        </w:rPr>
        <w:sectPr>
          <w:pgSz w:w="11910" w:h="16840"/>
          <w:pgMar w:header="727" w:footer="1309" w:top="920" w:bottom="1500" w:left="1320" w:right="1340"/>
        </w:sectPr>
      </w:pPr>
    </w:p>
    <w:p>
      <w:pPr>
        <w:pStyle w:val="BodyText"/>
        <w:rPr>
          <w:sz w:val="20"/>
        </w:rPr>
      </w:pPr>
    </w:p>
    <w:p>
      <w:pPr>
        <w:pStyle w:val="BodyText"/>
        <w:rPr>
          <w:sz w:val="20"/>
        </w:rPr>
      </w:pPr>
    </w:p>
    <w:p>
      <w:pPr>
        <w:pStyle w:val="BodyText"/>
        <w:spacing w:before="11"/>
        <w:rPr>
          <w:sz w:val="18"/>
        </w:rPr>
      </w:pPr>
    </w:p>
    <w:p>
      <w:pPr>
        <w:pStyle w:val="Heading5"/>
        <w:spacing w:before="56"/>
      </w:pPr>
      <w:r>
        <w:rPr/>
        <w:t>Figure A5.1: Locations of fixed links in the lower and upper 6 GHz bands</w:t>
      </w:r>
    </w:p>
    <w:p>
      <w:pPr>
        <w:pStyle w:val="BodyText"/>
        <w:spacing w:before="10"/>
        <w:rPr>
          <w:b/>
          <w:sz w:val="9"/>
        </w:rPr>
      </w:pPr>
      <w:r>
        <w:rPr/>
        <w:drawing>
          <wp:anchor distT="0" distB="0" distL="0" distR="0" allowOverlap="1" layoutInCell="1" locked="0" behindDoc="0" simplePos="0" relativeHeight="1456">
            <wp:simplePos x="0" y="0"/>
            <wp:positionH relativeFrom="page">
              <wp:posOffset>914400</wp:posOffset>
            </wp:positionH>
            <wp:positionV relativeFrom="paragraph">
              <wp:posOffset>101012</wp:posOffset>
            </wp:positionV>
            <wp:extent cx="5767015" cy="3759327"/>
            <wp:effectExtent l="0" t="0" r="0" b="0"/>
            <wp:wrapTopAndBottom/>
            <wp:docPr id="5" name="image5.jpeg" descr="Maps showing the distribution of fixed links across the UK in the lower and upper 6 GHz bands. "/>
            <wp:cNvGraphicFramePr>
              <a:graphicFrameLocks noChangeAspect="1"/>
            </wp:cNvGraphicFramePr>
            <a:graphic>
              <a:graphicData uri="http://schemas.openxmlformats.org/drawingml/2006/picture">
                <pic:pic>
                  <pic:nvPicPr>
                    <pic:cNvPr id="6" name="image5.jpeg"/>
                    <pic:cNvPicPr/>
                  </pic:nvPicPr>
                  <pic:blipFill>
                    <a:blip r:embed="rId47" cstate="print"/>
                    <a:stretch>
                      <a:fillRect/>
                    </a:stretch>
                  </pic:blipFill>
                  <pic:spPr>
                    <a:xfrm>
                      <a:off x="0" y="0"/>
                      <a:ext cx="5767015" cy="3759327"/>
                    </a:xfrm>
                    <a:prstGeom prst="rect">
                      <a:avLst/>
                    </a:prstGeom>
                  </pic:spPr>
                </pic:pic>
              </a:graphicData>
            </a:graphic>
          </wp:anchor>
        </w:drawing>
      </w:r>
    </w:p>
    <w:p>
      <w:pPr>
        <w:pStyle w:val="BodyText"/>
        <w:rPr>
          <w:b/>
        </w:rPr>
      </w:pPr>
    </w:p>
    <w:p>
      <w:pPr>
        <w:pStyle w:val="BodyText"/>
        <w:spacing w:before="7"/>
        <w:rPr>
          <w:b/>
          <w:sz w:val="20"/>
        </w:rPr>
      </w:pPr>
    </w:p>
    <w:p>
      <w:pPr>
        <w:pStyle w:val="BodyText"/>
        <w:tabs>
          <w:tab w:pos="970" w:val="left" w:leader="none"/>
        </w:tabs>
        <w:spacing w:line="276" w:lineRule="auto"/>
        <w:ind w:left="970" w:right="206" w:hanging="851"/>
      </w:pPr>
      <w:r>
        <w:rPr/>
        <w:t>A5.15</w:t>
        <w:tab/>
        <w:t>We</w:t>
      </w:r>
      <w:r>
        <w:rPr>
          <w:spacing w:val="-3"/>
        </w:rPr>
        <w:t> </w:t>
      </w:r>
      <w:r>
        <w:rPr/>
        <w:t>compared</w:t>
      </w:r>
      <w:r>
        <w:rPr>
          <w:spacing w:val="-3"/>
        </w:rPr>
        <w:t> </w:t>
      </w:r>
      <w:r>
        <w:rPr/>
        <w:t>the</w:t>
      </w:r>
      <w:r>
        <w:rPr>
          <w:spacing w:val="-3"/>
        </w:rPr>
        <w:t> </w:t>
      </w:r>
      <w:r>
        <w:rPr/>
        <w:t>technical</w:t>
      </w:r>
      <w:r>
        <w:rPr>
          <w:spacing w:val="-3"/>
        </w:rPr>
        <w:t> </w:t>
      </w:r>
      <w:r>
        <w:rPr/>
        <w:t>parameters</w:t>
      </w:r>
      <w:r>
        <w:rPr>
          <w:spacing w:val="-3"/>
        </w:rPr>
        <w:t> </w:t>
      </w:r>
      <w:r>
        <w:rPr/>
        <w:t>of</w:t>
      </w:r>
      <w:r>
        <w:rPr>
          <w:spacing w:val="-3"/>
        </w:rPr>
        <w:t> </w:t>
      </w:r>
      <w:r>
        <w:rPr/>
        <w:t>fixed</w:t>
      </w:r>
      <w:r>
        <w:rPr>
          <w:spacing w:val="-3"/>
        </w:rPr>
        <w:t> </w:t>
      </w:r>
      <w:r>
        <w:rPr/>
        <w:t>links</w:t>
      </w:r>
      <w:r>
        <w:rPr>
          <w:spacing w:val="-3"/>
        </w:rPr>
        <w:t> </w:t>
      </w:r>
      <w:r>
        <w:rPr/>
        <w:t>in</w:t>
      </w:r>
      <w:r>
        <w:rPr>
          <w:spacing w:val="-3"/>
        </w:rPr>
        <w:t> </w:t>
      </w:r>
      <w:r>
        <w:rPr/>
        <w:t>the</w:t>
      </w:r>
      <w:r>
        <w:rPr>
          <w:spacing w:val="-3"/>
        </w:rPr>
        <w:t> </w:t>
      </w:r>
      <w:r>
        <w:rPr/>
        <w:t>lower</w:t>
      </w:r>
      <w:r>
        <w:rPr>
          <w:spacing w:val="-3"/>
        </w:rPr>
        <w:t> </w:t>
      </w:r>
      <w:r>
        <w:rPr/>
        <w:t>and</w:t>
      </w:r>
      <w:r>
        <w:rPr>
          <w:spacing w:val="-3"/>
        </w:rPr>
        <w:t> </w:t>
      </w:r>
      <w:r>
        <w:rPr/>
        <w:t>upper</w:t>
      </w:r>
      <w:r>
        <w:rPr>
          <w:spacing w:val="-3"/>
        </w:rPr>
        <w:t> </w:t>
      </w:r>
      <w:r>
        <w:rPr/>
        <w:t>6</w:t>
      </w:r>
      <w:r>
        <w:rPr>
          <w:spacing w:val="-2"/>
        </w:rPr>
        <w:t> </w:t>
      </w:r>
      <w:r>
        <w:rPr/>
        <w:t>GHz</w:t>
      </w:r>
      <w:r>
        <w:rPr>
          <w:spacing w:val="-3"/>
        </w:rPr>
        <w:t> </w:t>
      </w:r>
      <w:r>
        <w:rPr/>
        <w:t>bands,</w:t>
      </w:r>
      <w:r>
        <w:rPr>
          <w:w w:val="99"/>
        </w:rPr>
        <w:t> </w:t>
      </w:r>
      <w:r>
        <w:rPr/>
        <w:t>summarised below in Table A5.1, and did not find any significant difference between the bands.</w:t>
      </w:r>
      <w:hyperlink w:history="true" w:anchor="_bookmark27">
        <w:r>
          <w:rPr>
            <w:position w:val="6"/>
            <w:sz w:val="12"/>
          </w:rPr>
          <w:t>18</w:t>
        </w:r>
      </w:hyperlink>
      <w:r>
        <w:rPr>
          <w:position w:val="6"/>
          <w:sz w:val="12"/>
        </w:rPr>
        <w:t> </w:t>
      </w:r>
      <w:r>
        <w:rPr/>
        <w:t>It can be seen that the average link fade margin in the upper 6 GHz band is 23 dB, this</w:t>
      </w:r>
      <w:r>
        <w:rPr>
          <w:spacing w:val="-4"/>
        </w:rPr>
        <w:t> </w:t>
      </w:r>
      <w:r>
        <w:rPr/>
        <w:t>is</w:t>
      </w:r>
      <w:r>
        <w:rPr>
          <w:spacing w:val="-4"/>
        </w:rPr>
        <w:t> </w:t>
      </w:r>
      <w:r>
        <w:rPr/>
        <w:t>higher</w:t>
      </w:r>
      <w:r>
        <w:rPr>
          <w:spacing w:val="-1"/>
        </w:rPr>
        <w:t> </w:t>
      </w:r>
      <w:r>
        <w:rPr/>
        <w:t>than</w:t>
      </w:r>
      <w:r>
        <w:rPr>
          <w:spacing w:val="-3"/>
        </w:rPr>
        <w:t> </w:t>
      </w:r>
      <w:r>
        <w:rPr/>
        <w:t>the</w:t>
      </w:r>
      <w:r>
        <w:rPr>
          <w:spacing w:val="-3"/>
        </w:rPr>
        <w:t> </w:t>
      </w:r>
      <w:r>
        <w:rPr/>
        <w:t>minimum</w:t>
      </w:r>
      <w:r>
        <w:rPr>
          <w:spacing w:val="-3"/>
        </w:rPr>
        <w:t> </w:t>
      </w:r>
      <w:r>
        <w:rPr/>
        <w:t>coordinated</w:t>
      </w:r>
      <w:r>
        <w:rPr>
          <w:spacing w:val="-4"/>
        </w:rPr>
        <w:t> </w:t>
      </w:r>
      <w:r>
        <w:rPr/>
        <w:t>fade</w:t>
      </w:r>
      <w:r>
        <w:rPr>
          <w:spacing w:val="-3"/>
        </w:rPr>
        <w:t> </w:t>
      </w:r>
      <w:r>
        <w:rPr/>
        <w:t>margin</w:t>
      </w:r>
      <w:r>
        <w:rPr>
          <w:spacing w:val="-4"/>
        </w:rPr>
        <w:t> </w:t>
      </w:r>
      <w:r>
        <w:rPr/>
        <w:t>of</w:t>
      </w:r>
      <w:r>
        <w:rPr>
          <w:spacing w:val="-4"/>
        </w:rPr>
        <w:t> </w:t>
      </w:r>
      <w:r>
        <w:rPr/>
        <w:t>10</w:t>
      </w:r>
      <w:r>
        <w:rPr>
          <w:spacing w:val="-2"/>
        </w:rPr>
        <w:t> </w:t>
      </w:r>
      <w:r>
        <w:rPr/>
        <w:t>dB</w:t>
      </w:r>
      <w:r>
        <w:rPr>
          <w:spacing w:val="-2"/>
        </w:rPr>
        <w:t> </w:t>
      </w:r>
      <w:r>
        <w:rPr/>
        <w:t>given</w:t>
      </w:r>
      <w:r>
        <w:rPr>
          <w:spacing w:val="-4"/>
        </w:rPr>
        <w:t> </w:t>
      </w:r>
      <w:r>
        <w:rPr/>
        <w:t>in</w:t>
      </w:r>
      <w:r>
        <w:rPr>
          <w:spacing w:val="-4"/>
        </w:rPr>
        <w:t> </w:t>
      </w:r>
      <w:r>
        <w:rPr/>
        <w:t>TFAC</w:t>
      </w:r>
      <w:r>
        <w:rPr>
          <w:spacing w:val="-4"/>
        </w:rPr>
        <w:t> </w:t>
      </w:r>
      <w:r>
        <w:rPr/>
        <w:t>OFW</w:t>
      </w:r>
      <w:r>
        <w:rPr>
          <w:spacing w:val="-3"/>
        </w:rPr>
        <w:t> </w:t>
      </w:r>
      <w:r>
        <w:rPr/>
        <w:t>446.</w:t>
      </w:r>
    </w:p>
    <w:p>
      <w:pPr>
        <w:pStyle w:val="Heading5"/>
        <w:spacing w:line="276" w:lineRule="auto" w:before="119"/>
        <w:ind w:left="119" w:right="475"/>
      </w:pPr>
      <w:r>
        <w:rPr/>
        <w:t>Table A5.1: Summary comparison of technical characteristics of the fixed links in the lower and upper 6 GHz band</w:t>
      </w:r>
    </w:p>
    <w:p>
      <w:pPr>
        <w:pStyle w:val="BodyText"/>
        <w:spacing w:before="9"/>
        <w:rPr>
          <w:b/>
          <w:sz w:val="9"/>
        </w:rPr>
      </w:pPr>
    </w:p>
    <w:tbl>
      <w:tblPr>
        <w:tblW w:w="0" w:type="auto"/>
        <w:jc w:val="left"/>
        <w:tblInd w:w="9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972"/>
        <w:gridCol w:w="2467"/>
        <w:gridCol w:w="2720"/>
      </w:tblGrid>
      <w:tr>
        <w:trPr>
          <w:trHeight w:val="748" w:hRule="exact"/>
        </w:trPr>
        <w:tc>
          <w:tcPr>
            <w:tcW w:w="2972" w:type="dxa"/>
          </w:tcPr>
          <w:p>
            <w:pPr>
              <w:pStyle w:val="TableParagraph"/>
              <w:spacing w:before="0"/>
              <w:rPr>
                <w:sz w:val="22"/>
              </w:rPr>
            </w:pPr>
            <w:r>
              <w:rPr>
                <w:color w:val="383939"/>
                <w:sz w:val="22"/>
              </w:rPr>
              <w:t>Parameter</w:t>
            </w:r>
          </w:p>
        </w:tc>
        <w:tc>
          <w:tcPr>
            <w:tcW w:w="2467" w:type="dxa"/>
          </w:tcPr>
          <w:p>
            <w:pPr>
              <w:pStyle w:val="TableParagraph"/>
              <w:spacing w:line="276" w:lineRule="auto" w:before="0"/>
              <w:ind w:right="857"/>
              <w:rPr>
                <w:sz w:val="22"/>
              </w:rPr>
            </w:pPr>
            <w:r>
              <w:rPr>
                <w:color w:val="383939"/>
                <w:sz w:val="22"/>
              </w:rPr>
              <w:t>Average value in Lower 6 GHz</w:t>
            </w:r>
          </w:p>
        </w:tc>
        <w:tc>
          <w:tcPr>
            <w:tcW w:w="2720" w:type="dxa"/>
          </w:tcPr>
          <w:p>
            <w:pPr>
              <w:pStyle w:val="TableParagraph"/>
              <w:spacing w:line="276" w:lineRule="auto" w:before="0"/>
              <w:ind w:right="1110"/>
              <w:rPr>
                <w:sz w:val="22"/>
              </w:rPr>
            </w:pPr>
            <w:r>
              <w:rPr>
                <w:color w:val="383939"/>
                <w:sz w:val="22"/>
              </w:rPr>
              <w:t>Average value in Upper 6 GHz</w:t>
            </w:r>
          </w:p>
        </w:tc>
      </w:tr>
      <w:tr>
        <w:trPr>
          <w:trHeight w:val="439" w:hRule="exact"/>
        </w:trPr>
        <w:tc>
          <w:tcPr>
            <w:tcW w:w="2972" w:type="dxa"/>
          </w:tcPr>
          <w:p>
            <w:pPr>
              <w:pStyle w:val="TableParagraph"/>
              <w:spacing w:before="0"/>
              <w:rPr>
                <w:sz w:val="22"/>
              </w:rPr>
            </w:pPr>
            <w:r>
              <w:rPr>
                <w:color w:val="383939"/>
                <w:sz w:val="22"/>
              </w:rPr>
              <w:t>Antenna Height (m)</w:t>
            </w:r>
          </w:p>
        </w:tc>
        <w:tc>
          <w:tcPr>
            <w:tcW w:w="2467" w:type="dxa"/>
          </w:tcPr>
          <w:p>
            <w:pPr>
              <w:pStyle w:val="TableParagraph"/>
              <w:spacing w:before="0"/>
              <w:rPr>
                <w:sz w:val="22"/>
              </w:rPr>
            </w:pPr>
            <w:r>
              <w:rPr>
                <w:color w:val="383939"/>
                <w:sz w:val="22"/>
              </w:rPr>
              <w:t>40</w:t>
            </w:r>
          </w:p>
        </w:tc>
        <w:tc>
          <w:tcPr>
            <w:tcW w:w="2720" w:type="dxa"/>
          </w:tcPr>
          <w:p>
            <w:pPr>
              <w:pStyle w:val="TableParagraph"/>
              <w:spacing w:before="0"/>
              <w:rPr>
                <w:sz w:val="22"/>
              </w:rPr>
            </w:pPr>
            <w:r>
              <w:rPr>
                <w:color w:val="383939"/>
                <w:sz w:val="22"/>
              </w:rPr>
              <w:t>32</w:t>
            </w:r>
          </w:p>
        </w:tc>
      </w:tr>
      <w:tr>
        <w:trPr>
          <w:trHeight w:val="438" w:hRule="exact"/>
        </w:trPr>
        <w:tc>
          <w:tcPr>
            <w:tcW w:w="2972" w:type="dxa"/>
          </w:tcPr>
          <w:p>
            <w:pPr>
              <w:pStyle w:val="TableParagraph"/>
              <w:spacing w:before="0"/>
              <w:rPr>
                <w:sz w:val="22"/>
              </w:rPr>
            </w:pPr>
            <w:r>
              <w:rPr>
                <w:color w:val="383939"/>
                <w:sz w:val="22"/>
              </w:rPr>
              <w:t>Antenna gain (dBi)</w:t>
            </w:r>
          </w:p>
        </w:tc>
        <w:tc>
          <w:tcPr>
            <w:tcW w:w="2467" w:type="dxa"/>
          </w:tcPr>
          <w:p>
            <w:pPr>
              <w:pStyle w:val="TableParagraph"/>
              <w:spacing w:before="0"/>
              <w:rPr>
                <w:sz w:val="22"/>
              </w:rPr>
            </w:pPr>
            <w:r>
              <w:rPr>
                <w:color w:val="383939"/>
                <w:sz w:val="22"/>
              </w:rPr>
              <w:t>41</w:t>
            </w:r>
          </w:p>
        </w:tc>
        <w:tc>
          <w:tcPr>
            <w:tcW w:w="2720" w:type="dxa"/>
          </w:tcPr>
          <w:p>
            <w:pPr>
              <w:pStyle w:val="TableParagraph"/>
              <w:spacing w:before="0"/>
              <w:rPr>
                <w:sz w:val="22"/>
              </w:rPr>
            </w:pPr>
            <w:r>
              <w:rPr>
                <w:color w:val="383939"/>
                <w:sz w:val="22"/>
              </w:rPr>
              <w:t>41</w:t>
            </w:r>
          </w:p>
        </w:tc>
      </w:tr>
      <w:tr>
        <w:trPr>
          <w:trHeight w:val="439" w:hRule="exact"/>
        </w:trPr>
        <w:tc>
          <w:tcPr>
            <w:tcW w:w="2972" w:type="dxa"/>
          </w:tcPr>
          <w:p>
            <w:pPr>
              <w:pStyle w:val="TableParagraph"/>
              <w:rPr>
                <w:sz w:val="22"/>
              </w:rPr>
            </w:pPr>
            <w:r>
              <w:rPr>
                <w:color w:val="383939"/>
                <w:sz w:val="22"/>
              </w:rPr>
              <w:t>Bandwidth (MHz)</w:t>
            </w:r>
          </w:p>
        </w:tc>
        <w:tc>
          <w:tcPr>
            <w:tcW w:w="2467" w:type="dxa"/>
          </w:tcPr>
          <w:p>
            <w:pPr>
              <w:pStyle w:val="TableParagraph"/>
              <w:rPr>
                <w:sz w:val="22"/>
              </w:rPr>
            </w:pPr>
            <w:r>
              <w:rPr>
                <w:color w:val="383939"/>
                <w:sz w:val="22"/>
              </w:rPr>
              <w:t>31</w:t>
            </w:r>
          </w:p>
        </w:tc>
        <w:tc>
          <w:tcPr>
            <w:tcW w:w="2720" w:type="dxa"/>
          </w:tcPr>
          <w:p>
            <w:pPr>
              <w:pStyle w:val="TableParagraph"/>
              <w:rPr>
                <w:sz w:val="22"/>
              </w:rPr>
            </w:pPr>
            <w:r>
              <w:rPr>
                <w:color w:val="383939"/>
                <w:sz w:val="22"/>
              </w:rPr>
              <w:t>37</w:t>
            </w:r>
          </w:p>
        </w:tc>
      </w:tr>
      <w:tr>
        <w:trPr>
          <w:trHeight w:val="439" w:hRule="exact"/>
        </w:trPr>
        <w:tc>
          <w:tcPr>
            <w:tcW w:w="2972" w:type="dxa"/>
          </w:tcPr>
          <w:p>
            <w:pPr>
              <w:pStyle w:val="TableParagraph"/>
              <w:spacing w:before="0"/>
              <w:rPr>
                <w:sz w:val="22"/>
              </w:rPr>
            </w:pPr>
            <w:r>
              <w:rPr>
                <w:color w:val="383939"/>
                <w:sz w:val="22"/>
              </w:rPr>
              <w:t>Link Fade margin (dB)</w:t>
            </w:r>
          </w:p>
        </w:tc>
        <w:tc>
          <w:tcPr>
            <w:tcW w:w="2467" w:type="dxa"/>
          </w:tcPr>
          <w:p>
            <w:pPr>
              <w:pStyle w:val="TableParagraph"/>
              <w:spacing w:before="0"/>
              <w:rPr>
                <w:sz w:val="22"/>
              </w:rPr>
            </w:pPr>
            <w:r>
              <w:rPr>
                <w:color w:val="383939"/>
                <w:sz w:val="22"/>
              </w:rPr>
              <w:t>35</w:t>
            </w:r>
          </w:p>
        </w:tc>
        <w:tc>
          <w:tcPr>
            <w:tcW w:w="2720" w:type="dxa"/>
          </w:tcPr>
          <w:p>
            <w:pPr>
              <w:pStyle w:val="TableParagraph"/>
              <w:spacing w:before="0"/>
              <w:rPr>
                <w:sz w:val="22"/>
              </w:rPr>
            </w:pPr>
            <w:r>
              <w:rPr>
                <w:color w:val="383939"/>
                <w:sz w:val="22"/>
              </w:rPr>
              <w:t>23</w:t>
            </w:r>
          </w:p>
        </w:tc>
      </w:tr>
    </w:tbl>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9"/>
        <w:rPr>
          <w:b/>
          <w:sz w:val="27"/>
        </w:rPr>
      </w:pPr>
      <w:r>
        <w:rPr/>
        <w:pict>
          <v:line style="position:absolute;mso-position-horizontal-relative:page;mso-position-vertical-relative:paragraph;z-index:1480;mso-wrap-distance-left:0;mso-wrap-distance-right:0" from="72pt,19.271875pt" to="216pt,19.271875pt" stroked="true" strokeweight=".72pt" strokecolor="#000000">
            <v:stroke dashstyle="solid"/>
            <w10:wrap type="topAndBottom"/>
          </v:line>
        </w:pict>
      </w:r>
    </w:p>
    <w:p>
      <w:pPr>
        <w:pStyle w:val="BodyText"/>
        <w:spacing w:before="8"/>
        <w:rPr>
          <w:b/>
          <w:sz w:val="18"/>
        </w:rPr>
      </w:pPr>
    </w:p>
    <w:p>
      <w:pPr>
        <w:spacing w:before="0"/>
        <w:ind w:left="119" w:right="0" w:firstLine="0"/>
        <w:jc w:val="left"/>
        <w:rPr>
          <w:sz w:val="18"/>
        </w:rPr>
      </w:pPr>
      <w:bookmarkStart w:name="_bookmark27" w:id="96"/>
      <w:bookmarkEnd w:id="96"/>
      <w:r>
        <w:rPr/>
      </w:r>
      <w:r>
        <w:rPr>
          <w:position w:val="6"/>
          <w:sz w:val="12"/>
        </w:rPr>
        <w:t>18 </w:t>
      </w:r>
      <w:r>
        <w:rPr>
          <w:sz w:val="18"/>
        </w:rPr>
        <w:t>A bandwidth of 31 MHz compared to 37 MHz has a thermal noise difference of 0.8 dB, so the average noise floor is not significantly different between the bands.</w:t>
      </w:r>
    </w:p>
    <w:p>
      <w:pPr>
        <w:spacing w:after="0"/>
        <w:jc w:val="left"/>
        <w:rPr>
          <w:sz w:val="18"/>
        </w:rPr>
        <w:sectPr>
          <w:footerReference w:type="default" r:id="rId46"/>
          <w:pgSz w:w="11910" w:h="16840"/>
          <w:pgMar w:footer="1309" w:header="727" w:top="920" w:bottom="1500" w:left="1320" w:right="1320"/>
        </w:sectPr>
      </w:pPr>
    </w:p>
    <w:p>
      <w:pPr>
        <w:pStyle w:val="BodyText"/>
        <w:rPr>
          <w:sz w:val="20"/>
        </w:rPr>
      </w:pPr>
    </w:p>
    <w:p>
      <w:pPr>
        <w:pStyle w:val="BodyText"/>
        <w:rPr>
          <w:sz w:val="20"/>
        </w:rPr>
      </w:pPr>
    </w:p>
    <w:p>
      <w:pPr>
        <w:pStyle w:val="BodyText"/>
        <w:spacing w:before="11"/>
        <w:rPr>
          <w:sz w:val="18"/>
        </w:rPr>
      </w:pPr>
    </w:p>
    <w:p>
      <w:pPr>
        <w:pStyle w:val="Heading5"/>
        <w:spacing w:before="56"/>
      </w:pPr>
      <w:bookmarkStart w:name="Review of existing studies" w:id="97"/>
      <w:bookmarkEnd w:id="97"/>
      <w:r>
        <w:rPr>
          <w:b w:val="0"/>
        </w:rPr>
      </w:r>
      <w:r>
        <w:rPr>
          <w:color w:val="632466"/>
        </w:rPr>
        <w:t>Review of existing studies</w:t>
      </w:r>
    </w:p>
    <w:p>
      <w:pPr>
        <w:pStyle w:val="BodyText"/>
        <w:spacing w:before="6"/>
        <w:rPr>
          <w:b/>
          <w:sz w:val="19"/>
        </w:rPr>
      </w:pPr>
    </w:p>
    <w:p>
      <w:pPr>
        <w:pStyle w:val="BodyText"/>
        <w:tabs>
          <w:tab w:pos="970" w:val="left" w:leader="none"/>
        </w:tabs>
        <w:spacing w:line="276" w:lineRule="auto" w:before="1"/>
        <w:ind w:left="970" w:right="160" w:hanging="851"/>
      </w:pPr>
      <w:r>
        <w:rPr/>
        <w:t>A5.16</w:t>
        <w:tab/>
        <w:t>When we made the lower 6 GHz band available, we undertook some technical</w:t>
      </w:r>
      <w:r>
        <w:rPr>
          <w:spacing w:val="-28"/>
        </w:rPr>
        <w:t> </w:t>
      </w:r>
      <w:r>
        <w:rPr/>
        <w:t>analysis</w:t>
      </w:r>
      <w:hyperlink w:history="true" w:anchor="_bookmark28">
        <w:r>
          <w:rPr>
            <w:position w:val="6"/>
            <w:sz w:val="12"/>
          </w:rPr>
          <w:t>19</w:t>
        </w:r>
      </w:hyperlink>
      <w:r>
        <w:rPr>
          <w:spacing w:val="-1"/>
          <w:position w:val="6"/>
          <w:sz w:val="12"/>
        </w:rPr>
        <w:t> </w:t>
      </w:r>
      <w:r>
        <w:rPr/>
        <w:t>in</w:t>
      </w:r>
      <w:r>
        <w:rPr>
          <w:w w:val="99"/>
        </w:rPr>
        <w:t> </w:t>
      </w:r>
      <w:r>
        <w:rPr/>
        <w:t>which the results were broadly aligned with the analysis in ECC Report 302</w:t>
      </w:r>
      <w:hyperlink w:history="true" w:anchor="_bookmark29">
        <w:r>
          <w:rPr>
            <w:position w:val="6"/>
            <w:sz w:val="12"/>
          </w:rPr>
          <w:t>20</w:t>
        </w:r>
      </w:hyperlink>
      <w:r>
        <w:rPr/>
        <w:t>. In our analysis we used the long-term protection criteria only. We are of the view that this metric gives enough information about how likely it is that a service provided by a fixed link operating anywhere in the 6 GHz band would be degraded as a result of interference from RLAN systems. We would not expect the signals from low power indoor systems to vary significantly over time and therefore the long-term interference metric is more applicable over a short-term interference</w:t>
      </w:r>
      <w:r>
        <w:rPr>
          <w:spacing w:val="-21"/>
        </w:rPr>
        <w:t> </w:t>
      </w:r>
      <w:r>
        <w:rPr/>
        <w:t>metric.</w:t>
      </w:r>
    </w:p>
    <w:p>
      <w:pPr>
        <w:pStyle w:val="BodyText"/>
        <w:tabs>
          <w:tab w:pos="970" w:val="left" w:leader="none"/>
        </w:tabs>
        <w:spacing w:line="276" w:lineRule="auto" w:before="119"/>
        <w:ind w:left="971" w:right="192" w:hanging="851"/>
      </w:pPr>
      <w:r>
        <w:rPr/>
        <w:t>A5.17</w:t>
        <w:tab/>
        <w:t>Results</w:t>
      </w:r>
      <w:r>
        <w:rPr>
          <w:spacing w:val="-4"/>
        </w:rPr>
        <w:t> </w:t>
      </w:r>
      <w:r>
        <w:rPr/>
        <w:t>from</w:t>
      </w:r>
      <w:r>
        <w:rPr>
          <w:spacing w:val="-2"/>
        </w:rPr>
        <w:t> </w:t>
      </w:r>
      <w:r>
        <w:rPr/>
        <w:t>our</w:t>
      </w:r>
      <w:r>
        <w:rPr>
          <w:spacing w:val="-4"/>
        </w:rPr>
        <w:t> </w:t>
      </w:r>
      <w:r>
        <w:rPr/>
        <w:t>previous</w:t>
      </w:r>
      <w:r>
        <w:rPr>
          <w:spacing w:val="-2"/>
        </w:rPr>
        <w:t> </w:t>
      </w:r>
      <w:r>
        <w:rPr/>
        <w:t>analysis</w:t>
      </w:r>
      <w:r>
        <w:rPr>
          <w:spacing w:val="-4"/>
        </w:rPr>
        <w:t> </w:t>
      </w:r>
      <w:r>
        <w:rPr/>
        <w:t>for</w:t>
      </w:r>
      <w:r>
        <w:rPr>
          <w:spacing w:val="-4"/>
        </w:rPr>
        <w:t> </w:t>
      </w:r>
      <w:r>
        <w:rPr/>
        <w:t>the</w:t>
      </w:r>
      <w:r>
        <w:rPr>
          <w:spacing w:val="-4"/>
        </w:rPr>
        <w:t> </w:t>
      </w:r>
      <w:r>
        <w:rPr/>
        <w:t>lower</w:t>
      </w:r>
      <w:r>
        <w:rPr>
          <w:spacing w:val="-4"/>
        </w:rPr>
        <w:t> </w:t>
      </w:r>
      <w:r>
        <w:rPr/>
        <w:t>6</w:t>
      </w:r>
      <w:r>
        <w:rPr>
          <w:spacing w:val="-3"/>
        </w:rPr>
        <w:t> </w:t>
      </w:r>
      <w:r>
        <w:rPr/>
        <w:t>GHz</w:t>
      </w:r>
      <w:r>
        <w:rPr>
          <w:spacing w:val="-4"/>
        </w:rPr>
        <w:t> </w:t>
      </w:r>
      <w:r>
        <w:rPr/>
        <w:t>band,</w:t>
      </w:r>
      <w:r>
        <w:rPr>
          <w:spacing w:val="-4"/>
        </w:rPr>
        <w:t> </w:t>
      </w:r>
      <w:r>
        <w:rPr/>
        <w:t>showed</w:t>
      </w:r>
      <w:r>
        <w:rPr>
          <w:spacing w:val="-4"/>
        </w:rPr>
        <w:t> </w:t>
      </w:r>
      <w:r>
        <w:rPr/>
        <w:t>that</w:t>
      </w:r>
      <w:r>
        <w:rPr>
          <w:spacing w:val="-4"/>
        </w:rPr>
        <w:t> </w:t>
      </w:r>
      <w:r>
        <w:rPr/>
        <w:t>sharing</w:t>
      </w:r>
      <w:r>
        <w:rPr>
          <w:spacing w:val="-4"/>
        </w:rPr>
        <w:t> </w:t>
      </w:r>
      <w:r>
        <w:rPr/>
        <w:t>was</w:t>
      </w:r>
      <w:r>
        <w:rPr>
          <w:w w:val="99"/>
        </w:rPr>
        <w:t> </w:t>
      </w:r>
      <w:r>
        <w:rPr/>
        <w:t>feasible when the deployment scenarios are limited to very low power (VLP) devices outdoors (with EIRP up to 25mW) and RLAN indoors (EIRP up to 250mW). We noted that there could still be some scenarios where the interference threshold could be exceeded, but the likelihood of such scenarios arising in practice was very low and the associated risk was</w:t>
      </w:r>
      <w:r>
        <w:rPr>
          <w:spacing w:val="-10"/>
        </w:rPr>
        <w:t> </w:t>
      </w:r>
      <w:r>
        <w:rPr/>
        <w:t>manageable.</w:t>
      </w:r>
    </w:p>
    <w:p>
      <w:pPr>
        <w:pStyle w:val="BodyText"/>
        <w:tabs>
          <w:tab w:pos="971" w:val="left" w:leader="none"/>
        </w:tabs>
        <w:spacing w:line="276" w:lineRule="auto" w:before="119"/>
        <w:ind w:left="970" w:right="139" w:hanging="851"/>
      </w:pPr>
      <w:r>
        <w:rPr/>
        <w:t>A5.18</w:t>
        <w:tab/>
        <w:tab/>
        <w:t>Previously, we performed some minimum coupling loss calculations looking at the</w:t>
      </w:r>
      <w:r>
        <w:rPr>
          <w:spacing w:val="-34"/>
        </w:rPr>
        <w:t> </w:t>
      </w:r>
      <w:r>
        <w:rPr/>
        <w:t>risk</w:t>
      </w:r>
      <w:r>
        <w:rPr>
          <w:spacing w:val="-4"/>
        </w:rPr>
        <w:t> </w:t>
      </w:r>
      <w:r>
        <w:rPr/>
        <w:t>of</w:t>
      </w:r>
      <w:r>
        <w:rPr>
          <w:w w:val="99"/>
        </w:rPr>
        <w:t> </w:t>
      </w:r>
      <w:r>
        <w:rPr/>
        <w:t>interference from RLANs into some real fixed links from our licence database. In summary, we found that exclusion areas increase with higher RLAN height and EIRP, but due to the topology and geometry of the fixed links (we would expect the fixed links to be higher than local clutter), only a few locations within the areas are likely to be used for RLAN. For the most common RLAN types (low to medium EIRP and low height), exclusion areas become very small in size, or even negligible. The results from analysing an example link (1126335/1) from our licensing database showed that the maximum potential interference area around the link would include the line-of-sight path between both ends (approximately 21km), with a maximum area of approximately 38km</w:t>
      </w:r>
      <w:r>
        <w:rPr>
          <w:position w:val="8"/>
          <w:sz w:val="14"/>
        </w:rPr>
        <w:t>2</w:t>
      </w:r>
      <w:r>
        <w:rPr/>
        <w:t>. This area greatly reduced when the RLAN height is decreased; it would only extend a few meters when the interferer is at height of 3m or</w:t>
      </w:r>
      <w:r>
        <w:rPr>
          <w:spacing w:val="-15"/>
        </w:rPr>
        <w:t> </w:t>
      </w:r>
      <w:r>
        <w:rPr/>
        <w:t>6m.</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5"/>
        </w:rPr>
      </w:pPr>
      <w:r>
        <w:rPr/>
        <w:pict>
          <v:line style="position:absolute;mso-position-horizontal-relative:page;mso-position-vertical-relative:paragraph;z-index:1504;mso-wrap-distance-left:0;mso-wrap-distance-right:0" from="72pt,11.530213pt" to="216pt,11.530213pt" stroked="true" strokeweight=".72pt" strokecolor="#000000">
            <v:stroke dashstyle="solid"/>
            <w10:wrap type="topAndBottom"/>
          </v:line>
        </w:pict>
      </w:r>
    </w:p>
    <w:p>
      <w:pPr>
        <w:pStyle w:val="BodyText"/>
        <w:spacing w:before="5"/>
        <w:rPr>
          <w:sz w:val="12"/>
        </w:rPr>
      </w:pPr>
    </w:p>
    <w:p>
      <w:pPr>
        <w:spacing w:line="221" w:lineRule="exact" w:before="75"/>
        <w:ind w:left="120" w:right="0" w:firstLine="0"/>
        <w:jc w:val="left"/>
        <w:rPr>
          <w:sz w:val="18"/>
        </w:rPr>
      </w:pPr>
      <w:bookmarkStart w:name="_bookmark28" w:id="98"/>
      <w:bookmarkEnd w:id="98"/>
      <w:r>
        <w:rPr/>
      </w:r>
      <w:r>
        <w:rPr>
          <w:position w:val="6"/>
          <w:sz w:val="12"/>
        </w:rPr>
        <w:t>19 </w:t>
      </w:r>
      <w:hyperlink r:id="rId43">
        <w:r>
          <w:rPr>
            <w:color w:val="C70044"/>
            <w:sz w:val="18"/>
            <w:u w:val="single" w:color="C70044"/>
          </w:rPr>
          <w:t>Consultation: Improving spectrum access for Wi-Fi – spectrum use in the 5 and 6 GHz bands.</w:t>
        </w:r>
      </w:hyperlink>
    </w:p>
    <w:p>
      <w:pPr>
        <w:spacing w:before="0"/>
        <w:ind w:left="120" w:right="0" w:firstLine="0"/>
        <w:jc w:val="left"/>
        <w:rPr>
          <w:sz w:val="18"/>
        </w:rPr>
      </w:pPr>
      <w:bookmarkStart w:name="_bookmark29" w:id="99"/>
      <w:bookmarkEnd w:id="99"/>
      <w:r>
        <w:rPr/>
      </w:r>
      <w:r>
        <w:rPr>
          <w:position w:val="6"/>
          <w:sz w:val="12"/>
        </w:rPr>
        <w:t>20 </w:t>
      </w:r>
      <w:r>
        <w:rPr>
          <w:sz w:val="18"/>
        </w:rPr>
        <w:t>Noting that the ECC Report also uses the same ITU recommendation for calculating building penetration loss, but applies different attenuation values for two types of buildings: 17 dB loss for traditional buildings and 32 dB loss for thermally efficient buildings. Our approach to entry losses, was to assume a more conservative 12 dB.</w:t>
      </w:r>
    </w:p>
    <w:p>
      <w:pPr>
        <w:spacing w:after="0"/>
        <w:jc w:val="left"/>
        <w:rPr>
          <w:sz w:val="18"/>
        </w:rPr>
        <w:sectPr>
          <w:footerReference w:type="default" r:id="rId48"/>
          <w:pgSz w:w="11910" w:h="16840"/>
          <w:pgMar w:footer="1309" w:header="727" w:top="920" w:bottom="1500" w:left="1320" w:right="1340"/>
          <w:pgNumType w:start="31"/>
        </w:sectPr>
      </w:pPr>
    </w:p>
    <w:p>
      <w:pPr>
        <w:pStyle w:val="BodyText"/>
        <w:rPr>
          <w:sz w:val="20"/>
        </w:rPr>
      </w:pPr>
    </w:p>
    <w:p>
      <w:pPr>
        <w:pStyle w:val="BodyText"/>
        <w:rPr>
          <w:sz w:val="20"/>
        </w:rPr>
      </w:pPr>
    </w:p>
    <w:p>
      <w:pPr>
        <w:pStyle w:val="BodyText"/>
        <w:spacing w:before="11"/>
        <w:rPr>
          <w:sz w:val="18"/>
        </w:rPr>
      </w:pPr>
    </w:p>
    <w:p>
      <w:pPr>
        <w:pStyle w:val="Heading5"/>
        <w:spacing w:line="276" w:lineRule="auto" w:before="56"/>
        <w:ind w:right="215" w:hanging="1"/>
      </w:pPr>
      <w:r>
        <w:rPr/>
        <w:drawing>
          <wp:anchor distT="0" distB="0" distL="0" distR="0" allowOverlap="1" layoutInCell="1" locked="0" behindDoc="0" simplePos="0" relativeHeight="1528">
            <wp:simplePos x="0" y="0"/>
            <wp:positionH relativeFrom="page">
              <wp:posOffset>914400</wp:posOffset>
            </wp:positionH>
            <wp:positionV relativeFrom="paragraph">
              <wp:posOffset>503231</wp:posOffset>
            </wp:positionV>
            <wp:extent cx="5682942" cy="1894522"/>
            <wp:effectExtent l="0" t="0" r="0" b="0"/>
            <wp:wrapTopAndBottom/>
            <wp:docPr id="7" name="image6.jpeg" descr="Map showing previous estimates of potential long-term interference areas for indoor RLAN at maximum power "/>
            <wp:cNvGraphicFramePr>
              <a:graphicFrameLocks noChangeAspect="1"/>
            </wp:cNvGraphicFramePr>
            <a:graphic>
              <a:graphicData uri="http://schemas.openxmlformats.org/drawingml/2006/picture">
                <pic:pic>
                  <pic:nvPicPr>
                    <pic:cNvPr id="8" name="image6.jpeg"/>
                    <pic:cNvPicPr/>
                  </pic:nvPicPr>
                  <pic:blipFill>
                    <a:blip r:embed="rId49" cstate="print"/>
                    <a:stretch>
                      <a:fillRect/>
                    </a:stretch>
                  </pic:blipFill>
                  <pic:spPr>
                    <a:xfrm>
                      <a:off x="0" y="0"/>
                      <a:ext cx="5682942" cy="1894522"/>
                    </a:xfrm>
                    <a:prstGeom prst="rect">
                      <a:avLst/>
                    </a:prstGeom>
                  </pic:spPr>
                </pic:pic>
              </a:graphicData>
            </a:graphic>
          </wp:anchor>
        </w:drawing>
      </w:r>
      <w:r>
        <w:rPr/>
        <w:t>Figure A5.2: Our previous</w:t>
      </w:r>
      <w:hyperlink w:history="true" w:anchor="_bookmark30">
        <w:r>
          <w:rPr>
            <w:position w:val="6"/>
            <w:sz w:val="12"/>
          </w:rPr>
          <w:t>21</w:t>
        </w:r>
      </w:hyperlink>
      <w:r>
        <w:rPr>
          <w:position w:val="6"/>
          <w:sz w:val="12"/>
        </w:rPr>
        <w:t> </w:t>
      </w:r>
      <w:r>
        <w:rPr/>
        <w:t>analysis showing potential long-term interference areas for indoor RLAN transmitting at the maximum allowed 250mW</w:t>
      </w:r>
    </w:p>
    <w:p>
      <w:pPr>
        <w:pStyle w:val="BodyText"/>
        <w:tabs>
          <w:tab w:pos="970" w:val="left" w:leader="none"/>
        </w:tabs>
        <w:spacing w:line="276" w:lineRule="auto" w:before="156"/>
        <w:ind w:left="970" w:right="107" w:hanging="851"/>
      </w:pPr>
      <w:r>
        <w:rPr/>
        <w:t>A5.19</w:t>
        <w:tab/>
        <w:t>The</w:t>
      </w:r>
      <w:r>
        <w:rPr>
          <w:spacing w:val="-4"/>
        </w:rPr>
        <w:t> </w:t>
      </w:r>
      <w:r>
        <w:rPr/>
        <w:t>results</w:t>
      </w:r>
      <w:r>
        <w:rPr>
          <w:spacing w:val="-4"/>
        </w:rPr>
        <w:t> </w:t>
      </w:r>
      <w:r>
        <w:rPr/>
        <w:t>from</w:t>
      </w:r>
      <w:r>
        <w:rPr>
          <w:spacing w:val="-4"/>
        </w:rPr>
        <w:t> </w:t>
      </w:r>
      <w:r>
        <w:rPr/>
        <w:t>our</w:t>
      </w:r>
      <w:r>
        <w:rPr>
          <w:spacing w:val="-3"/>
        </w:rPr>
        <w:t> </w:t>
      </w:r>
      <w:r>
        <w:rPr/>
        <w:t>previous</w:t>
      </w:r>
      <w:r>
        <w:rPr>
          <w:spacing w:val="-4"/>
        </w:rPr>
        <w:t> </w:t>
      </w:r>
      <w:r>
        <w:rPr/>
        <w:t>Monte</w:t>
      </w:r>
      <w:r>
        <w:rPr>
          <w:spacing w:val="-4"/>
        </w:rPr>
        <w:t> </w:t>
      </w:r>
      <w:r>
        <w:rPr/>
        <w:t>Carlo</w:t>
      </w:r>
      <w:r>
        <w:rPr>
          <w:spacing w:val="-3"/>
        </w:rPr>
        <w:t> </w:t>
      </w:r>
      <w:r>
        <w:rPr/>
        <w:t>analysis</w:t>
      </w:r>
      <w:r>
        <w:rPr>
          <w:spacing w:val="-4"/>
        </w:rPr>
        <w:t> </w:t>
      </w:r>
      <w:r>
        <w:rPr/>
        <w:t>suggested</w:t>
      </w:r>
      <w:r>
        <w:rPr>
          <w:spacing w:val="-3"/>
        </w:rPr>
        <w:t> </w:t>
      </w:r>
      <w:r>
        <w:rPr/>
        <w:t>that</w:t>
      </w:r>
      <w:r>
        <w:rPr>
          <w:spacing w:val="-4"/>
        </w:rPr>
        <w:t> </w:t>
      </w:r>
      <w:r>
        <w:rPr/>
        <w:t>where</w:t>
      </w:r>
      <w:r>
        <w:rPr>
          <w:spacing w:val="-3"/>
        </w:rPr>
        <w:t> </w:t>
      </w:r>
      <w:r>
        <w:rPr/>
        <w:t>the</w:t>
      </w:r>
      <w:r>
        <w:rPr>
          <w:spacing w:val="-3"/>
        </w:rPr>
        <w:t> </w:t>
      </w:r>
      <w:r>
        <w:rPr/>
        <w:t>aggregate</w:t>
      </w:r>
      <w:r>
        <w:rPr>
          <w:w w:val="99"/>
        </w:rPr>
        <w:t> </w:t>
      </w:r>
      <w:r>
        <w:rPr>
          <w:spacing w:val="-1"/>
          <w:w w:val="99"/>
        </w:rPr>
        <w:t> </w:t>
      </w:r>
      <w:r>
        <w:rPr/>
        <w:t>I/N was exceeded or was close to the internationally</w:t>
      </w:r>
      <w:hyperlink w:history="true" w:anchor="_bookmark31">
        <w:r>
          <w:rPr>
            <w:position w:val="6"/>
            <w:sz w:val="12"/>
          </w:rPr>
          <w:t>22</w:t>
        </w:r>
      </w:hyperlink>
      <w:r>
        <w:rPr>
          <w:position w:val="6"/>
          <w:sz w:val="12"/>
        </w:rPr>
        <w:t> </w:t>
      </w:r>
      <w:r>
        <w:rPr/>
        <w:t>recognised interservice sharing criteria for the FS (I/N of -10 dB), this was due to a single dominant interferer in the majority of cases. The results showed that, when considering clutter losses along the path, there were only a very small percentage of cases where the aggregate I/N could exceed the long-term interference protection criteria of -10 dB, and less than 0.1% of cases where a threshold of -6 dB I/N could be exceeded. When additional clutter losses at the fixed link receiver were considered, there were no cases where the I/N protection criteria was exceeded. We noted that the two most sensitive link receivers which show higher values of aggregated I/N are both located in densely populated areas, in which the possible locations where a single interferer could be located are higher than in less built-up areas. However, we noted that we do not exclude any locations within the first Fresnel zone</w:t>
      </w:r>
      <w:hyperlink w:history="true" w:anchor="_bookmark32">
        <w:r>
          <w:rPr>
            <w:position w:val="6"/>
            <w:sz w:val="12"/>
          </w:rPr>
          <w:t>23</w:t>
        </w:r>
      </w:hyperlink>
      <w:r>
        <w:rPr>
          <w:position w:val="6"/>
          <w:sz w:val="12"/>
        </w:rPr>
        <w:t> </w:t>
      </w:r>
      <w:r>
        <w:rPr/>
        <w:t>that we  would usually assume to be clear when planning a fixed</w:t>
      </w:r>
      <w:r>
        <w:rPr>
          <w:spacing w:val="-23"/>
        </w:rPr>
        <w:t> </w:t>
      </w:r>
      <w:r>
        <w:rPr/>
        <w:t>link.</w:t>
      </w:r>
    </w:p>
    <w:p>
      <w:pPr>
        <w:pStyle w:val="BodyText"/>
        <w:spacing w:before="4"/>
        <w:rPr>
          <w:sz w:val="16"/>
        </w:rPr>
      </w:pPr>
    </w:p>
    <w:p>
      <w:pPr>
        <w:pStyle w:val="Heading5"/>
        <w:ind w:left="119"/>
      </w:pPr>
      <w:bookmarkStart w:name="Update to our earlier technical analysis" w:id="100"/>
      <w:bookmarkEnd w:id="100"/>
      <w:r>
        <w:rPr>
          <w:b w:val="0"/>
        </w:rPr>
      </w:r>
      <w:r>
        <w:rPr>
          <w:color w:val="632466"/>
        </w:rPr>
        <w:t>Update to our earlier technical analysis</w:t>
      </w:r>
    </w:p>
    <w:p>
      <w:pPr>
        <w:pStyle w:val="BodyText"/>
        <w:spacing w:before="7"/>
        <w:rPr>
          <w:b/>
          <w:sz w:val="19"/>
        </w:rPr>
      </w:pPr>
    </w:p>
    <w:p>
      <w:pPr>
        <w:pStyle w:val="BodyText"/>
        <w:tabs>
          <w:tab w:pos="970" w:val="left" w:leader="none"/>
        </w:tabs>
        <w:spacing w:line="276" w:lineRule="auto"/>
        <w:ind w:left="970" w:right="138" w:hanging="851"/>
      </w:pPr>
      <w:r>
        <w:rPr/>
        <w:t>A5.20</w:t>
        <w:tab/>
        <w:t>We</w:t>
      </w:r>
      <w:r>
        <w:rPr>
          <w:spacing w:val="-3"/>
        </w:rPr>
        <w:t> </w:t>
      </w:r>
      <w:r>
        <w:rPr/>
        <w:t>believe</w:t>
      </w:r>
      <w:r>
        <w:rPr>
          <w:spacing w:val="-2"/>
        </w:rPr>
        <w:t> </w:t>
      </w:r>
      <w:r>
        <w:rPr/>
        <w:t>that</w:t>
      </w:r>
      <w:r>
        <w:rPr>
          <w:spacing w:val="-3"/>
        </w:rPr>
        <w:t> </w:t>
      </w:r>
      <w:r>
        <w:rPr/>
        <w:t>the</w:t>
      </w:r>
      <w:r>
        <w:rPr>
          <w:spacing w:val="-2"/>
        </w:rPr>
        <w:t> </w:t>
      </w:r>
      <w:r>
        <w:rPr/>
        <w:t>existing</w:t>
      </w:r>
      <w:r>
        <w:rPr>
          <w:spacing w:val="-3"/>
        </w:rPr>
        <w:t> </w:t>
      </w:r>
      <w:r>
        <w:rPr/>
        <w:t>studies</w:t>
      </w:r>
      <w:r>
        <w:rPr>
          <w:spacing w:val="-3"/>
        </w:rPr>
        <w:t> </w:t>
      </w:r>
      <w:r>
        <w:rPr/>
        <w:t>are</w:t>
      </w:r>
      <w:r>
        <w:rPr>
          <w:spacing w:val="-3"/>
        </w:rPr>
        <w:t> </w:t>
      </w:r>
      <w:r>
        <w:rPr/>
        <w:t>sufficient</w:t>
      </w:r>
      <w:r>
        <w:rPr>
          <w:spacing w:val="-2"/>
        </w:rPr>
        <w:t> </w:t>
      </w:r>
      <w:r>
        <w:rPr/>
        <w:t>to</w:t>
      </w:r>
      <w:r>
        <w:rPr>
          <w:spacing w:val="-1"/>
        </w:rPr>
        <w:t> </w:t>
      </w:r>
      <w:r>
        <w:rPr/>
        <w:t>assess</w:t>
      </w:r>
      <w:r>
        <w:rPr>
          <w:spacing w:val="-3"/>
        </w:rPr>
        <w:t> </w:t>
      </w:r>
      <w:r>
        <w:rPr/>
        <w:t>that</w:t>
      </w:r>
      <w:r>
        <w:rPr>
          <w:spacing w:val="-2"/>
        </w:rPr>
        <w:t> </w:t>
      </w:r>
      <w:r>
        <w:rPr/>
        <w:t>there</w:t>
      </w:r>
      <w:r>
        <w:rPr>
          <w:spacing w:val="-3"/>
        </w:rPr>
        <w:t> </w:t>
      </w:r>
      <w:r>
        <w:rPr/>
        <w:t>is</w:t>
      </w:r>
      <w:r>
        <w:rPr>
          <w:spacing w:val="-3"/>
        </w:rPr>
        <w:t> </w:t>
      </w:r>
      <w:r>
        <w:rPr/>
        <w:t>also</w:t>
      </w:r>
      <w:r>
        <w:rPr>
          <w:spacing w:val="-2"/>
        </w:rPr>
        <w:t> </w:t>
      </w:r>
      <w:r>
        <w:rPr/>
        <w:t>a</w:t>
      </w:r>
      <w:r>
        <w:rPr>
          <w:spacing w:val="-1"/>
        </w:rPr>
        <w:t> </w:t>
      </w:r>
      <w:r>
        <w:rPr/>
        <w:t>low</w:t>
      </w:r>
      <w:r>
        <w:rPr>
          <w:spacing w:val="-3"/>
        </w:rPr>
        <w:t> </w:t>
      </w:r>
      <w:r>
        <w:rPr/>
        <w:t>risk</w:t>
      </w:r>
      <w:r>
        <w:rPr>
          <w:spacing w:val="-3"/>
        </w:rPr>
        <w:t> </w:t>
      </w:r>
      <w:r>
        <w:rPr/>
        <w:t>of</w:t>
      </w:r>
      <w:r>
        <w:rPr>
          <w:w w:val="99"/>
        </w:rPr>
        <w:t> </w:t>
      </w:r>
      <w:r>
        <w:rPr/>
        <w:t>interference to fixed links in the upper 6 GHz band. For completeness we have repeated the minimum coupling loss analysis for an example link (1170900/1) in the upper 6 GHz band assuming the RLAN is transmitting at 250mW</w:t>
      </w:r>
      <w:hyperlink w:history="true" w:anchor="_bookmark33">
        <w:r>
          <w:rPr>
            <w:position w:val="6"/>
            <w:sz w:val="12"/>
          </w:rPr>
          <w:t>24</w:t>
        </w:r>
      </w:hyperlink>
      <w:r>
        <w:rPr/>
        <w:t>. Similar to the analysis done for the lower 6 GHz band, we assumed a building entry loss of 12 dB, this compares to the 17 dB loss for traditional buildings and 32 dB loss for thermally efficient buildings assumed within ECC Report</w:t>
      </w:r>
      <w:r>
        <w:rPr>
          <w:spacing w:val="-6"/>
        </w:rPr>
        <w:t> </w:t>
      </w:r>
      <w:r>
        <w:rPr/>
        <w:t>302.</w:t>
      </w:r>
    </w:p>
    <w:p>
      <w:pPr>
        <w:pStyle w:val="BodyText"/>
        <w:rPr>
          <w:sz w:val="20"/>
        </w:rPr>
      </w:pPr>
    </w:p>
    <w:p>
      <w:pPr>
        <w:pStyle w:val="BodyText"/>
        <w:rPr>
          <w:sz w:val="20"/>
        </w:rPr>
      </w:pPr>
    </w:p>
    <w:p>
      <w:pPr>
        <w:pStyle w:val="BodyText"/>
        <w:spacing w:before="2"/>
        <w:rPr>
          <w:sz w:val="18"/>
        </w:rPr>
      </w:pPr>
      <w:r>
        <w:rPr/>
        <w:pict>
          <v:line style="position:absolute;mso-position-horizontal-relative:page;mso-position-vertical-relative:paragraph;z-index:1552;mso-wrap-distance-left:0;mso-wrap-distance-right:0" from="72pt,13.437192pt" to="216pt,13.437192pt" stroked="true" strokeweight=".72pt" strokecolor="#000000">
            <v:stroke dashstyle="solid"/>
            <w10:wrap type="topAndBottom"/>
          </v:line>
        </w:pict>
      </w:r>
    </w:p>
    <w:p>
      <w:pPr>
        <w:pStyle w:val="BodyText"/>
        <w:spacing w:before="5"/>
        <w:rPr>
          <w:sz w:val="12"/>
        </w:rPr>
      </w:pPr>
    </w:p>
    <w:p>
      <w:pPr>
        <w:spacing w:line="221" w:lineRule="exact" w:before="75"/>
        <w:ind w:left="120" w:right="0" w:firstLine="0"/>
        <w:jc w:val="left"/>
        <w:rPr>
          <w:sz w:val="18"/>
        </w:rPr>
      </w:pPr>
      <w:bookmarkStart w:name="_bookmark30" w:id="101"/>
      <w:bookmarkEnd w:id="101"/>
      <w:r>
        <w:rPr/>
      </w:r>
      <w:r>
        <w:rPr>
          <w:position w:val="6"/>
          <w:sz w:val="12"/>
        </w:rPr>
        <w:t>21 </w:t>
      </w:r>
      <w:r>
        <w:rPr>
          <w:sz w:val="18"/>
        </w:rPr>
        <w:t>Figure A7.9:2, </w:t>
      </w:r>
      <w:hyperlink r:id="rId43">
        <w:r>
          <w:rPr>
            <w:color w:val="C70044"/>
            <w:sz w:val="18"/>
            <w:u w:val="single" w:color="C70044"/>
          </w:rPr>
          <w:t>Consultation: Improving spectrum access for Wi-Fi – spectrum use in the 5 and 6 GHz bands.</w:t>
        </w:r>
      </w:hyperlink>
    </w:p>
    <w:p>
      <w:pPr>
        <w:spacing w:before="0"/>
        <w:ind w:left="120" w:right="215" w:firstLine="0"/>
        <w:jc w:val="left"/>
        <w:rPr>
          <w:sz w:val="18"/>
        </w:rPr>
      </w:pPr>
      <w:bookmarkStart w:name="_bookmark31" w:id="102"/>
      <w:bookmarkEnd w:id="102"/>
      <w:r>
        <w:rPr/>
      </w:r>
      <w:r>
        <w:rPr>
          <w:position w:val="6"/>
          <w:sz w:val="12"/>
        </w:rPr>
        <w:t>22 </w:t>
      </w:r>
      <w:hyperlink r:id="rId44">
        <w:r>
          <w:rPr>
            <w:color w:val="C70044"/>
            <w:sz w:val="18"/>
            <w:u w:val="single" w:color="C70044"/>
          </w:rPr>
          <w:t>ECC Report 302: Sharing and compatibility studies related to Wireless Access Systems including Radio Local Area</w:t>
        </w:r>
      </w:hyperlink>
      <w:r>
        <w:rPr>
          <w:color w:val="C70044"/>
          <w:sz w:val="18"/>
          <w:u w:val="single" w:color="C70044"/>
        </w:rPr>
        <w:t> </w:t>
      </w:r>
      <w:hyperlink r:id="rId44">
        <w:r>
          <w:rPr>
            <w:color w:val="C70044"/>
            <w:sz w:val="18"/>
            <w:u w:val="single" w:color="C70044"/>
          </w:rPr>
          <w:t>Networks in the frequency band 5925 - 6425 MHz</w:t>
        </w:r>
      </w:hyperlink>
    </w:p>
    <w:p>
      <w:pPr>
        <w:spacing w:line="240" w:lineRule="auto" w:before="0"/>
        <w:ind w:left="120" w:right="352" w:firstLine="0"/>
        <w:jc w:val="left"/>
        <w:rPr>
          <w:sz w:val="18"/>
        </w:rPr>
      </w:pPr>
      <w:bookmarkStart w:name="_bookmark32" w:id="103"/>
      <w:bookmarkEnd w:id="103"/>
      <w:r>
        <w:rPr/>
      </w:r>
      <w:r>
        <w:rPr>
          <w:position w:val="6"/>
          <w:sz w:val="12"/>
        </w:rPr>
        <w:t>23 </w:t>
      </w:r>
      <w:r>
        <w:rPr>
          <w:sz w:val="18"/>
        </w:rPr>
        <w:t>The Fresnel Zone is an ellipsoid in the line of sight path between the transmit and receive antenna. For fixed links planning there needs to be sufficient Fresnel zone clearance, i.e. an absence of obstacles or buildings in the direct beam path.</w:t>
      </w:r>
    </w:p>
    <w:p>
      <w:pPr>
        <w:spacing w:before="0"/>
        <w:ind w:left="120" w:right="215" w:firstLine="0"/>
        <w:jc w:val="left"/>
        <w:rPr>
          <w:sz w:val="18"/>
        </w:rPr>
      </w:pPr>
      <w:bookmarkStart w:name="_bookmark33" w:id="104"/>
      <w:bookmarkEnd w:id="104"/>
      <w:r>
        <w:rPr/>
      </w:r>
      <w:r>
        <w:rPr>
          <w:position w:val="6"/>
          <w:sz w:val="12"/>
        </w:rPr>
        <w:t>24 </w:t>
      </w:r>
      <w:r>
        <w:rPr>
          <w:sz w:val="18"/>
        </w:rPr>
        <w:t>Within ECC Report 302, Table 6: Power distributions of WAS/RLAN devices less than 10% of RLAN devices use 250mW, with the vast majority using lower powers.</w:t>
      </w:r>
    </w:p>
    <w:p>
      <w:pPr>
        <w:spacing w:after="0"/>
        <w:jc w:val="left"/>
        <w:rPr>
          <w:sz w:val="18"/>
        </w:rPr>
        <w:sectPr>
          <w:pgSz w:w="11910" w:h="16840"/>
          <w:pgMar w:header="727" w:footer="1309" w:top="920" w:bottom="1500" w:left="1320" w:right="134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18"/>
        </w:rPr>
      </w:pPr>
    </w:p>
    <w:p>
      <w:pPr>
        <w:pStyle w:val="Heading5"/>
        <w:spacing w:line="276" w:lineRule="auto"/>
        <w:ind w:left="100" w:right="511"/>
      </w:pPr>
      <w:r>
        <w:rPr/>
        <w:drawing>
          <wp:anchor distT="0" distB="0" distL="0" distR="0" allowOverlap="1" layoutInCell="1" locked="0" behindDoc="0" simplePos="0" relativeHeight="1576">
            <wp:simplePos x="0" y="0"/>
            <wp:positionH relativeFrom="page">
              <wp:posOffset>914400</wp:posOffset>
            </wp:positionH>
            <wp:positionV relativeFrom="paragraph">
              <wp:posOffset>468231</wp:posOffset>
            </wp:positionV>
            <wp:extent cx="5577400" cy="3348609"/>
            <wp:effectExtent l="0" t="0" r="0" b="0"/>
            <wp:wrapTopAndBottom/>
            <wp:docPr id="9" name="image7.jpeg" descr="Map illustrating potential long-term interference areas for indoor RLAN at maximum power and 9-metre transmit height "/>
            <wp:cNvGraphicFramePr>
              <a:graphicFrameLocks noChangeAspect="1"/>
            </wp:cNvGraphicFramePr>
            <a:graphic>
              <a:graphicData uri="http://schemas.openxmlformats.org/drawingml/2006/picture">
                <pic:pic>
                  <pic:nvPicPr>
                    <pic:cNvPr id="10" name="image7.jpeg"/>
                    <pic:cNvPicPr/>
                  </pic:nvPicPr>
                  <pic:blipFill>
                    <a:blip r:embed="rId50" cstate="print"/>
                    <a:stretch>
                      <a:fillRect/>
                    </a:stretch>
                  </pic:blipFill>
                  <pic:spPr>
                    <a:xfrm>
                      <a:off x="0" y="0"/>
                      <a:ext cx="5577400" cy="3348609"/>
                    </a:xfrm>
                    <a:prstGeom prst="rect">
                      <a:avLst/>
                    </a:prstGeom>
                  </pic:spPr>
                </pic:pic>
              </a:graphicData>
            </a:graphic>
          </wp:anchor>
        </w:drawing>
      </w:r>
      <w:bookmarkStart w:name="_bookmark34" w:id="105"/>
      <w:bookmarkEnd w:id="105"/>
      <w:r>
        <w:rPr>
          <w:b w:val="0"/>
        </w:rPr>
      </w:r>
      <w:r>
        <w:rPr/>
        <w:t>Figure A5.1: Updated analysis showing potential long-term interference areas for indoor RLAN transmitting at the maximum allowed 250mW at 9m transmit height</w:t>
      </w:r>
    </w:p>
    <w:p>
      <w:pPr>
        <w:pStyle w:val="BodyText"/>
        <w:rPr>
          <w:b/>
        </w:rPr>
      </w:pPr>
    </w:p>
    <w:p>
      <w:pPr>
        <w:pStyle w:val="BodyText"/>
        <w:spacing w:before="11"/>
        <w:rPr>
          <w:b/>
          <w:sz w:val="26"/>
        </w:rPr>
      </w:pPr>
    </w:p>
    <w:p>
      <w:pPr>
        <w:spacing w:line="276" w:lineRule="auto" w:before="0"/>
        <w:ind w:left="100" w:right="512" w:hanging="1"/>
        <w:jc w:val="left"/>
        <w:rPr>
          <w:b/>
          <w:sz w:val="22"/>
        </w:rPr>
      </w:pPr>
      <w:r>
        <w:rPr/>
        <w:drawing>
          <wp:anchor distT="0" distB="0" distL="0" distR="0" allowOverlap="1" layoutInCell="1" locked="0" behindDoc="0" simplePos="0" relativeHeight="1600">
            <wp:simplePos x="0" y="0"/>
            <wp:positionH relativeFrom="page">
              <wp:posOffset>914400</wp:posOffset>
            </wp:positionH>
            <wp:positionV relativeFrom="paragraph">
              <wp:posOffset>467818</wp:posOffset>
            </wp:positionV>
            <wp:extent cx="5551177" cy="3459479"/>
            <wp:effectExtent l="0" t="0" r="0" b="0"/>
            <wp:wrapTopAndBottom/>
            <wp:docPr id="11" name="image8.jpeg" descr="Map illustrating potential long-term interference areas for indoor RLAN at maximum power and 6-metre transmit height "/>
            <wp:cNvGraphicFramePr>
              <a:graphicFrameLocks noChangeAspect="1"/>
            </wp:cNvGraphicFramePr>
            <a:graphic>
              <a:graphicData uri="http://schemas.openxmlformats.org/drawingml/2006/picture">
                <pic:pic>
                  <pic:nvPicPr>
                    <pic:cNvPr id="12" name="image8.jpeg"/>
                    <pic:cNvPicPr/>
                  </pic:nvPicPr>
                  <pic:blipFill>
                    <a:blip r:embed="rId51" cstate="print"/>
                    <a:stretch>
                      <a:fillRect/>
                    </a:stretch>
                  </pic:blipFill>
                  <pic:spPr>
                    <a:xfrm>
                      <a:off x="0" y="0"/>
                      <a:ext cx="5551177" cy="3459479"/>
                    </a:xfrm>
                    <a:prstGeom prst="rect">
                      <a:avLst/>
                    </a:prstGeom>
                  </pic:spPr>
                </pic:pic>
              </a:graphicData>
            </a:graphic>
          </wp:anchor>
        </w:drawing>
      </w:r>
      <w:bookmarkStart w:name="_bookmark35" w:id="106"/>
      <w:bookmarkEnd w:id="106"/>
      <w:r>
        <w:rPr/>
      </w:r>
      <w:r>
        <w:rPr>
          <w:b/>
          <w:sz w:val="22"/>
        </w:rPr>
        <w:t>Figure A5.4: Updated analysis showing potential long-term interference areas for indoor RLAN transmitting at the maximum allowed 250mW at 6m transmit height</w:t>
      </w:r>
    </w:p>
    <w:p>
      <w:pPr>
        <w:spacing w:after="0" w:line="276" w:lineRule="auto"/>
        <w:jc w:val="left"/>
        <w:rPr>
          <w:sz w:val="22"/>
        </w:rPr>
        <w:sectPr>
          <w:pgSz w:w="11910" w:h="16840"/>
          <w:pgMar w:header="727" w:footer="1309" w:top="920" w:bottom="1520" w:left="1340" w:right="1340"/>
        </w:sect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2"/>
        <w:rPr>
          <w:b/>
          <w:sz w:val="29"/>
        </w:rPr>
      </w:pPr>
    </w:p>
    <w:p>
      <w:pPr>
        <w:pStyle w:val="BodyText"/>
        <w:tabs>
          <w:tab w:pos="970" w:val="left" w:leader="none"/>
        </w:tabs>
        <w:spacing w:line="273" w:lineRule="auto" w:before="55"/>
        <w:ind w:left="970" w:right="128" w:hanging="851"/>
      </w:pPr>
      <w:r>
        <w:rPr/>
        <w:t>A5.21</w:t>
        <w:tab/>
        <w:t>The results from analysing fixed link 1170900/1,</w:t>
      </w:r>
      <w:hyperlink w:history="true" w:anchor="_bookmark36">
        <w:r>
          <w:rPr>
            <w:position w:val="6"/>
            <w:sz w:val="12"/>
          </w:rPr>
          <w:t>25</w:t>
        </w:r>
      </w:hyperlink>
      <w:r>
        <w:rPr>
          <w:position w:val="6"/>
          <w:sz w:val="12"/>
        </w:rPr>
        <w:t> </w:t>
      </w:r>
      <w:r>
        <w:rPr/>
        <w:t>with a RLAN height of 9 </w:t>
      </w:r>
      <w:r>
        <w:rPr>
          <w:spacing w:val="2"/>
        </w:rPr>
        <w:t>m</w:t>
      </w:r>
      <w:hyperlink w:history="true" w:anchor="_bookmark37">
        <w:r>
          <w:rPr>
            <w:spacing w:val="2"/>
            <w:position w:val="6"/>
            <w:sz w:val="12"/>
          </w:rPr>
          <w:t>26</w:t>
        </w:r>
      </w:hyperlink>
      <w:r>
        <w:rPr>
          <w:spacing w:val="2"/>
        </w:rPr>
        <w:t>,</w:t>
      </w:r>
      <w:r>
        <w:rPr>
          <w:spacing w:val="-21"/>
        </w:rPr>
        <w:t> </w:t>
      </w:r>
      <w:r>
        <w:rPr/>
        <w:t>showed</w:t>
      </w:r>
      <w:r>
        <w:rPr>
          <w:spacing w:val="-2"/>
        </w:rPr>
        <w:t> </w:t>
      </w:r>
      <w:r>
        <w:rPr/>
        <w:t>that</w:t>
      </w:r>
      <w:r>
        <w:rPr>
          <w:w w:val="99"/>
        </w:rPr>
        <w:t> </w:t>
      </w:r>
      <w:r>
        <w:rPr/>
        <w:t>the maximum potential interference area around the link would include the line-of-sight path between both ends (approximately 35 km), with a maximum area (see </w:t>
      </w:r>
      <w:hyperlink w:history="true" w:anchor="_bookmark34">
        <w:r>
          <w:rPr/>
          <w:t>Figure A5.3</w:t>
        </w:r>
      </w:hyperlink>
      <w:r>
        <w:rPr/>
        <w:t>) of approximately</w:t>
      </w:r>
      <w:r>
        <w:rPr>
          <w:spacing w:val="-4"/>
        </w:rPr>
        <w:t> </w:t>
      </w:r>
      <w:r>
        <w:rPr/>
        <w:t>28</w:t>
      </w:r>
      <w:r>
        <w:rPr>
          <w:spacing w:val="-4"/>
        </w:rPr>
        <w:t> </w:t>
      </w:r>
      <w:r>
        <w:rPr/>
        <w:t>km</w:t>
      </w:r>
      <w:r>
        <w:rPr>
          <w:position w:val="8"/>
          <w:sz w:val="14"/>
        </w:rPr>
        <w:t>2</w:t>
      </w:r>
      <w:r>
        <w:rPr/>
        <w:t>.</w:t>
      </w:r>
      <w:r>
        <w:rPr>
          <w:spacing w:val="-3"/>
        </w:rPr>
        <w:t> </w:t>
      </w:r>
      <w:r>
        <w:rPr/>
        <w:t>The</w:t>
      </w:r>
      <w:r>
        <w:rPr>
          <w:spacing w:val="-3"/>
        </w:rPr>
        <w:t> </w:t>
      </w:r>
      <w:r>
        <w:rPr/>
        <w:t>potential</w:t>
      </w:r>
      <w:r>
        <w:rPr>
          <w:spacing w:val="-4"/>
        </w:rPr>
        <w:t> </w:t>
      </w:r>
      <w:r>
        <w:rPr/>
        <w:t>interference</w:t>
      </w:r>
      <w:r>
        <w:rPr>
          <w:spacing w:val="-3"/>
        </w:rPr>
        <w:t> </w:t>
      </w:r>
      <w:r>
        <w:rPr/>
        <w:t>area</w:t>
      </w:r>
      <w:r>
        <w:rPr>
          <w:spacing w:val="-4"/>
        </w:rPr>
        <w:t> </w:t>
      </w:r>
      <w:r>
        <w:rPr/>
        <w:t>reduces</w:t>
      </w:r>
      <w:r>
        <w:rPr>
          <w:spacing w:val="-4"/>
        </w:rPr>
        <w:t> </w:t>
      </w:r>
      <w:r>
        <w:rPr/>
        <w:t>down</w:t>
      </w:r>
      <w:r>
        <w:rPr>
          <w:spacing w:val="-4"/>
        </w:rPr>
        <w:t> </w:t>
      </w:r>
      <w:r>
        <w:rPr/>
        <w:t>to</w:t>
      </w:r>
      <w:r>
        <w:rPr>
          <w:spacing w:val="-3"/>
        </w:rPr>
        <w:t> </w:t>
      </w:r>
      <w:r>
        <w:rPr/>
        <w:t>11</w:t>
      </w:r>
      <w:r>
        <w:rPr>
          <w:spacing w:val="-2"/>
        </w:rPr>
        <w:t> </w:t>
      </w:r>
      <w:r>
        <w:rPr/>
        <w:t>km</w:t>
      </w:r>
      <w:r>
        <w:rPr>
          <w:position w:val="8"/>
          <w:sz w:val="14"/>
        </w:rPr>
        <w:t>2</w:t>
      </w:r>
      <w:r>
        <w:rPr>
          <w:spacing w:val="-2"/>
          <w:position w:val="8"/>
          <w:sz w:val="14"/>
        </w:rPr>
        <w:t> </w:t>
      </w:r>
      <w:r>
        <w:rPr/>
        <w:t>with</w:t>
      </w:r>
      <w:r>
        <w:rPr>
          <w:spacing w:val="-3"/>
        </w:rPr>
        <w:t> </w:t>
      </w:r>
      <w:r>
        <w:rPr/>
        <w:t>a</w:t>
      </w:r>
      <w:r>
        <w:rPr>
          <w:spacing w:val="-3"/>
        </w:rPr>
        <w:t> </w:t>
      </w:r>
      <w:r>
        <w:rPr/>
        <w:t>RLAN height of 6 m (see </w:t>
      </w:r>
      <w:hyperlink w:history="true" w:anchor="_bookmark35">
        <w:r>
          <w:rPr/>
          <w:t>Figure A5.4</w:t>
        </w:r>
      </w:hyperlink>
      <w:r>
        <w:rPr/>
        <w:t> and the potential interference area reduces down further to less than 0.2 km</w:t>
      </w:r>
      <w:r>
        <w:rPr>
          <w:position w:val="8"/>
          <w:sz w:val="14"/>
        </w:rPr>
        <w:t>2</w:t>
      </w:r>
      <w:r>
        <w:rPr/>
        <w:t>, if we additionally assume the building entry loss is 27</w:t>
      </w:r>
      <w:r>
        <w:rPr>
          <w:spacing w:val="-22"/>
        </w:rPr>
        <w:t> </w:t>
      </w:r>
      <w:r>
        <w:rPr/>
        <w:t>dB</w:t>
      </w:r>
      <w:hyperlink w:history="true" w:anchor="_bookmark38">
        <w:r>
          <w:rPr>
            <w:position w:val="6"/>
            <w:sz w:val="12"/>
          </w:rPr>
          <w:t>27</w:t>
        </w:r>
      </w:hyperlink>
      <w:r>
        <w:rPr/>
        <w:t>.</w:t>
      </w:r>
    </w:p>
    <w:p>
      <w:pPr>
        <w:pStyle w:val="BodyText"/>
        <w:tabs>
          <w:tab w:pos="970" w:val="left" w:leader="none"/>
        </w:tabs>
        <w:spacing w:line="276" w:lineRule="auto" w:before="121"/>
        <w:ind w:left="970" w:right="157" w:hanging="851"/>
      </w:pPr>
      <w:r>
        <w:rPr/>
        <w:t>A5.22</w:t>
        <w:tab/>
        <w:t>In summary, similar to the lower 6 GHz analysis, exclusion areas increase with</w:t>
      </w:r>
      <w:r>
        <w:rPr>
          <w:spacing w:val="-34"/>
        </w:rPr>
        <w:t> </w:t>
      </w:r>
      <w:r>
        <w:rPr/>
        <w:t>higher</w:t>
      </w:r>
      <w:r>
        <w:rPr>
          <w:spacing w:val="-3"/>
        </w:rPr>
        <w:t> </w:t>
      </w:r>
      <w:r>
        <w:rPr/>
        <w:t>RLAN</w:t>
      </w:r>
      <w:r>
        <w:rPr>
          <w:w w:val="99"/>
        </w:rPr>
        <w:t> </w:t>
      </w:r>
      <w:r>
        <w:rPr/>
        <w:t>height and EIRP, but due to the topology and geometry of the fixed links, only a few locations within the areas are likely to be used for RLAN. For the most common RLAN deployments (where we would expect a lower EIRP, lower height and higher building entry losses),</w:t>
      </w:r>
      <w:r>
        <w:rPr>
          <w:spacing w:val="-5"/>
        </w:rPr>
        <w:t> </w:t>
      </w:r>
      <w:r>
        <w:rPr/>
        <w:t>areas</w:t>
      </w:r>
      <w:r>
        <w:rPr>
          <w:spacing w:val="-6"/>
        </w:rPr>
        <w:t> </w:t>
      </w:r>
      <w:r>
        <w:rPr/>
        <w:t>become</w:t>
      </w:r>
      <w:r>
        <w:rPr>
          <w:spacing w:val="-5"/>
        </w:rPr>
        <w:t> </w:t>
      </w:r>
      <w:r>
        <w:rPr/>
        <w:t>very</w:t>
      </w:r>
      <w:r>
        <w:rPr>
          <w:spacing w:val="-4"/>
        </w:rPr>
        <w:t> </w:t>
      </w:r>
      <w:r>
        <w:rPr/>
        <w:t>small</w:t>
      </w:r>
      <w:r>
        <w:rPr>
          <w:spacing w:val="-5"/>
        </w:rPr>
        <w:t> </w:t>
      </w:r>
      <w:r>
        <w:rPr/>
        <w:t>in</w:t>
      </w:r>
      <w:r>
        <w:rPr>
          <w:spacing w:val="-4"/>
        </w:rPr>
        <w:t> </w:t>
      </w:r>
      <w:r>
        <w:rPr/>
        <w:t>size,</w:t>
      </w:r>
      <w:r>
        <w:rPr>
          <w:spacing w:val="-3"/>
        </w:rPr>
        <w:t> </w:t>
      </w:r>
      <w:r>
        <w:rPr/>
        <w:t>or</w:t>
      </w:r>
      <w:r>
        <w:rPr>
          <w:spacing w:val="-5"/>
        </w:rPr>
        <w:t> </w:t>
      </w:r>
      <w:r>
        <w:rPr/>
        <w:t>even</w:t>
      </w:r>
      <w:r>
        <w:rPr>
          <w:spacing w:val="-5"/>
        </w:rPr>
        <w:t> </w:t>
      </w:r>
      <w:r>
        <w:rPr/>
        <w:t>negligible.</w:t>
      </w:r>
    </w:p>
    <w:p>
      <w:pPr>
        <w:pStyle w:val="BodyText"/>
        <w:spacing w:before="3"/>
        <w:rPr>
          <w:sz w:val="16"/>
        </w:rPr>
      </w:pPr>
    </w:p>
    <w:p>
      <w:pPr>
        <w:pStyle w:val="Heading3"/>
      </w:pPr>
      <w:bookmarkStart w:name="Fixed Satellites" w:id="107"/>
      <w:bookmarkEnd w:id="107"/>
      <w:r>
        <w:rPr>
          <w:b w:val="0"/>
        </w:rPr>
      </w:r>
      <w:r>
        <w:rPr/>
        <w:t>Fixed Satellites</w:t>
      </w:r>
    </w:p>
    <w:p>
      <w:pPr>
        <w:pStyle w:val="Heading5"/>
        <w:spacing w:before="240"/>
      </w:pPr>
      <w:bookmarkStart w:name="Our conclusions on sharing with the Fixe" w:id="108"/>
      <w:bookmarkEnd w:id="108"/>
      <w:r>
        <w:rPr>
          <w:b w:val="0"/>
        </w:rPr>
      </w:r>
      <w:r>
        <w:rPr>
          <w:color w:val="632466"/>
        </w:rPr>
        <w:t>Our conclusions on sharing with the Fixed Satellite Service</w:t>
      </w:r>
    </w:p>
    <w:p>
      <w:pPr>
        <w:pStyle w:val="BodyText"/>
        <w:spacing w:before="7"/>
        <w:rPr>
          <w:b/>
          <w:sz w:val="19"/>
        </w:rPr>
      </w:pPr>
    </w:p>
    <w:p>
      <w:pPr>
        <w:pStyle w:val="BodyText"/>
        <w:tabs>
          <w:tab w:pos="970" w:val="left" w:leader="none"/>
        </w:tabs>
        <w:spacing w:line="276" w:lineRule="auto" w:before="1"/>
        <w:ind w:left="970" w:right="259" w:hanging="851"/>
      </w:pPr>
      <w:r>
        <w:rPr/>
        <w:t>A5.23</w:t>
        <w:tab/>
        <w:t>We</w:t>
      </w:r>
      <w:r>
        <w:rPr>
          <w:spacing w:val="-3"/>
        </w:rPr>
        <w:t> </w:t>
      </w:r>
      <w:r>
        <w:rPr/>
        <w:t>have</w:t>
      </w:r>
      <w:r>
        <w:rPr>
          <w:spacing w:val="-2"/>
        </w:rPr>
        <w:t> </w:t>
      </w:r>
      <w:r>
        <w:rPr/>
        <w:t>concluded</w:t>
      </w:r>
      <w:r>
        <w:rPr>
          <w:spacing w:val="-2"/>
        </w:rPr>
        <w:t> </w:t>
      </w:r>
      <w:r>
        <w:rPr/>
        <w:t>that</w:t>
      </w:r>
      <w:r>
        <w:rPr>
          <w:spacing w:val="-2"/>
        </w:rPr>
        <w:t> </w:t>
      </w:r>
      <w:r>
        <w:rPr/>
        <w:t>our</w:t>
      </w:r>
      <w:r>
        <w:rPr>
          <w:spacing w:val="-3"/>
        </w:rPr>
        <w:t> </w:t>
      </w:r>
      <w:r>
        <w:rPr/>
        <w:t>proposals</w:t>
      </w:r>
      <w:r>
        <w:rPr>
          <w:spacing w:val="-3"/>
        </w:rPr>
        <w:t> </w:t>
      </w:r>
      <w:r>
        <w:rPr/>
        <w:t>for</w:t>
      </w:r>
      <w:r>
        <w:rPr>
          <w:spacing w:val="-3"/>
        </w:rPr>
        <w:t> </w:t>
      </w:r>
      <w:r>
        <w:rPr/>
        <w:t>RLANs</w:t>
      </w:r>
      <w:r>
        <w:rPr>
          <w:spacing w:val="-3"/>
        </w:rPr>
        <w:t> </w:t>
      </w:r>
      <w:r>
        <w:rPr/>
        <w:t>in</w:t>
      </w:r>
      <w:r>
        <w:rPr>
          <w:spacing w:val="-3"/>
        </w:rPr>
        <w:t> </w:t>
      </w:r>
      <w:r>
        <w:rPr/>
        <w:t>the</w:t>
      </w:r>
      <w:r>
        <w:rPr>
          <w:spacing w:val="-3"/>
        </w:rPr>
        <w:t> </w:t>
      </w:r>
      <w:r>
        <w:rPr/>
        <w:t>upper</w:t>
      </w:r>
      <w:r>
        <w:rPr>
          <w:spacing w:val="-2"/>
        </w:rPr>
        <w:t> </w:t>
      </w:r>
      <w:r>
        <w:rPr/>
        <w:t>6</w:t>
      </w:r>
      <w:r>
        <w:rPr>
          <w:spacing w:val="-2"/>
        </w:rPr>
        <w:t> </w:t>
      </w:r>
      <w:r>
        <w:rPr/>
        <w:t>GHz</w:t>
      </w:r>
      <w:r>
        <w:rPr>
          <w:spacing w:val="-3"/>
        </w:rPr>
        <w:t> </w:t>
      </w:r>
      <w:r>
        <w:rPr/>
        <w:t>band</w:t>
      </w:r>
      <w:r>
        <w:rPr>
          <w:spacing w:val="-3"/>
        </w:rPr>
        <w:t> </w:t>
      </w:r>
      <w:r>
        <w:rPr/>
        <w:t>should</w:t>
      </w:r>
      <w:r>
        <w:rPr>
          <w:spacing w:val="-3"/>
        </w:rPr>
        <w:t> </w:t>
      </w:r>
      <w:r>
        <w:rPr/>
        <w:t>have</w:t>
      </w:r>
      <w:r>
        <w:rPr>
          <w:spacing w:val="-2"/>
        </w:rPr>
        <w:t> </w:t>
      </w:r>
      <w:r>
        <w:rPr/>
        <w:t>no</w:t>
      </w:r>
      <w:r>
        <w:rPr>
          <w:w w:val="99"/>
        </w:rPr>
        <w:t> </w:t>
      </w:r>
      <w:r>
        <w:rPr/>
        <w:t>detrimental impact on the Fixed Satellite Service. FSS operation in the upper 6 GHz band (6425-7075 MHz) is very similar to operation in the lower 6 GHz band (5925-6425 MHz) and we believe the assumptions and analysis presented in ECC Report 302 for the lower band can equally be applied to sharing in the upper 6 GHz band. Furthermore, we anticipate the density of licensed RLAN deployment in upper 6 GHz will be much lower than unlicensed use in lower 6 GHz, which should significantly reduce the chances of any interference</w:t>
      </w:r>
      <w:r>
        <w:rPr>
          <w:spacing w:val="-11"/>
        </w:rPr>
        <w:t> </w:t>
      </w:r>
      <w:r>
        <w:rPr/>
        <w:t>occurring.</w:t>
      </w:r>
    </w:p>
    <w:p>
      <w:pPr>
        <w:pStyle w:val="BodyText"/>
        <w:spacing w:before="4"/>
        <w:rPr>
          <w:sz w:val="16"/>
        </w:rPr>
      </w:pPr>
    </w:p>
    <w:p>
      <w:pPr>
        <w:pStyle w:val="Heading5"/>
      </w:pPr>
      <w:bookmarkStart w:name="Background" w:id="109"/>
      <w:bookmarkEnd w:id="109"/>
      <w:r>
        <w:rPr>
          <w:b w:val="0"/>
        </w:rPr>
      </w:r>
      <w:r>
        <w:rPr>
          <w:color w:val="632466"/>
        </w:rPr>
        <w:t>Background</w:t>
      </w:r>
    </w:p>
    <w:p>
      <w:pPr>
        <w:pStyle w:val="BodyText"/>
        <w:spacing w:before="7"/>
        <w:rPr>
          <w:b/>
          <w:sz w:val="19"/>
        </w:rPr>
      </w:pPr>
    </w:p>
    <w:p>
      <w:pPr>
        <w:pStyle w:val="BodyText"/>
        <w:tabs>
          <w:tab w:pos="971" w:val="left" w:leader="none"/>
        </w:tabs>
        <w:spacing w:line="276" w:lineRule="auto"/>
        <w:ind w:left="970" w:right="151" w:hanging="850"/>
      </w:pPr>
      <w:r>
        <w:rPr/>
        <w:t>A5.24</w:t>
        <w:tab/>
        <w:tab/>
        <w:t>The 5925-6700 MHz and 6700-7075 MHz bands are available for both</w:t>
      </w:r>
      <w:r>
        <w:rPr>
          <w:spacing w:val="-29"/>
        </w:rPr>
        <w:t> </w:t>
      </w:r>
      <w:r>
        <w:rPr/>
        <w:t>permanent</w:t>
      </w:r>
      <w:r>
        <w:rPr>
          <w:spacing w:val="-3"/>
        </w:rPr>
        <w:t> </w:t>
      </w:r>
      <w:r>
        <w:rPr/>
        <w:t>and</w:t>
      </w:r>
      <w:r>
        <w:rPr>
          <w:w w:val="99"/>
        </w:rPr>
        <w:t> </w:t>
      </w:r>
      <w:r>
        <w:rPr/>
        <w:t>transportable earth stations in the Earth-space (uplink) direction to communicate with satellites. As of January 2022, in 5925-6700 MHz there are 20 site licences for permanent earth stations covering a total of 73 earth station deployments</w:t>
      </w:r>
      <w:hyperlink w:history="true" w:anchor="_bookmark39">
        <w:r>
          <w:rPr>
            <w:position w:val="6"/>
            <w:sz w:val="12"/>
          </w:rPr>
          <w:t>28</w:t>
        </w:r>
      </w:hyperlink>
      <w:r>
        <w:rPr>
          <w:position w:val="6"/>
          <w:sz w:val="12"/>
        </w:rPr>
        <w:t> </w:t>
      </w:r>
      <w:r>
        <w:rPr/>
        <w:t>and 220 frequency links in the UK. Of the 220 frequency links, there are 20 which are in the upper 6 GHz frequency band (6425-6700 MHz). In the 6700-7075 MHz there is one licence for 7 Permanent earth station deployments with 40 frequency links. There are no holders of transportable Earth station licences in either</w:t>
      </w:r>
      <w:r>
        <w:rPr>
          <w:spacing w:val="-16"/>
        </w:rPr>
        <w:t> </w:t>
      </w:r>
      <w:r>
        <w:rPr/>
        <w:t>bands.</w:t>
      </w:r>
    </w:p>
    <w:p>
      <w:pPr>
        <w:pStyle w:val="BodyText"/>
        <w:rPr>
          <w:sz w:val="20"/>
        </w:rPr>
      </w:pPr>
    </w:p>
    <w:p>
      <w:pPr>
        <w:pStyle w:val="BodyText"/>
        <w:rPr>
          <w:sz w:val="20"/>
        </w:rPr>
      </w:pPr>
    </w:p>
    <w:p>
      <w:pPr>
        <w:pStyle w:val="BodyText"/>
        <w:spacing w:before="2"/>
        <w:rPr>
          <w:sz w:val="29"/>
        </w:rPr>
      </w:pPr>
      <w:r>
        <w:rPr/>
        <w:pict>
          <v:line style="position:absolute;mso-position-horizontal-relative:page;mso-position-vertical-relative:paragraph;z-index:1624;mso-wrap-distance-left:0;mso-wrap-distance-right:0" from="72pt,20.158543pt" to="216pt,20.158543pt" stroked="true" strokeweight=".72pt" strokecolor="#000000">
            <v:stroke dashstyle="solid"/>
            <w10:wrap type="topAndBottom"/>
          </v:line>
        </w:pict>
      </w:r>
    </w:p>
    <w:p>
      <w:pPr>
        <w:pStyle w:val="BodyText"/>
        <w:spacing w:before="5"/>
        <w:rPr>
          <w:sz w:val="12"/>
        </w:rPr>
      </w:pPr>
    </w:p>
    <w:p>
      <w:pPr>
        <w:spacing w:line="221" w:lineRule="exact" w:before="75"/>
        <w:ind w:left="120" w:right="0" w:firstLine="0"/>
        <w:jc w:val="left"/>
        <w:rPr>
          <w:sz w:val="18"/>
        </w:rPr>
      </w:pPr>
      <w:bookmarkStart w:name="_bookmark36" w:id="110"/>
      <w:bookmarkEnd w:id="110"/>
      <w:r>
        <w:rPr/>
      </w:r>
      <w:r>
        <w:rPr>
          <w:position w:val="6"/>
          <w:sz w:val="12"/>
        </w:rPr>
        <w:t>25 </w:t>
      </w:r>
      <w:r>
        <w:rPr>
          <w:sz w:val="18"/>
        </w:rPr>
        <w:t>The fixed link 1170900/1 connects from South London to Kent and is around 35 km long.</w:t>
      </w:r>
    </w:p>
    <w:p>
      <w:pPr>
        <w:spacing w:line="220" w:lineRule="exact" w:before="0"/>
        <w:ind w:left="120" w:right="0" w:firstLine="0"/>
        <w:jc w:val="left"/>
        <w:rPr>
          <w:sz w:val="18"/>
        </w:rPr>
      </w:pPr>
      <w:bookmarkStart w:name="_bookmark37" w:id="111"/>
      <w:bookmarkEnd w:id="111"/>
      <w:r>
        <w:rPr/>
      </w:r>
      <w:r>
        <w:rPr>
          <w:position w:val="6"/>
          <w:sz w:val="12"/>
        </w:rPr>
        <w:t>26 </w:t>
      </w:r>
      <w:r>
        <w:rPr>
          <w:sz w:val="18"/>
        </w:rPr>
        <w:t>In our </w:t>
      </w:r>
      <w:hyperlink r:id="rId52">
        <w:r>
          <w:rPr>
            <w:color w:val="C70044"/>
            <w:sz w:val="18"/>
            <w:u w:val="single" w:color="C70044"/>
          </w:rPr>
          <w:t>analysis for the lower 6 GHz band</w:t>
        </w:r>
        <w:r>
          <w:rPr>
            <w:sz w:val="18"/>
          </w:rPr>
          <w:t>,</w:t>
        </w:r>
      </w:hyperlink>
      <w:r>
        <w:rPr>
          <w:sz w:val="18"/>
        </w:rPr>
        <w:t> less than 10% of buildings were above 9m.</w:t>
      </w:r>
    </w:p>
    <w:p>
      <w:pPr>
        <w:spacing w:before="0"/>
        <w:ind w:left="120" w:right="215" w:hanging="1"/>
        <w:jc w:val="left"/>
        <w:rPr>
          <w:sz w:val="18"/>
        </w:rPr>
      </w:pPr>
      <w:bookmarkStart w:name="_bookmark38" w:id="112"/>
      <w:bookmarkEnd w:id="112"/>
      <w:r>
        <w:rPr/>
      </w:r>
      <w:r>
        <w:rPr>
          <w:position w:val="6"/>
          <w:sz w:val="12"/>
        </w:rPr>
        <w:t>27 </w:t>
      </w:r>
      <w:r>
        <w:rPr>
          <w:sz w:val="18"/>
        </w:rPr>
        <w:t>Using a single building entry loss assumption from ECC Report 302 in a 70/30% split between traditional and thermally efficient building entry loss value.</w:t>
      </w:r>
    </w:p>
    <w:p>
      <w:pPr>
        <w:spacing w:line="220" w:lineRule="exact" w:before="0"/>
        <w:ind w:left="120" w:right="0" w:firstLine="0"/>
        <w:jc w:val="left"/>
        <w:rPr>
          <w:sz w:val="18"/>
        </w:rPr>
      </w:pPr>
      <w:bookmarkStart w:name="_bookmark39" w:id="113"/>
      <w:bookmarkEnd w:id="113"/>
      <w:r>
        <w:rPr/>
      </w:r>
      <w:r>
        <w:rPr>
          <w:position w:val="6"/>
          <w:sz w:val="12"/>
        </w:rPr>
        <w:t>28 </w:t>
      </w:r>
      <w:r>
        <w:rPr>
          <w:sz w:val="18"/>
        </w:rPr>
        <w:t>For licensing purposes, an earth station ‘deployment’ is a unique path between an earth station and satellite.</w:t>
      </w:r>
    </w:p>
    <w:p>
      <w:pPr>
        <w:spacing w:after="0" w:line="220" w:lineRule="exact"/>
        <w:jc w:val="left"/>
        <w:rPr>
          <w:sz w:val="18"/>
        </w:rPr>
        <w:sectPr>
          <w:pgSz w:w="11910" w:h="16840"/>
          <w:pgMar w:header="727" w:footer="1309" w:top="920" w:bottom="1500" w:left="1320" w:right="1340"/>
        </w:sectPr>
      </w:pPr>
    </w:p>
    <w:p>
      <w:pPr>
        <w:pStyle w:val="BodyText"/>
        <w:rPr>
          <w:sz w:val="20"/>
        </w:rPr>
      </w:pPr>
    </w:p>
    <w:p>
      <w:pPr>
        <w:pStyle w:val="BodyText"/>
        <w:rPr>
          <w:sz w:val="20"/>
        </w:rPr>
      </w:pPr>
    </w:p>
    <w:p>
      <w:pPr>
        <w:pStyle w:val="BodyText"/>
        <w:spacing w:before="11"/>
        <w:rPr>
          <w:sz w:val="18"/>
        </w:rPr>
      </w:pPr>
    </w:p>
    <w:p>
      <w:pPr>
        <w:pStyle w:val="BodyText"/>
        <w:tabs>
          <w:tab w:pos="970" w:val="left" w:leader="none"/>
        </w:tabs>
        <w:spacing w:line="276" w:lineRule="auto" w:before="56"/>
        <w:ind w:left="970" w:right="116" w:hanging="851"/>
      </w:pPr>
      <w:r>
        <w:rPr/>
        <w:t>A5.25</w:t>
        <w:tab/>
        <w:t>In</w:t>
      </w:r>
      <w:r>
        <w:rPr>
          <w:spacing w:val="-4"/>
        </w:rPr>
        <w:t> </w:t>
      </w:r>
      <w:r>
        <w:rPr/>
        <w:t>the</w:t>
      </w:r>
      <w:r>
        <w:rPr>
          <w:spacing w:val="-4"/>
        </w:rPr>
        <w:t> </w:t>
      </w:r>
      <w:r>
        <w:rPr/>
        <w:t>6700-7075</w:t>
      </w:r>
      <w:r>
        <w:rPr>
          <w:spacing w:val="-4"/>
        </w:rPr>
        <w:t> </w:t>
      </w:r>
      <w:r>
        <w:rPr/>
        <w:t>MHz</w:t>
      </w:r>
      <w:r>
        <w:rPr>
          <w:spacing w:val="-4"/>
        </w:rPr>
        <w:t> </w:t>
      </w:r>
      <w:r>
        <w:rPr/>
        <w:t>band</w:t>
      </w:r>
      <w:r>
        <w:rPr>
          <w:spacing w:val="-4"/>
        </w:rPr>
        <w:t> </w:t>
      </w:r>
      <w:r>
        <w:rPr/>
        <w:t>there</w:t>
      </w:r>
      <w:r>
        <w:rPr>
          <w:spacing w:val="-4"/>
        </w:rPr>
        <w:t> </w:t>
      </w:r>
      <w:r>
        <w:rPr/>
        <w:t>is</w:t>
      </w:r>
      <w:r>
        <w:rPr>
          <w:spacing w:val="-4"/>
        </w:rPr>
        <w:t> </w:t>
      </w:r>
      <w:r>
        <w:rPr/>
        <w:t>also</w:t>
      </w:r>
      <w:r>
        <w:rPr>
          <w:spacing w:val="-3"/>
        </w:rPr>
        <w:t> </w:t>
      </w:r>
      <w:r>
        <w:rPr/>
        <w:t>a</w:t>
      </w:r>
      <w:r>
        <w:rPr>
          <w:spacing w:val="-4"/>
        </w:rPr>
        <w:t> </w:t>
      </w:r>
      <w:r>
        <w:rPr/>
        <w:t>space-Earth</w:t>
      </w:r>
      <w:r>
        <w:rPr>
          <w:spacing w:val="-4"/>
        </w:rPr>
        <w:t> </w:t>
      </w:r>
      <w:r>
        <w:rPr/>
        <w:t>(downlink)</w:t>
      </w:r>
      <w:r>
        <w:rPr>
          <w:spacing w:val="-2"/>
        </w:rPr>
        <w:t> </w:t>
      </w:r>
      <w:r>
        <w:rPr/>
        <w:t>allocation</w:t>
      </w:r>
      <w:r>
        <w:rPr>
          <w:spacing w:val="-4"/>
        </w:rPr>
        <w:t> </w:t>
      </w:r>
      <w:r>
        <w:rPr/>
        <w:t>limited</w:t>
      </w:r>
      <w:r>
        <w:rPr>
          <w:spacing w:val="-3"/>
        </w:rPr>
        <w:t> </w:t>
      </w:r>
      <w:r>
        <w:rPr/>
        <w:t>to</w:t>
      </w:r>
      <w:r>
        <w:rPr>
          <w:w w:val="99"/>
        </w:rPr>
        <w:t> </w:t>
      </w:r>
      <w:r>
        <w:rPr/>
        <w:t>feeder links for non-geostationary (NGSO) satellite systems of the mobile satellite service</w:t>
      </w:r>
      <w:hyperlink w:history="true" w:anchor="_bookmark40">
        <w:r>
          <w:rPr>
            <w:position w:val="6"/>
            <w:sz w:val="12"/>
          </w:rPr>
          <w:t>29</w:t>
        </w:r>
      </w:hyperlink>
      <w:r>
        <w:rPr/>
        <w:t>, there are however no licensed earth stations operating in the UK. This band can also be used by unlicensed receive only earth stations, but we do not offer any protection from interference for this type of</w:t>
      </w:r>
      <w:r>
        <w:rPr>
          <w:spacing w:val="-18"/>
        </w:rPr>
        <w:t> </w:t>
      </w:r>
      <w:r>
        <w:rPr/>
        <w:t>use.</w:t>
      </w:r>
    </w:p>
    <w:p>
      <w:pPr>
        <w:pStyle w:val="BodyText"/>
        <w:spacing w:before="4"/>
        <w:rPr>
          <w:sz w:val="16"/>
        </w:rPr>
      </w:pPr>
    </w:p>
    <w:p>
      <w:pPr>
        <w:pStyle w:val="Heading5"/>
      </w:pPr>
      <w:bookmarkStart w:name="Review of existing studies" w:id="114"/>
      <w:bookmarkEnd w:id="114"/>
      <w:r>
        <w:rPr>
          <w:b w:val="0"/>
        </w:rPr>
      </w:r>
      <w:r>
        <w:rPr>
          <w:color w:val="632466"/>
        </w:rPr>
        <w:t>Review of existing studies</w:t>
      </w:r>
    </w:p>
    <w:p>
      <w:pPr>
        <w:pStyle w:val="BodyText"/>
        <w:spacing w:before="7"/>
        <w:rPr>
          <w:b/>
          <w:sz w:val="19"/>
        </w:rPr>
      </w:pPr>
    </w:p>
    <w:p>
      <w:pPr>
        <w:pStyle w:val="BodyText"/>
        <w:tabs>
          <w:tab w:pos="970" w:val="left" w:leader="none"/>
        </w:tabs>
        <w:spacing w:line="276" w:lineRule="auto" w:before="1"/>
        <w:ind w:left="970" w:right="211" w:hanging="851"/>
      </w:pPr>
      <w:r>
        <w:rPr/>
        <w:t>A5.26</w:t>
        <w:tab/>
        <w:t>When</w:t>
      </w:r>
      <w:r>
        <w:rPr>
          <w:spacing w:val="-4"/>
        </w:rPr>
        <w:t> </w:t>
      </w:r>
      <w:r>
        <w:rPr/>
        <w:t>we</w:t>
      </w:r>
      <w:r>
        <w:rPr>
          <w:spacing w:val="-3"/>
        </w:rPr>
        <w:t> </w:t>
      </w:r>
      <w:r>
        <w:rPr/>
        <w:t>made</w:t>
      </w:r>
      <w:r>
        <w:rPr>
          <w:spacing w:val="-4"/>
        </w:rPr>
        <w:t> </w:t>
      </w:r>
      <w:r>
        <w:rPr/>
        <w:t>the</w:t>
      </w:r>
      <w:r>
        <w:rPr>
          <w:spacing w:val="-4"/>
        </w:rPr>
        <w:t> </w:t>
      </w:r>
      <w:r>
        <w:rPr/>
        <w:t>lower</w:t>
      </w:r>
      <w:r>
        <w:rPr>
          <w:spacing w:val="-1"/>
        </w:rPr>
        <w:t> </w:t>
      </w:r>
      <w:r>
        <w:rPr/>
        <w:t>6</w:t>
      </w:r>
      <w:r>
        <w:rPr>
          <w:spacing w:val="-4"/>
        </w:rPr>
        <w:t> </w:t>
      </w:r>
      <w:r>
        <w:rPr/>
        <w:t>GHz</w:t>
      </w:r>
      <w:r>
        <w:rPr>
          <w:spacing w:val="-4"/>
        </w:rPr>
        <w:t> </w:t>
      </w:r>
      <w:r>
        <w:rPr/>
        <w:t>band</w:t>
      </w:r>
      <w:r>
        <w:rPr>
          <w:spacing w:val="-4"/>
        </w:rPr>
        <w:t> </w:t>
      </w:r>
      <w:r>
        <w:rPr/>
        <w:t>available</w:t>
      </w:r>
      <w:r>
        <w:rPr>
          <w:spacing w:val="-4"/>
        </w:rPr>
        <w:t> </w:t>
      </w:r>
      <w:r>
        <w:rPr/>
        <w:t>for</w:t>
      </w:r>
      <w:r>
        <w:rPr>
          <w:spacing w:val="-4"/>
        </w:rPr>
        <w:t> </w:t>
      </w:r>
      <w:r>
        <w:rPr/>
        <w:t>RLANs</w:t>
      </w:r>
      <w:r>
        <w:rPr>
          <w:spacing w:val="-4"/>
        </w:rPr>
        <w:t> </w:t>
      </w:r>
      <w:r>
        <w:rPr/>
        <w:t>we</w:t>
      </w:r>
      <w:r>
        <w:rPr>
          <w:spacing w:val="-4"/>
        </w:rPr>
        <w:t> </w:t>
      </w:r>
      <w:r>
        <w:rPr/>
        <w:t>reviewed</w:t>
      </w:r>
      <w:r>
        <w:rPr>
          <w:spacing w:val="-4"/>
        </w:rPr>
        <w:t> </w:t>
      </w:r>
      <w:r>
        <w:rPr/>
        <w:t>existing</w:t>
      </w:r>
      <w:r>
        <w:rPr>
          <w:spacing w:val="-3"/>
        </w:rPr>
        <w:t> </w:t>
      </w:r>
      <w:r>
        <w:rPr/>
        <w:t>studies</w:t>
      </w:r>
      <w:r>
        <w:rPr>
          <w:w w:val="99"/>
        </w:rPr>
        <w:t> </w:t>
      </w:r>
      <w:r>
        <w:rPr/>
        <w:t>carried out within CEPT on sharing between RLANs and the Fixed Satellite Service (FSS), published in ECC Report 302. These studies assumed a representative set of FSS satellites with coverage over Europe and assumed different RLAN deployments (high, medium, low) forecast to 2025. The studies concluded that sharing between FSS satellite receivers and RLANs is feasible with limitations on higher power outdoor</w:t>
      </w:r>
      <w:r>
        <w:rPr>
          <w:spacing w:val="-35"/>
        </w:rPr>
        <w:t> </w:t>
      </w:r>
      <w:r>
        <w:rPr/>
        <w:t>use.</w:t>
      </w:r>
    </w:p>
    <w:p>
      <w:pPr>
        <w:pStyle w:val="BodyText"/>
        <w:spacing w:before="4"/>
        <w:rPr>
          <w:sz w:val="16"/>
        </w:rPr>
      </w:pPr>
    </w:p>
    <w:p>
      <w:pPr>
        <w:pStyle w:val="Heading3"/>
      </w:pPr>
      <w:bookmarkStart w:name="Radio Astronomy" w:id="115"/>
      <w:bookmarkEnd w:id="115"/>
      <w:r>
        <w:rPr>
          <w:b w:val="0"/>
        </w:rPr>
      </w:r>
      <w:r>
        <w:rPr/>
        <w:t>Radio Astronomy</w:t>
      </w:r>
    </w:p>
    <w:p>
      <w:pPr>
        <w:pStyle w:val="Heading5"/>
        <w:spacing w:before="239"/>
      </w:pPr>
      <w:bookmarkStart w:name="Our conclusions on sharing with Radio As" w:id="116"/>
      <w:bookmarkEnd w:id="116"/>
      <w:r>
        <w:rPr>
          <w:b w:val="0"/>
        </w:rPr>
      </w:r>
      <w:r>
        <w:rPr>
          <w:color w:val="632466"/>
        </w:rPr>
        <w:t>Our conclusions on sharing with Radio Astronomy</w:t>
      </w:r>
    </w:p>
    <w:p>
      <w:pPr>
        <w:pStyle w:val="BodyText"/>
        <w:spacing w:before="7"/>
        <w:rPr>
          <w:b/>
          <w:sz w:val="19"/>
        </w:rPr>
      </w:pPr>
    </w:p>
    <w:p>
      <w:pPr>
        <w:pStyle w:val="BodyText"/>
        <w:tabs>
          <w:tab w:pos="970" w:val="left" w:leader="none"/>
        </w:tabs>
        <w:spacing w:line="276" w:lineRule="auto" w:before="1"/>
        <w:ind w:left="970" w:right="147" w:hanging="851"/>
      </w:pPr>
      <w:r>
        <w:rPr/>
        <w:t>A5.27</w:t>
        <w:tab/>
        <w:t>The</w:t>
      </w:r>
      <w:r>
        <w:rPr>
          <w:spacing w:val="-3"/>
        </w:rPr>
        <w:t> </w:t>
      </w:r>
      <w:r>
        <w:rPr/>
        <w:t>Radio</w:t>
      </w:r>
      <w:r>
        <w:rPr>
          <w:spacing w:val="-3"/>
        </w:rPr>
        <w:t> </w:t>
      </w:r>
      <w:r>
        <w:rPr/>
        <w:t>Astronomy</w:t>
      </w:r>
      <w:r>
        <w:rPr>
          <w:spacing w:val="-4"/>
        </w:rPr>
        <w:t> </w:t>
      </w:r>
      <w:r>
        <w:rPr/>
        <w:t>Service</w:t>
      </w:r>
      <w:r>
        <w:rPr>
          <w:spacing w:val="-4"/>
        </w:rPr>
        <w:t> </w:t>
      </w:r>
      <w:r>
        <w:rPr/>
        <w:t>does</w:t>
      </w:r>
      <w:r>
        <w:rPr>
          <w:spacing w:val="-2"/>
        </w:rPr>
        <w:t> </w:t>
      </w:r>
      <w:r>
        <w:rPr/>
        <w:t>not</w:t>
      </w:r>
      <w:r>
        <w:rPr>
          <w:spacing w:val="-3"/>
        </w:rPr>
        <w:t> </w:t>
      </w:r>
      <w:r>
        <w:rPr/>
        <w:t>have</w:t>
      </w:r>
      <w:r>
        <w:rPr>
          <w:spacing w:val="-4"/>
        </w:rPr>
        <w:t> </w:t>
      </w:r>
      <w:r>
        <w:rPr/>
        <w:t>a</w:t>
      </w:r>
      <w:r>
        <w:rPr>
          <w:spacing w:val="-4"/>
        </w:rPr>
        <w:t> </w:t>
      </w:r>
      <w:r>
        <w:rPr/>
        <w:t>primary</w:t>
      </w:r>
      <w:r>
        <w:rPr>
          <w:spacing w:val="-3"/>
        </w:rPr>
        <w:t> </w:t>
      </w:r>
      <w:r>
        <w:rPr/>
        <w:t>allocation</w:t>
      </w:r>
      <w:r>
        <w:rPr>
          <w:spacing w:val="-4"/>
        </w:rPr>
        <w:t> </w:t>
      </w:r>
      <w:r>
        <w:rPr/>
        <w:t>or</w:t>
      </w:r>
      <w:r>
        <w:rPr>
          <w:spacing w:val="-3"/>
        </w:rPr>
        <w:t> </w:t>
      </w:r>
      <w:r>
        <w:rPr/>
        <w:t>Recognised</w:t>
      </w:r>
      <w:r>
        <w:rPr>
          <w:spacing w:val="-3"/>
        </w:rPr>
        <w:t> </w:t>
      </w:r>
      <w:r>
        <w:rPr/>
        <w:t>Spectrum</w:t>
      </w:r>
      <w:r>
        <w:rPr>
          <w:w w:val="99"/>
        </w:rPr>
        <w:t> </w:t>
      </w:r>
      <w:r>
        <w:rPr/>
        <w:t>Access (RSA) in the upper 6 GHz. We note that RAS already shares with much higher power outdoor fixed links and satellite earth stations without any co-ordination and to date we are not aware of any reports of</w:t>
      </w:r>
      <w:r>
        <w:rPr>
          <w:spacing w:val="-20"/>
        </w:rPr>
        <w:t> </w:t>
      </w:r>
      <w:r>
        <w:rPr/>
        <w:t>interference.</w:t>
      </w:r>
    </w:p>
    <w:p>
      <w:pPr>
        <w:pStyle w:val="BodyText"/>
        <w:tabs>
          <w:tab w:pos="970" w:val="left" w:leader="none"/>
        </w:tabs>
        <w:spacing w:line="276" w:lineRule="auto" w:before="120"/>
        <w:ind w:left="970" w:right="255" w:hanging="851"/>
      </w:pPr>
      <w:r>
        <w:rPr/>
        <w:t>A5.28</w:t>
        <w:tab/>
        <w:t>In</w:t>
      </w:r>
      <w:r>
        <w:rPr>
          <w:spacing w:val="-3"/>
        </w:rPr>
        <w:t> </w:t>
      </w:r>
      <w:r>
        <w:rPr/>
        <w:t>contrast,</w:t>
      </w:r>
      <w:r>
        <w:rPr>
          <w:spacing w:val="-3"/>
        </w:rPr>
        <w:t> </w:t>
      </w:r>
      <w:r>
        <w:rPr/>
        <w:t>our</w:t>
      </w:r>
      <w:r>
        <w:rPr>
          <w:spacing w:val="-3"/>
        </w:rPr>
        <w:t> </w:t>
      </w:r>
      <w:r>
        <w:rPr/>
        <w:t>proposal</w:t>
      </w:r>
      <w:r>
        <w:rPr>
          <w:spacing w:val="-3"/>
        </w:rPr>
        <w:t> </w:t>
      </w:r>
      <w:r>
        <w:rPr/>
        <w:t>as</w:t>
      </w:r>
      <w:r>
        <w:rPr>
          <w:spacing w:val="-3"/>
        </w:rPr>
        <w:t> </w:t>
      </w:r>
      <w:r>
        <w:rPr/>
        <w:t>described</w:t>
      </w:r>
      <w:r>
        <w:rPr>
          <w:spacing w:val="-3"/>
        </w:rPr>
        <w:t> </w:t>
      </w:r>
      <w:r>
        <w:rPr/>
        <w:t>earlier</w:t>
      </w:r>
      <w:r>
        <w:rPr>
          <w:spacing w:val="-3"/>
        </w:rPr>
        <w:t> </w:t>
      </w:r>
      <w:r>
        <w:rPr/>
        <w:t>will</w:t>
      </w:r>
      <w:r>
        <w:rPr>
          <w:spacing w:val="-3"/>
        </w:rPr>
        <w:t> </w:t>
      </w:r>
      <w:r>
        <w:rPr/>
        <w:t>limit</w:t>
      </w:r>
      <w:r>
        <w:rPr>
          <w:spacing w:val="-3"/>
        </w:rPr>
        <w:t> </w:t>
      </w:r>
      <w:r>
        <w:rPr/>
        <w:t>devices</w:t>
      </w:r>
      <w:r>
        <w:rPr>
          <w:spacing w:val="-2"/>
        </w:rPr>
        <w:t> </w:t>
      </w:r>
      <w:r>
        <w:rPr/>
        <w:t>to</w:t>
      </w:r>
      <w:r>
        <w:rPr>
          <w:spacing w:val="-3"/>
        </w:rPr>
        <w:t> </w:t>
      </w:r>
      <w:r>
        <w:rPr/>
        <w:t>indoor</w:t>
      </w:r>
      <w:r>
        <w:rPr>
          <w:spacing w:val="-3"/>
        </w:rPr>
        <w:t> </w:t>
      </w:r>
      <w:r>
        <w:rPr/>
        <w:t>use</w:t>
      </w:r>
      <w:r>
        <w:rPr>
          <w:spacing w:val="-3"/>
        </w:rPr>
        <w:t> </w:t>
      </w:r>
      <w:r>
        <w:rPr/>
        <w:t>only,</w:t>
      </w:r>
      <w:r>
        <w:rPr>
          <w:spacing w:val="-3"/>
        </w:rPr>
        <w:t> </w:t>
      </w:r>
      <w:r>
        <w:rPr/>
        <w:t>and</w:t>
      </w:r>
      <w:r>
        <w:rPr>
          <w:spacing w:val="-3"/>
        </w:rPr>
        <w:t> </w:t>
      </w:r>
      <w:r>
        <w:rPr/>
        <w:t>at</w:t>
      </w:r>
      <w:r>
        <w:rPr>
          <w:spacing w:val="-3"/>
        </w:rPr>
        <w:t> </w:t>
      </w:r>
      <w:r>
        <w:rPr/>
        <w:t>a</w:t>
      </w:r>
      <w:r>
        <w:rPr>
          <w:w w:val="99"/>
        </w:rPr>
        <w:t> </w:t>
      </w:r>
      <w:r>
        <w:rPr/>
        <w:t>low power level (maximum 250 mW). As explained earlier, we do not anticipate mass consumer adoption for this licence, which additionally constrains the overall risk of interference.</w:t>
      </w:r>
      <w:r>
        <w:rPr>
          <w:spacing w:val="-3"/>
        </w:rPr>
        <w:t> </w:t>
      </w:r>
      <w:r>
        <w:rPr/>
        <w:t>Therefore</w:t>
      </w:r>
      <w:r>
        <w:rPr>
          <w:spacing w:val="-4"/>
        </w:rPr>
        <w:t> </w:t>
      </w:r>
      <w:r>
        <w:rPr/>
        <w:t>we</w:t>
      </w:r>
      <w:r>
        <w:rPr>
          <w:spacing w:val="-3"/>
        </w:rPr>
        <w:t> </w:t>
      </w:r>
      <w:r>
        <w:rPr/>
        <w:t>do</w:t>
      </w:r>
      <w:r>
        <w:rPr>
          <w:spacing w:val="-3"/>
        </w:rPr>
        <w:t> </w:t>
      </w:r>
      <w:r>
        <w:rPr/>
        <w:t>not</w:t>
      </w:r>
      <w:r>
        <w:rPr>
          <w:spacing w:val="-3"/>
        </w:rPr>
        <w:t> </w:t>
      </w:r>
      <w:r>
        <w:rPr/>
        <w:t>anticipate</w:t>
      </w:r>
      <w:r>
        <w:rPr>
          <w:spacing w:val="-4"/>
        </w:rPr>
        <w:t> </w:t>
      </w:r>
      <w:r>
        <w:rPr/>
        <w:t>a</w:t>
      </w:r>
      <w:r>
        <w:rPr>
          <w:spacing w:val="-3"/>
        </w:rPr>
        <w:t> </w:t>
      </w:r>
      <w:r>
        <w:rPr/>
        <w:t>material</w:t>
      </w:r>
      <w:r>
        <w:rPr>
          <w:spacing w:val="-4"/>
        </w:rPr>
        <w:t> </w:t>
      </w:r>
      <w:r>
        <w:rPr/>
        <w:t>risk</w:t>
      </w:r>
      <w:r>
        <w:rPr>
          <w:spacing w:val="-4"/>
        </w:rPr>
        <w:t> </w:t>
      </w:r>
      <w:r>
        <w:rPr/>
        <w:t>of</w:t>
      </w:r>
      <w:r>
        <w:rPr>
          <w:spacing w:val="-4"/>
        </w:rPr>
        <w:t> </w:t>
      </w:r>
      <w:r>
        <w:rPr/>
        <w:t>interference</w:t>
      </w:r>
      <w:r>
        <w:rPr>
          <w:spacing w:val="-3"/>
        </w:rPr>
        <w:t> </w:t>
      </w:r>
      <w:r>
        <w:rPr/>
        <w:t>to</w:t>
      </w:r>
      <w:r>
        <w:rPr>
          <w:spacing w:val="-3"/>
        </w:rPr>
        <w:t> </w:t>
      </w:r>
      <w:r>
        <w:rPr/>
        <w:t>RAS.</w:t>
      </w:r>
    </w:p>
    <w:p>
      <w:pPr>
        <w:pStyle w:val="BodyText"/>
        <w:spacing w:before="3"/>
        <w:rPr>
          <w:sz w:val="16"/>
        </w:rPr>
      </w:pPr>
    </w:p>
    <w:p>
      <w:pPr>
        <w:pStyle w:val="Heading5"/>
        <w:spacing w:before="1"/>
        <w:ind w:left="119"/>
      </w:pPr>
      <w:bookmarkStart w:name="Background" w:id="117"/>
      <w:bookmarkEnd w:id="117"/>
      <w:r>
        <w:rPr>
          <w:b w:val="0"/>
        </w:rPr>
      </w:r>
      <w:r>
        <w:rPr>
          <w:color w:val="632466"/>
        </w:rPr>
        <w:t>Background</w:t>
      </w:r>
    </w:p>
    <w:p>
      <w:pPr>
        <w:pStyle w:val="BodyText"/>
        <w:spacing w:before="8"/>
        <w:rPr>
          <w:b/>
          <w:sz w:val="19"/>
        </w:rPr>
      </w:pPr>
    </w:p>
    <w:p>
      <w:pPr>
        <w:pStyle w:val="BodyText"/>
        <w:tabs>
          <w:tab w:pos="970" w:val="left" w:leader="none"/>
        </w:tabs>
        <w:spacing w:line="276" w:lineRule="auto"/>
        <w:ind w:left="970" w:right="145" w:hanging="851"/>
        <w:rPr>
          <w:sz w:val="12"/>
        </w:rPr>
      </w:pPr>
      <w:r>
        <w:rPr/>
        <w:t>A5.29</w:t>
        <w:tab/>
        <w:t>In the UK the frequency 6668.518 MHz is used by Radio Astronomy</w:t>
      </w:r>
      <w:r>
        <w:rPr>
          <w:spacing w:val="-32"/>
        </w:rPr>
        <w:t> </w:t>
      </w:r>
      <w:r>
        <w:rPr/>
        <w:t>observatories</w:t>
      </w:r>
      <w:r>
        <w:rPr>
          <w:spacing w:val="-4"/>
        </w:rPr>
        <w:t> </w:t>
      </w:r>
      <w:r>
        <w:rPr/>
        <w:t>for</w:t>
      </w:r>
      <w:r>
        <w:rPr>
          <w:w w:val="99"/>
        </w:rPr>
        <w:t> </w:t>
      </w:r>
      <w:r>
        <w:rPr/>
        <w:t>methanol (CH</w:t>
      </w:r>
      <w:r>
        <w:rPr>
          <w:position w:val="-1"/>
          <w:sz w:val="14"/>
        </w:rPr>
        <w:t>3</w:t>
      </w:r>
      <w:r>
        <w:rPr/>
        <w:t>OH) spectral line measurements, for the study of star formation in its earliest stages and for the determination of the structure of our galaxy. The methanol line is widely observed in Europe using single dishes, Multi-Element Radio-Linked Interferometer Network (MERLIN) and Very Long Baseline Interferometry (VLBI). In the UK, e-MERLIN measurements are made at Cambridge, Darnhall, Defford, Jodrell Bank, Knockin and</w:t>
      </w:r>
      <w:r>
        <w:rPr>
          <w:spacing w:val="3"/>
        </w:rPr>
        <w:t> </w:t>
      </w:r>
      <w:r>
        <w:rPr/>
        <w:t>Pickmere.</w:t>
      </w:r>
      <w:hyperlink w:history="true" w:anchor="_bookmark41">
        <w:r>
          <w:rPr>
            <w:position w:val="6"/>
            <w:sz w:val="12"/>
          </w:rPr>
          <w:t>30</w:t>
        </w:r>
      </w:hyperlink>
    </w:p>
    <w:p>
      <w:pPr>
        <w:pStyle w:val="BodyText"/>
        <w:tabs>
          <w:tab w:pos="970" w:val="left" w:leader="none"/>
        </w:tabs>
        <w:spacing w:line="276" w:lineRule="auto" w:before="119"/>
        <w:ind w:left="970" w:right="312" w:hanging="851"/>
      </w:pPr>
      <w:r>
        <w:rPr/>
        <w:t>A5.30</w:t>
        <w:tab/>
        <w:t>The</w:t>
      </w:r>
      <w:r>
        <w:rPr>
          <w:spacing w:val="-4"/>
        </w:rPr>
        <w:t> </w:t>
      </w:r>
      <w:r>
        <w:rPr/>
        <w:t>Radio</w:t>
      </w:r>
      <w:r>
        <w:rPr>
          <w:spacing w:val="-4"/>
        </w:rPr>
        <w:t> </w:t>
      </w:r>
      <w:r>
        <w:rPr/>
        <w:t>Astronomy</w:t>
      </w:r>
      <w:r>
        <w:rPr>
          <w:spacing w:val="-5"/>
        </w:rPr>
        <w:t> </w:t>
      </w:r>
      <w:r>
        <w:rPr/>
        <w:t>Service</w:t>
      </w:r>
      <w:r>
        <w:rPr>
          <w:spacing w:val="-5"/>
        </w:rPr>
        <w:t> </w:t>
      </w:r>
      <w:r>
        <w:rPr/>
        <w:t>does</w:t>
      </w:r>
      <w:r>
        <w:rPr>
          <w:spacing w:val="-3"/>
        </w:rPr>
        <w:t> </w:t>
      </w:r>
      <w:r>
        <w:rPr/>
        <w:t>not</w:t>
      </w:r>
      <w:r>
        <w:rPr>
          <w:spacing w:val="-4"/>
        </w:rPr>
        <w:t> </w:t>
      </w:r>
      <w:r>
        <w:rPr/>
        <w:t>have</w:t>
      </w:r>
      <w:r>
        <w:rPr>
          <w:spacing w:val="-5"/>
        </w:rPr>
        <w:t> </w:t>
      </w:r>
      <w:r>
        <w:rPr/>
        <w:t>a</w:t>
      </w:r>
      <w:r>
        <w:rPr>
          <w:spacing w:val="-5"/>
        </w:rPr>
        <w:t> </w:t>
      </w:r>
      <w:r>
        <w:rPr/>
        <w:t>primary</w:t>
      </w:r>
      <w:r>
        <w:rPr>
          <w:spacing w:val="-4"/>
        </w:rPr>
        <w:t> </w:t>
      </w:r>
      <w:r>
        <w:rPr/>
        <w:t>allocation</w:t>
      </w:r>
      <w:r>
        <w:rPr>
          <w:spacing w:val="-5"/>
        </w:rPr>
        <w:t> </w:t>
      </w:r>
      <w:r>
        <w:rPr/>
        <w:t>or</w:t>
      </w:r>
      <w:r>
        <w:rPr>
          <w:spacing w:val="-4"/>
        </w:rPr>
        <w:t> </w:t>
      </w:r>
      <w:r>
        <w:rPr/>
        <w:t>Recognised</w:t>
      </w:r>
      <w:r>
        <w:rPr>
          <w:spacing w:val="-4"/>
        </w:rPr>
        <w:t> </w:t>
      </w:r>
      <w:r>
        <w:rPr/>
        <w:t>Spectrum</w:t>
      </w:r>
      <w:r>
        <w:rPr>
          <w:w w:val="99"/>
        </w:rPr>
        <w:t> </w:t>
      </w:r>
      <w:r>
        <w:rPr/>
        <w:t>Access (RSA) in the upper 6 GHz band and already shares with high power outdoor fixed links (with EIRP up to +50 dBW </w:t>
      </w:r>
      <w:hyperlink w:history="true" w:anchor="_bookmark42">
        <w:r>
          <w:rPr>
            <w:position w:val="6"/>
            <w:sz w:val="12"/>
          </w:rPr>
          <w:t>31</w:t>
        </w:r>
      </w:hyperlink>
      <w:r>
        <w:rPr/>
        <w:t>) and satellite earth stations with no requirement</w:t>
      </w:r>
      <w:r>
        <w:rPr>
          <w:spacing w:val="-29"/>
        </w:rPr>
        <w:t> </w:t>
      </w:r>
      <w:r>
        <w:rPr/>
        <w:t>for</w:t>
      </w:r>
    </w:p>
    <w:p>
      <w:pPr>
        <w:pStyle w:val="BodyText"/>
        <w:rPr>
          <w:sz w:val="20"/>
        </w:rPr>
      </w:pPr>
    </w:p>
    <w:p>
      <w:pPr>
        <w:pStyle w:val="BodyText"/>
        <w:spacing w:before="11"/>
      </w:pPr>
    </w:p>
    <w:p>
      <w:pPr>
        <w:spacing w:line="222" w:lineRule="exact" w:before="76"/>
        <w:ind w:left="120" w:right="0" w:firstLine="0"/>
        <w:jc w:val="left"/>
        <w:rPr>
          <w:sz w:val="18"/>
        </w:rPr>
      </w:pPr>
      <w:bookmarkStart w:name="_bookmark40" w:id="118"/>
      <w:bookmarkEnd w:id="118"/>
      <w:r>
        <w:rPr/>
      </w:r>
      <w:r>
        <w:rPr>
          <w:position w:val="6"/>
          <w:sz w:val="12"/>
        </w:rPr>
        <w:t>29 </w:t>
      </w:r>
      <w:r>
        <w:rPr>
          <w:sz w:val="18"/>
        </w:rPr>
        <w:t>Permitted under footnote 5.458B of the ITU Radio Regulations.</w:t>
      </w:r>
    </w:p>
    <w:p>
      <w:pPr>
        <w:spacing w:line="221" w:lineRule="exact" w:before="0"/>
        <w:ind w:left="120" w:right="0" w:firstLine="0"/>
        <w:jc w:val="left"/>
        <w:rPr>
          <w:sz w:val="18"/>
        </w:rPr>
      </w:pPr>
      <w:bookmarkStart w:name="_bookmark41" w:id="119"/>
      <w:bookmarkEnd w:id="119"/>
      <w:r>
        <w:rPr/>
      </w:r>
      <w:r>
        <w:rPr>
          <w:position w:val="6"/>
          <w:sz w:val="12"/>
        </w:rPr>
        <w:t>30 </w:t>
      </w:r>
      <w:hyperlink r:id="rId12">
        <w:r>
          <w:rPr>
            <w:color w:val="C70044"/>
            <w:sz w:val="18"/>
            <w:u w:val="single" w:color="C70044"/>
          </w:rPr>
          <w:t>Space science and meteorology spectrum allocations in the UK</w:t>
        </w:r>
      </w:hyperlink>
    </w:p>
    <w:p>
      <w:pPr>
        <w:spacing w:line="276" w:lineRule="auto" w:before="0"/>
        <w:ind w:left="120" w:right="215" w:firstLine="0"/>
        <w:jc w:val="left"/>
        <w:rPr>
          <w:sz w:val="18"/>
        </w:rPr>
      </w:pPr>
      <w:bookmarkStart w:name="_bookmark42" w:id="120"/>
      <w:bookmarkEnd w:id="120"/>
      <w:r>
        <w:rPr/>
      </w:r>
      <w:r>
        <w:rPr>
          <w:position w:val="6"/>
          <w:sz w:val="12"/>
        </w:rPr>
        <w:t>31 </w:t>
      </w:r>
      <w:r>
        <w:rPr>
          <w:sz w:val="18"/>
        </w:rPr>
        <w:t>See Table 2 of </w:t>
      </w:r>
      <w:hyperlink r:id="rId45">
        <w:r>
          <w:rPr>
            <w:color w:val="C70044"/>
            <w:sz w:val="18"/>
            <w:u w:val="single" w:color="C70044"/>
          </w:rPr>
          <w:t>OfW 446: Technical Frequency Assignment Criteria for Fixed Point-to-Point Radio Services with Digital</w:t>
        </w:r>
      </w:hyperlink>
      <w:r>
        <w:rPr>
          <w:color w:val="C70044"/>
          <w:sz w:val="18"/>
          <w:u w:val="single" w:color="C70044"/>
        </w:rPr>
        <w:t> </w:t>
      </w:r>
      <w:hyperlink r:id="rId45">
        <w:r>
          <w:rPr>
            <w:color w:val="C70044"/>
            <w:sz w:val="18"/>
            <w:u w:val="single" w:color="C70044"/>
          </w:rPr>
          <w:t>Modulation</w:t>
        </w:r>
      </w:hyperlink>
    </w:p>
    <w:p>
      <w:pPr>
        <w:spacing w:after="0" w:line="276" w:lineRule="auto"/>
        <w:jc w:val="left"/>
        <w:rPr>
          <w:sz w:val="18"/>
        </w:rPr>
        <w:sectPr>
          <w:footerReference w:type="default" r:id="rId53"/>
          <w:pgSz w:w="11910" w:h="16840"/>
          <w:pgMar w:footer="1461" w:header="727" w:top="920" w:bottom="1660" w:left="1320" w:right="1340"/>
        </w:sectPr>
      </w:pPr>
    </w:p>
    <w:p>
      <w:pPr>
        <w:pStyle w:val="BodyText"/>
        <w:rPr>
          <w:sz w:val="20"/>
        </w:rPr>
      </w:pPr>
    </w:p>
    <w:p>
      <w:pPr>
        <w:pStyle w:val="BodyText"/>
        <w:rPr>
          <w:sz w:val="20"/>
        </w:rPr>
      </w:pPr>
    </w:p>
    <w:p>
      <w:pPr>
        <w:pStyle w:val="BodyText"/>
        <w:spacing w:before="11"/>
        <w:rPr>
          <w:sz w:val="18"/>
        </w:rPr>
      </w:pPr>
    </w:p>
    <w:p>
      <w:pPr>
        <w:pStyle w:val="BodyText"/>
        <w:spacing w:line="276" w:lineRule="auto" w:before="56"/>
        <w:ind w:left="970" w:right="120"/>
      </w:pPr>
      <w:r>
        <w:rPr/>
        <w:t>coordination. However, a footnote to the Radio Regulations (footnote 5.149), advises that “in making assignments to stations of other services to which the frequency bands 6650.0- 6675.2 MHz are allocated, administrations are urged to take all practicable steps to protect the radio astronomy service from harmful interference.” Our proposal will limit devices to indoor use only, and at a low power level. We do not anticipate mass consumer adoption for this licence, which additionally constrains the overall risk of interference.</w:t>
      </w:r>
    </w:p>
    <w:p>
      <w:pPr>
        <w:pStyle w:val="BodyText"/>
        <w:spacing w:before="5"/>
        <w:rPr>
          <w:sz w:val="16"/>
        </w:rPr>
      </w:pPr>
    </w:p>
    <w:p>
      <w:pPr>
        <w:pStyle w:val="Heading3"/>
      </w:pPr>
      <w:bookmarkStart w:name="Earth Exploration Satellites" w:id="121"/>
      <w:bookmarkEnd w:id="121"/>
      <w:r>
        <w:rPr>
          <w:b w:val="0"/>
        </w:rPr>
      </w:r>
      <w:r>
        <w:rPr/>
        <w:t>Earth Exploration Satellites</w:t>
      </w:r>
    </w:p>
    <w:p>
      <w:pPr>
        <w:pStyle w:val="Heading5"/>
        <w:spacing w:before="239"/>
      </w:pPr>
      <w:bookmarkStart w:name="Our conclusions on sharing with EESS" w:id="122"/>
      <w:bookmarkEnd w:id="122"/>
      <w:r>
        <w:rPr>
          <w:b w:val="0"/>
        </w:rPr>
      </w:r>
      <w:r>
        <w:rPr>
          <w:color w:val="632466"/>
        </w:rPr>
        <w:t>Our conclusions on sharing with EESS</w:t>
      </w:r>
    </w:p>
    <w:p>
      <w:pPr>
        <w:pStyle w:val="BodyText"/>
        <w:spacing w:before="7"/>
        <w:rPr>
          <w:b/>
          <w:sz w:val="19"/>
        </w:rPr>
      </w:pPr>
    </w:p>
    <w:p>
      <w:pPr>
        <w:pStyle w:val="BodyText"/>
        <w:tabs>
          <w:tab w:pos="970" w:val="left" w:leader="none"/>
        </w:tabs>
        <w:spacing w:line="276" w:lineRule="auto"/>
        <w:ind w:left="970" w:right="103" w:hanging="851"/>
      </w:pPr>
      <w:r>
        <w:rPr/>
        <w:t>A5.31</w:t>
        <w:tab/>
        <w:t>We have concluded that passive sensor measurements undertaken by</w:t>
      </w:r>
      <w:r>
        <w:rPr>
          <w:spacing w:val="-33"/>
        </w:rPr>
        <w:t> </w:t>
      </w:r>
      <w:r>
        <w:rPr/>
        <w:t>Earth</w:t>
      </w:r>
      <w:r>
        <w:rPr>
          <w:spacing w:val="-4"/>
        </w:rPr>
        <w:t> </w:t>
      </w:r>
      <w:r>
        <w:rPr/>
        <w:t>Exploration</w:t>
      </w:r>
      <w:r>
        <w:rPr>
          <w:w w:val="99"/>
        </w:rPr>
        <w:t> </w:t>
      </w:r>
      <w:r>
        <w:rPr/>
        <w:t>Satellite Services (EESS) would not be materially impacted by our proposals. Measurements in the 6425-7075 MHz band are carried out over the oceans. We are limiting the upper frequency of the band we are making available to 7070 MHz, which avoids any potential impact on EESS use over land in the 7075-7250 MHz band. As such, detailed technical studies are not</w:t>
      </w:r>
      <w:r>
        <w:rPr>
          <w:spacing w:val="-12"/>
        </w:rPr>
        <w:t> </w:t>
      </w:r>
      <w:r>
        <w:rPr/>
        <w:t>needed.</w:t>
      </w:r>
    </w:p>
    <w:p>
      <w:pPr>
        <w:pStyle w:val="BodyText"/>
        <w:spacing w:before="3"/>
        <w:rPr>
          <w:sz w:val="16"/>
        </w:rPr>
      </w:pPr>
    </w:p>
    <w:p>
      <w:pPr>
        <w:pStyle w:val="Heading5"/>
        <w:spacing w:before="1"/>
        <w:ind w:left="119"/>
      </w:pPr>
      <w:bookmarkStart w:name="Background" w:id="123"/>
      <w:bookmarkEnd w:id="123"/>
      <w:r>
        <w:rPr>
          <w:b w:val="0"/>
        </w:rPr>
      </w:r>
      <w:r>
        <w:rPr>
          <w:color w:val="632466"/>
        </w:rPr>
        <w:t>Background</w:t>
      </w:r>
    </w:p>
    <w:p>
      <w:pPr>
        <w:pStyle w:val="BodyText"/>
        <w:spacing w:before="8"/>
        <w:rPr>
          <w:b/>
          <w:sz w:val="19"/>
        </w:rPr>
      </w:pPr>
    </w:p>
    <w:p>
      <w:pPr>
        <w:pStyle w:val="BodyText"/>
        <w:tabs>
          <w:tab w:pos="970" w:val="left" w:leader="none"/>
        </w:tabs>
        <w:spacing w:line="276" w:lineRule="auto"/>
        <w:ind w:left="970" w:right="135" w:hanging="851"/>
      </w:pPr>
      <w:r>
        <w:rPr/>
        <w:t>A5.32</w:t>
        <w:tab/>
        <w:t>Passive</w:t>
      </w:r>
      <w:r>
        <w:rPr>
          <w:spacing w:val="-4"/>
        </w:rPr>
        <w:t> </w:t>
      </w:r>
      <w:r>
        <w:rPr/>
        <w:t>microwave</w:t>
      </w:r>
      <w:r>
        <w:rPr>
          <w:spacing w:val="-4"/>
        </w:rPr>
        <w:t> </w:t>
      </w:r>
      <w:r>
        <w:rPr/>
        <w:t>sensor</w:t>
      </w:r>
      <w:r>
        <w:rPr>
          <w:spacing w:val="-4"/>
        </w:rPr>
        <w:t> </w:t>
      </w:r>
      <w:r>
        <w:rPr/>
        <w:t>measurements</w:t>
      </w:r>
      <w:r>
        <w:rPr>
          <w:spacing w:val="-4"/>
        </w:rPr>
        <w:t> </w:t>
      </w:r>
      <w:r>
        <w:rPr/>
        <w:t>are</w:t>
      </w:r>
      <w:r>
        <w:rPr>
          <w:spacing w:val="-4"/>
        </w:rPr>
        <w:t> </w:t>
      </w:r>
      <w:r>
        <w:rPr/>
        <w:t>carried</w:t>
      </w:r>
      <w:r>
        <w:rPr>
          <w:spacing w:val="-3"/>
        </w:rPr>
        <w:t> </w:t>
      </w:r>
      <w:r>
        <w:rPr/>
        <w:t>out</w:t>
      </w:r>
      <w:r>
        <w:rPr>
          <w:spacing w:val="-4"/>
        </w:rPr>
        <w:t> </w:t>
      </w:r>
      <w:r>
        <w:rPr/>
        <w:t>over</w:t>
      </w:r>
      <w:r>
        <w:rPr>
          <w:spacing w:val="-4"/>
        </w:rPr>
        <w:t> </w:t>
      </w:r>
      <w:r>
        <w:rPr/>
        <w:t>the</w:t>
      </w:r>
      <w:r>
        <w:rPr>
          <w:spacing w:val="-3"/>
        </w:rPr>
        <w:t> </w:t>
      </w:r>
      <w:r>
        <w:rPr/>
        <w:t>oceans</w:t>
      </w:r>
      <w:r>
        <w:rPr>
          <w:spacing w:val="-4"/>
        </w:rPr>
        <w:t> </w:t>
      </w:r>
      <w:r>
        <w:rPr/>
        <w:t>in</w:t>
      </w:r>
      <w:r>
        <w:rPr>
          <w:spacing w:val="-3"/>
        </w:rPr>
        <w:t> </w:t>
      </w:r>
      <w:r>
        <w:rPr/>
        <w:t>the</w:t>
      </w:r>
      <w:r>
        <w:rPr>
          <w:spacing w:val="-3"/>
        </w:rPr>
        <w:t> </w:t>
      </w:r>
      <w:r>
        <w:rPr/>
        <w:t>6425-7075</w:t>
      </w:r>
      <w:r>
        <w:rPr>
          <w:w w:val="99"/>
        </w:rPr>
        <w:t> </w:t>
      </w:r>
      <w:r>
        <w:rPr/>
        <w:t>MHz band by EESS. Measurements include wave height, water temperature, salinity and ozone concentration and other types of data that are used to predict the behaviour or our environment and our weather patterns.</w:t>
      </w:r>
      <w:hyperlink w:history="true" w:anchor="_bookmark43">
        <w:r>
          <w:rPr>
            <w:position w:val="6"/>
            <w:sz w:val="12"/>
          </w:rPr>
          <w:t>32</w:t>
        </w:r>
      </w:hyperlink>
      <w:r>
        <w:rPr>
          <w:position w:val="6"/>
          <w:sz w:val="12"/>
        </w:rPr>
        <w:t> </w:t>
      </w:r>
      <w:r>
        <w:rPr/>
        <w:t>The adjacent band, 70757250 MHz, is used for passive measurement over land. The EESS does not have primary allocation, however a footnote</w:t>
      </w:r>
      <w:r>
        <w:rPr>
          <w:spacing w:val="-4"/>
        </w:rPr>
        <w:t> </w:t>
      </w:r>
      <w:r>
        <w:rPr/>
        <w:t>in</w:t>
      </w:r>
      <w:r>
        <w:rPr>
          <w:spacing w:val="-3"/>
        </w:rPr>
        <w:t> </w:t>
      </w:r>
      <w:r>
        <w:rPr/>
        <w:t>the</w:t>
      </w:r>
      <w:r>
        <w:rPr>
          <w:spacing w:val="-3"/>
        </w:rPr>
        <w:t> </w:t>
      </w:r>
      <w:r>
        <w:rPr/>
        <w:t>Radio</w:t>
      </w:r>
      <w:r>
        <w:rPr>
          <w:spacing w:val="-3"/>
        </w:rPr>
        <w:t> </w:t>
      </w:r>
      <w:r>
        <w:rPr/>
        <w:t>Regulations</w:t>
      </w:r>
      <w:r>
        <w:rPr>
          <w:spacing w:val="-4"/>
        </w:rPr>
        <w:t> </w:t>
      </w:r>
      <w:r>
        <w:rPr/>
        <w:t>(5.458)</w:t>
      </w:r>
      <w:r>
        <w:rPr>
          <w:spacing w:val="-3"/>
        </w:rPr>
        <w:t> </w:t>
      </w:r>
      <w:r>
        <w:rPr/>
        <w:t>says</w:t>
      </w:r>
      <w:r>
        <w:rPr>
          <w:spacing w:val="-4"/>
        </w:rPr>
        <w:t> </w:t>
      </w:r>
      <w:r>
        <w:rPr/>
        <w:t>that</w:t>
      </w:r>
      <w:r>
        <w:rPr>
          <w:spacing w:val="-4"/>
        </w:rPr>
        <w:t> </w:t>
      </w:r>
      <w:r>
        <w:rPr/>
        <w:t>Administrations</w:t>
      </w:r>
      <w:r>
        <w:rPr>
          <w:spacing w:val="-4"/>
        </w:rPr>
        <w:t> </w:t>
      </w:r>
      <w:r>
        <w:rPr/>
        <w:t>should</w:t>
      </w:r>
      <w:r>
        <w:rPr>
          <w:spacing w:val="-4"/>
        </w:rPr>
        <w:t> </w:t>
      </w:r>
      <w:r>
        <w:rPr/>
        <w:t>bear</w:t>
      </w:r>
      <w:r>
        <w:rPr>
          <w:spacing w:val="-4"/>
        </w:rPr>
        <w:t> </w:t>
      </w:r>
      <w:r>
        <w:rPr/>
        <w:t>in</w:t>
      </w:r>
      <w:r>
        <w:rPr>
          <w:spacing w:val="-3"/>
        </w:rPr>
        <w:t> </w:t>
      </w:r>
      <w:r>
        <w:rPr/>
        <w:t>mind</w:t>
      </w:r>
      <w:r>
        <w:rPr>
          <w:spacing w:val="-3"/>
        </w:rPr>
        <w:t> </w:t>
      </w:r>
      <w:r>
        <w:rPr/>
        <w:t>the needs of the Earth exploration (passive) and space research (passive) services in their future planning of the 6425-7075 and 7075-7250 MHz</w:t>
      </w:r>
      <w:r>
        <w:rPr>
          <w:spacing w:val="-25"/>
        </w:rPr>
        <w:t> </w:t>
      </w:r>
      <w:r>
        <w:rPr/>
        <w:t>bands.</w:t>
      </w:r>
    </w:p>
    <w:p>
      <w:pPr>
        <w:pStyle w:val="BodyText"/>
        <w:tabs>
          <w:tab w:pos="971" w:val="left" w:leader="none"/>
        </w:tabs>
        <w:spacing w:line="276" w:lineRule="auto" w:before="120"/>
        <w:ind w:left="971" w:right="122" w:hanging="851"/>
      </w:pPr>
      <w:r>
        <w:rPr/>
        <w:t>A5.33</w:t>
        <w:tab/>
        <w:t>We</w:t>
      </w:r>
      <w:r>
        <w:rPr>
          <w:spacing w:val="-4"/>
        </w:rPr>
        <w:t> </w:t>
      </w:r>
      <w:r>
        <w:rPr/>
        <w:t>are</w:t>
      </w:r>
      <w:r>
        <w:rPr>
          <w:spacing w:val="-3"/>
        </w:rPr>
        <w:t> </w:t>
      </w:r>
      <w:r>
        <w:rPr/>
        <w:t>making</w:t>
      </w:r>
      <w:r>
        <w:rPr>
          <w:spacing w:val="-4"/>
        </w:rPr>
        <w:t> </w:t>
      </w:r>
      <w:r>
        <w:rPr/>
        <w:t>the</w:t>
      </w:r>
      <w:r>
        <w:rPr>
          <w:spacing w:val="-4"/>
        </w:rPr>
        <w:t> </w:t>
      </w:r>
      <w:r>
        <w:rPr/>
        <w:t>spectrum</w:t>
      </w:r>
      <w:r>
        <w:rPr>
          <w:spacing w:val="-4"/>
        </w:rPr>
        <w:t> </w:t>
      </w:r>
      <w:r>
        <w:rPr/>
        <w:t>available</w:t>
      </w:r>
      <w:r>
        <w:rPr>
          <w:spacing w:val="-2"/>
        </w:rPr>
        <w:t> </w:t>
      </w:r>
      <w:r>
        <w:rPr/>
        <w:t>for</w:t>
      </w:r>
      <w:r>
        <w:rPr>
          <w:spacing w:val="-4"/>
        </w:rPr>
        <w:t> </w:t>
      </w:r>
      <w:r>
        <w:rPr/>
        <w:t>low</w:t>
      </w:r>
      <w:r>
        <w:rPr>
          <w:spacing w:val="-4"/>
        </w:rPr>
        <w:t> </w:t>
      </w:r>
      <w:r>
        <w:rPr/>
        <w:t>power</w:t>
      </w:r>
      <w:r>
        <w:rPr>
          <w:spacing w:val="-4"/>
        </w:rPr>
        <w:t> </w:t>
      </w:r>
      <w:r>
        <w:rPr/>
        <w:t>indoor</w:t>
      </w:r>
      <w:r>
        <w:rPr>
          <w:spacing w:val="-4"/>
        </w:rPr>
        <w:t> </w:t>
      </w:r>
      <w:r>
        <w:rPr/>
        <w:t>use,</w:t>
      </w:r>
      <w:r>
        <w:rPr>
          <w:spacing w:val="-2"/>
        </w:rPr>
        <w:t> </w:t>
      </w:r>
      <w:r>
        <w:rPr/>
        <w:t>which</w:t>
      </w:r>
      <w:r>
        <w:rPr>
          <w:spacing w:val="-3"/>
        </w:rPr>
        <w:t> </w:t>
      </w:r>
      <w:r>
        <w:rPr/>
        <w:t>is</w:t>
      </w:r>
      <w:r>
        <w:rPr>
          <w:spacing w:val="-4"/>
        </w:rPr>
        <w:t> </w:t>
      </w:r>
      <w:r>
        <w:rPr/>
        <w:t>expected</w:t>
      </w:r>
      <w:r>
        <w:rPr>
          <w:spacing w:val="-3"/>
        </w:rPr>
        <w:t> </w:t>
      </w:r>
      <w:r>
        <w:rPr/>
        <w:t>to</w:t>
      </w:r>
      <w:r>
        <w:rPr>
          <w:spacing w:val="-2"/>
        </w:rPr>
        <w:t> </w:t>
      </w:r>
      <w:r>
        <w:rPr/>
        <w:t>be</w:t>
      </w:r>
      <w:r>
        <w:rPr>
          <w:spacing w:val="-1"/>
          <w:w w:val="99"/>
        </w:rPr>
        <w:t> </w:t>
      </w:r>
      <w:r>
        <w:rPr>
          <w:w w:val="99"/>
        </w:rPr>
        <w:t> </w:t>
      </w:r>
      <w:r>
        <w:rPr/>
        <w:t>of a low density across the UK. The co-channel EESS takes measurements over the ocean regions which, in most cases, will provide a high degree of geographic separation. Adjacent channel EESS measurements over land will not be impacted due to the frequency separation. We have therefore concluded that, by limiting the upper frequency of the band we are making available to 7070 MHz, it will protect EESS use over land in the 7075-7250 MHz and detailed technical studies are not</w:t>
      </w:r>
      <w:r>
        <w:rPr>
          <w:spacing w:val="-28"/>
        </w:rPr>
        <w:t> </w:t>
      </w:r>
      <w:r>
        <w:rPr/>
        <w:t>needed.</w:t>
      </w:r>
    </w:p>
    <w:p>
      <w:pPr>
        <w:pStyle w:val="BodyText"/>
        <w:spacing w:before="4"/>
        <w:rPr>
          <w:sz w:val="16"/>
        </w:rPr>
      </w:pPr>
    </w:p>
    <w:p>
      <w:pPr>
        <w:pStyle w:val="Heading3"/>
      </w:pPr>
      <w:bookmarkStart w:name="Short Range Devices" w:id="124"/>
      <w:bookmarkEnd w:id="124"/>
      <w:r>
        <w:rPr>
          <w:b w:val="0"/>
        </w:rPr>
      </w:r>
      <w:r>
        <w:rPr/>
        <w:t>Short Range Devices</w:t>
      </w:r>
    </w:p>
    <w:p>
      <w:pPr>
        <w:pStyle w:val="Heading5"/>
        <w:spacing w:before="240"/>
      </w:pPr>
      <w:bookmarkStart w:name="Our conclusions on sharing with Short Ra" w:id="125"/>
      <w:bookmarkEnd w:id="125"/>
      <w:r>
        <w:rPr>
          <w:b w:val="0"/>
        </w:rPr>
      </w:r>
      <w:r>
        <w:rPr>
          <w:color w:val="632466"/>
        </w:rPr>
        <w:t>Our conclusions on sharing with Short Range Devices</w:t>
      </w:r>
    </w:p>
    <w:p>
      <w:pPr>
        <w:pStyle w:val="BodyText"/>
        <w:spacing w:before="6"/>
        <w:rPr>
          <w:b/>
          <w:sz w:val="19"/>
        </w:rPr>
      </w:pPr>
    </w:p>
    <w:p>
      <w:pPr>
        <w:pStyle w:val="BodyText"/>
        <w:tabs>
          <w:tab w:pos="970" w:val="left" w:leader="none"/>
        </w:tabs>
        <w:spacing w:line="276" w:lineRule="auto"/>
        <w:ind w:left="970" w:right="275" w:hanging="851"/>
      </w:pPr>
      <w:r>
        <w:rPr/>
        <w:t>A5.34</w:t>
        <w:tab/>
        <w:t>We</w:t>
      </w:r>
      <w:r>
        <w:rPr>
          <w:spacing w:val="-4"/>
        </w:rPr>
        <w:t> </w:t>
      </w:r>
      <w:r>
        <w:rPr/>
        <w:t>conclude</w:t>
      </w:r>
      <w:r>
        <w:rPr>
          <w:spacing w:val="-3"/>
        </w:rPr>
        <w:t> </w:t>
      </w:r>
      <w:r>
        <w:rPr/>
        <w:t>that</w:t>
      </w:r>
      <w:r>
        <w:rPr>
          <w:spacing w:val="-3"/>
        </w:rPr>
        <w:t> </w:t>
      </w:r>
      <w:r>
        <w:rPr/>
        <w:t>tank</w:t>
      </w:r>
      <w:r>
        <w:rPr>
          <w:spacing w:val="-3"/>
        </w:rPr>
        <w:t> </w:t>
      </w:r>
      <w:r>
        <w:rPr/>
        <w:t>level</w:t>
      </w:r>
      <w:r>
        <w:rPr>
          <w:spacing w:val="-4"/>
        </w:rPr>
        <w:t> </w:t>
      </w:r>
      <w:r>
        <w:rPr/>
        <w:t>probing</w:t>
      </w:r>
      <w:r>
        <w:rPr>
          <w:spacing w:val="-4"/>
        </w:rPr>
        <w:t> </w:t>
      </w:r>
      <w:r>
        <w:rPr/>
        <w:t>radar</w:t>
      </w:r>
      <w:r>
        <w:rPr>
          <w:spacing w:val="-4"/>
        </w:rPr>
        <w:t> </w:t>
      </w:r>
      <w:r>
        <w:rPr/>
        <w:t>and</w:t>
      </w:r>
      <w:r>
        <w:rPr>
          <w:spacing w:val="-4"/>
        </w:rPr>
        <w:t> </w:t>
      </w:r>
      <w:r>
        <w:rPr/>
        <w:t>radar</w:t>
      </w:r>
      <w:r>
        <w:rPr>
          <w:spacing w:val="-3"/>
        </w:rPr>
        <w:t> </w:t>
      </w:r>
      <w:r>
        <w:rPr/>
        <w:t>level</w:t>
      </w:r>
      <w:r>
        <w:rPr>
          <w:spacing w:val="-3"/>
        </w:rPr>
        <w:t> </w:t>
      </w:r>
      <w:r>
        <w:rPr/>
        <w:t>gauges</w:t>
      </w:r>
      <w:r>
        <w:rPr>
          <w:spacing w:val="-2"/>
        </w:rPr>
        <w:t> </w:t>
      </w:r>
      <w:r>
        <w:rPr/>
        <w:t>will</w:t>
      </w:r>
      <w:r>
        <w:rPr>
          <w:spacing w:val="-4"/>
        </w:rPr>
        <w:t> </w:t>
      </w:r>
      <w:r>
        <w:rPr/>
        <w:t>not</w:t>
      </w:r>
      <w:r>
        <w:rPr>
          <w:spacing w:val="-3"/>
        </w:rPr>
        <w:t> </w:t>
      </w:r>
      <w:r>
        <w:rPr/>
        <w:t>be</w:t>
      </w:r>
      <w:r>
        <w:rPr>
          <w:spacing w:val="-3"/>
        </w:rPr>
        <w:t> </w:t>
      </w:r>
      <w:r>
        <w:rPr/>
        <w:t>impacted</w:t>
      </w:r>
      <w:r>
        <w:rPr>
          <w:spacing w:val="-4"/>
        </w:rPr>
        <w:t> </w:t>
      </w:r>
      <w:r>
        <w:rPr/>
        <w:t>by</w:t>
      </w:r>
      <w:r>
        <w:rPr>
          <w:w w:val="99"/>
        </w:rPr>
        <w:t> </w:t>
      </w:r>
      <w:r>
        <w:rPr/>
        <w:t>our proposals. TLPR have strict installation requirements regarding the downward orientation</w:t>
      </w:r>
      <w:r>
        <w:rPr>
          <w:spacing w:val="-4"/>
        </w:rPr>
        <w:t> </w:t>
      </w:r>
      <w:r>
        <w:rPr/>
        <w:t>of</w:t>
      </w:r>
      <w:r>
        <w:rPr>
          <w:spacing w:val="-4"/>
        </w:rPr>
        <w:t> </w:t>
      </w:r>
      <w:r>
        <w:rPr/>
        <w:t>their</w:t>
      </w:r>
      <w:r>
        <w:rPr>
          <w:spacing w:val="-4"/>
        </w:rPr>
        <w:t> </w:t>
      </w:r>
      <w:r>
        <w:rPr/>
        <w:t>antennas</w:t>
      </w:r>
      <w:r>
        <w:rPr>
          <w:spacing w:val="-4"/>
        </w:rPr>
        <w:t> </w:t>
      </w:r>
      <w:r>
        <w:rPr/>
        <w:t>and</w:t>
      </w:r>
      <w:r>
        <w:rPr>
          <w:spacing w:val="-4"/>
        </w:rPr>
        <w:t> </w:t>
      </w:r>
      <w:r>
        <w:rPr/>
        <w:t>are</w:t>
      </w:r>
      <w:r>
        <w:rPr>
          <w:spacing w:val="-4"/>
        </w:rPr>
        <w:t> </w:t>
      </w:r>
      <w:r>
        <w:rPr/>
        <w:t>typically</w:t>
      </w:r>
      <w:r>
        <w:rPr>
          <w:spacing w:val="-4"/>
        </w:rPr>
        <w:t> </w:t>
      </w:r>
      <w:r>
        <w:rPr/>
        <w:t>installed</w:t>
      </w:r>
      <w:r>
        <w:rPr>
          <w:spacing w:val="-4"/>
        </w:rPr>
        <w:t> </w:t>
      </w:r>
      <w:r>
        <w:rPr/>
        <w:t>in</w:t>
      </w:r>
      <w:r>
        <w:rPr>
          <w:spacing w:val="-4"/>
        </w:rPr>
        <w:t> </w:t>
      </w:r>
      <w:r>
        <w:rPr/>
        <w:t>tanks</w:t>
      </w:r>
      <w:r>
        <w:rPr>
          <w:spacing w:val="-4"/>
        </w:rPr>
        <w:t> </w:t>
      </w:r>
      <w:r>
        <w:rPr/>
        <w:t>that</w:t>
      </w:r>
      <w:r>
        <w:rPr>
          <w:spacing w:val="-4"/>
        </w:rPr>
        <w:t> </w:t>
      </w:r>
      <w:r>
        <w:rPr/>
        <w:t>provide</w:t>
      </w:r>
      <w:r>
        <w:rPr>
          <w:spacing w:val="-4"/>
        </w:rPr>
        <w:t> </w:t>
      </w:r>
      <w:r>
        <w:rPr/>
        <w:t>a</w:t>
      </w:r>
      <w:r>
        <w:rPr>
          <w:spacing w:val="-3"/>
        </w:rPr>
        <w:t> </w:t>
      </w:r>
      <w:r>
        <w:rPr/>
        <w:t>reasonable</w:t>
      </w:r>
    </w:p>
    <w:p>
      <w:pPr>
        <w:pStyle w:val="BodyText"/>
        <w:spacing w:before="10"/>
        <w:rPr>
          <w:sz w:val="29"/>
        </w:rPr>
      </w:pPr>
      <w:r>
        <w:rPr/>
        <w:pict>
          <v:line style="position:absolute;mso-position-horizontal-relative:page;mso-position-vertical-relative:paragraph;z-index:1648;mso-wrap-distance-left:0;mso-wrap-distance-right:0" from="72pt,20.526869pt" to="216pt,20.526869pt" stroked="true" strokeweight=".72pt" strokecolor="#000000">
            <v:stroke dashstyle="solid"/>
            <w10:wrap type="topAndBottom"/>
          </v:line>
        </w:pict>
      </w:r>
    </w:p>
    <w:p>
      <w:pPr>
        <w:pStyle w:val="BodyText"/>
        <w:spacing w:before="6"/>
        <w:rPr>
          <w:sz w:val="12"/>
        </w:rPr>
      </w:pPr>
    </w:p>
    <w:p>
      <w:pPr>
        <w:spacing w:before="76"/>
        <w:ind w:left="120" w:right="0" w:firstLine="0"/>
        <w:jc w:val="left"/>
        <w:rPr>
          <w:sz w:val="18"/>
        </w:rPr>
      </w:pPr>
      <w:bookmarkStart w:name="_bookmark43" w:id="126"/>
      <w:bookmarkEnd w:id="126"/>
      <w:r>
        <w:rPr/>
      </w:r>
      <w:r>
        <w:rPr>
          <w:position w:val="6"/>
          <w:sz w:val="12"/>
        </w:rPr>
        <w:t>32 </w:t>
      </w:r>
      <w:hyperlink r:id="rId55">
        <w:r>
          <w:rPr>
            <w:color w:val="C70044"/>
            <w:sz w:val="18"/>
            <w:u w:val="single" w:color="C70044"/>
          </w:rPr>
          <w:t>https://www.itu.int/pub/R-HDB-56-2011</w:t>
        </w:r>
      </w:hyperlink>
    </w:p>
    <w:p>
      <w:pPr>
        <w:spacing w:after="0"/>
        <w:jc w:val="left"/>
        <w:rPr>
          <w:sz w:val="18"/>
        </w:rPr>
        <w:sectPr>
          <w:footerReference w:type="default" r:id="rId54"/>
          <w:pgSz w:w="11910" w:h="16840"/>
          <w:pgMar w:footer="1309" w:header="727" w:top="920" w:bottom="1500" w:left="1320" w:right="1340"/>
        </w:sectPr>
      </w:pPr>
    </w:p>
    <w:p>
      <w:pPr>
        <w:pStyle w:val="BodyText"/>
        <w:rPr>
          <w:sz w:val="20"/>
        </w:rPr>
      </w:pPr>
    </w:p>
    <w:p>
      <w:pPr>
        <w:pStyle w:val="BodyText"/>
        <w:rPr>
          <w:sz w:val="20"/>
        </w:rPr>
      </w:pPr>
    </w:p>
    <w:p>
      <w:pPr>
        <w:pStyle w:val="BodyText"/>
        <w:spacing w:before="11"/>
        <w:rPr>
          <w:sz w:val="18"/>
        </w:rPr>
      </w:pPr>
    </w:p>
    <w:p>
      <w:pPr>
        <w:pStyle w:val="BodyText"/>
        <w:spacing w:line="276" w:lineRule="auto" w:before="56"/>
        <w:ind w:left="970" w:right="686"/>
      </w:pPr>
      <w:r>
        <w:rPr/>
        <w:t>level of shielding attenuation, which will mitigate any interference from indoor RLAN devices.</w:t>
      </w:r>
    </w:p>
    <w:p>
      <w:pPr>
        <w:pStyle w:val="BodyText"/>
        <w:tabs>
          <w:tab w:pos="970" w:val="left" w:leader="none"/>
        </w:tabs>
        <w:spacing w:line="276" w:lineRule="auto" w:before="119"/>
        <w:ind w:left="970" w:right="292" w:hanging="851"/>
      </w:pPr>
      <w:r>
        <w:rPr/>
        <w:t>A5.35</w:t>
        <w:tab/>
        <w:t>We have reviewed the CEPT studies in the lower 6 GHz band that show, in</w:t>
      </w:r>
      <w:r>
        <w:rPr>
          <w:spacing w:val="-35"/>
        </w:rPr>
        <w:t> </w:t>
      </w:r>
      <w:r>
        <w:rPr/>
        <w:t>the</w:t>
      </w:r>
      <w:r>
        <w:rPr>
          <w:spacing w:val="-2"/>
        </w:rPr>
        <w:t> </w:t>
      </w:r>
      <w:r>
        <w:rPr/>
        <w:t>worst-case</w:t>
      </w:r>
      <w:r>
        <w:rPr>
          <w:w w:val="99"/>
        </w:rPr>
        <w:t> </w:t>
      </w:r>
      <w:r>
        <w:rPr/>
        <w:t>scenario, a 3 dB reduction in UWB sensitivity may occur for up to 3.3% of the time. We consider that the probability of interference in the upper 6 GHz band will be much lower due</w:t>
      </w:r>
      <w:r>
        <w:rPr>
          <w:spacing w:val="-3"/>
        </w:rPr>
        <w:t> </w:t>
      </w:r>
      <w:r>
        <w:rPr/>
        <w:t>to</w:t>
      </w:r>
      <w:r>
        <w:rPr>
          <w:spacing w:val="-3"/>
        </w:rPr>
        <w:t> </w:t>
      </w:r>
      <w:r>
        <w:rPr/>
        <w:t>the</w:t>
      </w:r>
      <w:r>
        <w:rPr>
          <w:spacing w:val="-4"/>
        </w:rPr>
        <w:t> </w:t>
      </w:r>
      <w:r>
        <w:rPr/>
        <w:t>lower</w:t>
      </w:r>
      <w:r>
        <w:rPr>
          <w:spacing w:val="-4"/>
        </w:rPr>
        <w:t> </w:t>
      </w:r>
      <w:r>
        <w:rPr/>
        <w:t>density</w:t>
      </w:r>
      <w:r>
        <w:rPr>
          <w:spacing w:val="-4"/>
        </w:rPr>
        <w:t> </w:t>
      </w:r>
      <w:r>
        <w:rPr/>
        <w:t>of</w:t>
      </w:r>
      <w:r>
        <w:rPr>
          <w:spacing w:val="-4"/>
        </w:rPr>
        <w:t> </w:t>
      </w:r>
      <w:r>
        <w:rPr/>
        <w:t>RLAN</w:t>
      </w:r>
      <w:r>
        <w:rPr>
          <w:spacing w:val="-3"/>
        </w:rPr>
        <w:t> </w:t>
      </w:r>
      <w:r>
        <w:rPr/>
        <w:t>deployment</w:t>
      </w:r>
      <w:r>
        <w:rPr>
          <w:spacing w:val="-3"/>
        </w:rPr>
        <w:t> </w:t>
      </w:r>
      <w:r>
        <w:rPr/>
        <w:t>and</w:t>
      </w:r>
      <w:r>
        <w:rPr>
          <w:spacing w:val="-3"/>
        </w:rPr>
        <w:t> </w:t>
      </w:r>
      <w:r>
        <w:rPr/>
        <w:t>limitations</w:t>
      </w:r>
      <w:r>
        <w:rPr>
          <w:spacing w:val="-4"/>
        </w:rPr>
        <w:t> </w:t>
      </w:r>
      <w:r>
        <w:rPr/>
        <w:t>on</w:t>
      </w:r>
      <w:r>
        <w:rPr>
          <w:spacing w:val="-2"/>
        </w:rPr>
        <w:t> </w:t>
      </w:r>
      <w:r>
        <w:rPr/>
        <w:t>the</w:t>
      </w:r>
      <w:r>
        <w:rPr>
          <w:spacing w:val="-3"/>
        </w:rPr>
        <w:t> </w:t>
      </w:r>
      <w:r>
        <w:rPr/>
        <w:t>maximum</w:t>
      </w:r>
      <w:r>
        <w:rPr>
          <w:spacing w:val="-4"/>
        </w:rPr>
        <w:t> </w:t>
      </w:r>
      <w:r>
        <w:rPr/>
        <w:t>EIRP.</w:t>
      </w:r>
    </w:p>
    <w:p>
      <w:pPr>
        <w:pStyle w:val="BodyText"/>
        <w:spacing w:before="5"/>
        <w:rPr>
          <w:sz w:val="16"/>
        </w:rPr>
      </w:pPr>
    </w:p>
    <w:p>
      <w:pPr>
        <w:pStyle w:val="Heading5"/>
        <w:ind w:left="119"/>
      </w:pPr>
      <w:bookmarkStart w:name="Background" w:id="127"/>
      <w:bookmarkEnd w:id="127"/>
      <w:r>
        <w:rPr>
          <w:b w:val="0"/>
        </w:rPr>
      </w:r>
      <w:r>
        <w:rPr>
          <w:color w:val="632466"/>
        </w:rPr>
        <w:t>Background</w:t>
      </w:r>
    </w:p>
    <w:p>
      <w:pPr>
        <w:pStyle w:val="BodyText"/>
        <w:spacing w:before="6"/>
        <w:rPr>
          <w:b/>
          <w:sz w:val="19"/>
        </w:rPr>
      </w:pPr>
    </w:p>
    <w:p>
      <w:pPr>
        <w:pStyle w:val="BodyText"/>
        <w:tabs>
          <w:tab w:pos="970" w:val="left" w:leader="none"/>
        </w:tabs>
        <w:spacing w:line="276" w:lineRule="auto"/>
        <w:ind w:left="970" w:right="126" w:hanging="851"/>
      </w:pPr>
      <w:r>
        <w:rPr/>
        <w:t>A5.36</w:t>
        <w:tab/>
        <w:t>The</w:t>
      </w:r>
      <w:r>
        <w:rPr>
          <w:spacing w:val="-2"/>
        </w:rPr>
        <w:t> </w:t>
      </w:r>
      <w:r>
        <w:rPr/>
        <w:t>current</w:t>
      </w:r>
      <w:r>
        <w:rPr>
          <w:spacing w:val="-2"/>
        </w:rPr>
        <w:t> </w:t>
      </w:r>
      <w:r>
        <w:rPr/>
        <w:t>Short</w:t>
      </w:r>
      <w:r>
        <w:rPr>
          <w:spacing w:val="-3"/>
        </w:rPr>
        <w:t> </w:t>
      </w:r>
      <w:r>
        <w:rPr/>
        <w:t>Range</w:t>
      </w:r>
      <w:r>
        <w:rPr>
          <w:spacing w:val="-3"/>
        </w:rPr>
        <w:t> </w:t>
      </w:r>
      <w:r>
        <w:rPr/>
        <w:t>Device</w:t>
      </w:r>
      <w:r>
        <w:rPr>
          <w:spacing w:val="-2"/>
        </w:rPr>
        <w:t> </w:t>
      </w:r>
      <w:r>
        <w:rPr/>
        <w:t>use</w:t>
      </w:r>
      <w:r>
        <w:rPr>
          <w:spacing w:val="-3"/>
        </w:rPr>
        <w:t> </w:t>
      </w:r>
      <w:r>
        <w:rPr/>
        <w:t>for</w:t>
      </w:r>
      <w:r>
        <w:rPr>
          <w:spacing w:val="-2"/>
        </w:rPr>
        <w:t> </w:t>
      </w:r>
      <w:r>
        <w:rPr/>
        <w:t>the</w:t>
      </w:r>
      <w:r>
        <w:rPr>
          <w:spacing w:val="-2"/>
        </w:rPr>
        <w:t> </w:t>
      </w:r>
      <w:r>
        <w:rPr/>
        <w:t>upper</w:t>
      </w:r>
      <w:r>
        <w:rPr>
          <w:spacing w:val="-3"/>
        </w:rPr>
        <w:t> </w:t>
      </w:r>
      <w:r>
        <w:rPr/>
        <w:t>6</w:t>
      </w:r>
      <w:r>
        <w:rPr>
          <w:spacing w:val="-2"/>
        </w:rPr>
        <w:t> </w:t>
      </w:r>
      <w:r>
        <w:rPr/>
        <w:t>GHz</w:t>
      </w:r>
      <w:r>
        <w:rPr>
          <w:spacing w:val="-2"/>
        </w:rPr>
        <w:t> </w:t>
      </w:r>
      <w:r>
        <w:rPr/>
        <w:t>band</w:t>
      </w:r>
      <w:r>
        <w:rPr>
          <w:spacing w:val="-3"/>
        </w:rPr>
        <w:t> </w:t>
      </w:r>
      <w:r>
        <w:rPr/>
        <w:t>is</w:t>
      </w:r>
      <w:r>
        <w:rPr>
          <w:spacing w:val="-3"/>
        </w:rPr>
        <w:t> </w:t>
      </w:r>
      <w:r>
        <w:rPr/>
        <w:t>very</w:t>
      </w:r>
      <w:r>
        <w:rPr>
          <w:spacing w:val="-3"/>
        </w:rPr>
        <w:t> </w:t>
      </w:r>
      <w:r>
        <w:rPr/>
        <w:t>similar</w:t>
      </w:r>
      <w:r>
        <w:rPr>
          <w:spacing w:val="-3"/>
        </w:rPr>
        <w:t> </w:t>
      </w:r>
      <w:r>
        <w:rPr/>
        <w:t>to</w:t>
      </w:r>
      <w:r>
        <w:rPr>
          <w:spacing w:val="-1"/>
        </w:rPr>
        <w:t> </w:t>
      </w:r>
      <w:r>
        <w:rPr/>
        <w:t>the</w:t>
      </w:r>
      <w:r>
        <w:rPr>
          <w:spacing w:val="-3"/>
        </w:rPr>
        <w:t> </w:t>
      </w:r>
      <w:r>
        <w:rPr/>
        <w:t>lower</w:t>
      </w:r>
      <w:r>
        <w:rPr>
          <w:spacing w:val="-2"/>
        </w:rPr>
        <w:t> </w:t>
      </w:r>
      <w:r>
        <w:rPr/>
        <w:t>6</w:t>
      </w:r>
      <w:r>
        <w:rPr>
          <w:w w:val="99"/>
        </w:rPr>
        <w:t> </w:t>
      </w:r>
      <w:r>
        <w:rPr/>
        <w:t>GHz use and we believe the analysis for the lower band can equally be applied to sharing in the upper 6 GHz band. We consider that the probability of interference in the upper 6 GHz band will be much lower due to the lower density of RLAN</w:t>
      </w:r>
      <w:r>
        <w:rPr>
          <w:spacing w:val="-32"/>
        </w:rPr>
        <w:t> </w:t>
      </w:r>
      <w:r>
        <w:rPr/>
        <w:t>deployment.</w:t>
      </w:r>
    </w:p>
    <w:p>
      <w:pPr>
        <w:pStyle w:val="BodyText"/>
        <w:tabs>
          <w:tab w:pos="970" w:val="left" w:leader="none"/>
        </w:tabs>
        <w:spacing w:line="276" w:lineRule="auto" w:before="120"/>
        <w:ind w:left="970" w:right="130" w:hanging="851"/>
      </w:pPr>
      <w:r>
        <w:rPr/>
        <w:t>A5.37</w:t>
        <w:tab/>
        <w:t>In</w:t>
      </w:r>
      <w:r>
        <w:rPr>
          <w:spacing w:val="-4"/>
        </w:rPr>
        <w:t> </w:t>
      </w:r>
      <w:r>
        <w:rPr/>
        <w:t>the</w:t>
      </w:r>
      <w:r>
        <w:rPr>
          <w:spacing w:val="-3"/>
        </w:rPr>
        <w:t> </w:t>
      </w:r>
      <w:r>
        <w:rPr/>
        <w:t>UK</w:t>
      </w:r>
      <w:r>
        <w:rPr>
          <w:spacing w:val="-3"/>
        </w:rPr>
        <w:t> </w:t>
      </w:r>
      <w:r>
        <w:rPr/>
        <w:t>we</w:t>
      </w:r>
      <w:r>
        <w:rPr>
          <w:spacing w:val="-3"/>
        </w:rPr>
        <w:t> </w:t>
      </w:r>
      <w:r>
        <w:rPr/>
        <w:t>have</w:t>
      </w:r>
      <w:r>
        <w:rPr>
          <w:spacing w:val="-4"/>
        </w:rPr>
        <w:t> </w:t>
      </w:r>
      <w:r>
        <w:rPr/>
        <w:t>implemented</w:t>
      </w:r>
      <w:r>
        <w:rPr>
          <w:spacing w:val="-3"/>
        </w:rPr>
        <w:t> </w:t>
      </w:r>
      <w:r>
        <w:rPr/>
        <w:t>various</w:t>
      </w:r>
      <w:r>
        <w:rPr>
          <w:spacing w:val="-4"/>
        </w:rPr>
        <w:t> </w:t>
      </w:r>
      <w:r>
        <w:rPr/>
        <w:t>European</w:t>
      </w:r>
      <w:r>
        <w:rPr>
          <w:spacing w:val="-4"/>
        </w:rPr>
        <w:t> </w:t>
      </w:r>
      <w:r>
        <w:rPr/>
        <w:t>Commission</w:t>
      </w:r>
      <w:r>
        <w:rPr>
          <w:spacing w:val="-4"/>
        </w:rPr>
        <w:t> </w:t>
      </w:r>
      <w:r>
        <w:rPr/>
        <w:t>Decisions</w:t>
      </w:r>
      <w:r>
        <w:rPr>
          <w:spacing w:val="-4"/>
        </w:rPr>
        <w:t> </w:t>
      </w:r>
      <w:r>
        <w:rPr/>
        <w:t>that</w:t>
      </w:r>
      <w:r>
        <w:rPr>
          <w:spacing w:val="-2"/>
        </w:rPr>
        <w:t> </w:t>
      </w:r>
      <w:r>
        <w:rPr/>
        <w:t>make</w:t>
      </w:r>
      <w:r>
        <w:rPr>
          <w:w w:val="99"/>
        </w:rPr>
        <w:t> </w:t>
      </w:r>
      <w:r>
        <w:rPr/>
        <w:t>harmonised spectrum available for Short Range Devices.</w:t>
      </w:r>
      <w:hyperlink w:history="true" w:anchor="_bookmark44">
        <w:r>
          <w:rPr>
            <w:position w:val="6"/>
            <w:sz w:val="12"/>
          </w:rPr>
          <w:t>33</w:t>
        </w:r>
      </w:hyperlink>
      <w:r>
        <w:rPr>
          <w:position w:val="6"/>
          <w:sz w:val="12"/>
        </w:rPr>
        <w:t> </w:t>
      </w:r>
      <w:r>
        <w:rPr/>
        <w:t>The 6425-7100 MHz and 4500- 7000 MHz bands are available for radio determination devices and radar level gauges in 5150-7100 MHz.</w:t>
      </w:r>
      <w:hyperlink w:history="true" w:anchor="_bookmark45">
        <w:r>
          <w:rPr>
            <w:position w:val="6"/>
            <w:sz w:val="12"/>
          </w:rPr>
          <w:t>34</w:t>
        </w:r>
      </w:hyperlink>
      <w:r>
        <w:rPr>
          <w:position w:val="6"/>
          <w:sz w:val="12"/>
        </w:rPr>
        <w:t> </w:t>
      </w:r>
      <w:r>
        <w:rPr/>
        <w:t>Tank Level Probing Radar (TLPR) is a specific type of radiodetermination application used to measure the level of liquids or granulates for process control, liquid monitoring, spill prevention and other industrial processes. TLPR sensors are usually installed in metallic or reinforced concrete tanks, or similar structures made of material with comparable attenuation characteristics that typically provide shielding attenuation of 10 dB or more in the 6 GHz band.</w:t>
      </w:r>
      <w:hyperlink w:history="true" w:anchor="_bookmark46">
        <w:r>
          <w:rPr>
            <w:position w:val="6"/>
            <w:sz w:val="12"/>
          </w:rPr>
          <w:t>35</w:t>
        </w:r>
      </w:hyperlink>
      <w:r>
        <w:rPr>
          <w:position w:val="6"/>
          <w:sz w:val="12"/>
        </w:rPr>
        <w:t> </w:t>
      </w:r>
      <w:r>
        <w:rPr/>
        <w:t>TLPR devices are required to have dedicated/integrated antennas with strict downwards orientation which will further mitigate the potential for interference from</w:t>
      </w:r>
      <w:r>
        <w:rPr>
          <w:spacing w:val="-10"/>
        </w:rPr>
        <w:t> </w:t>
      </w:r>
      <w:r>
        <w:rPr/>
        <w:t>RLANs.</w:t>
      </w:r>
    </w:p>
    <w:p>
      <w:pPr>
        <w:pStyle w:val="BodyText"/>
        <w:tabs>
          <w:tab w:pos="970" w:val="left" w:leader="none"/>
        </w:tabs>
        <w:spacing w:line="276" w:lineRule="auto" w:before="121"/>
        <w:ind w:left="970" w:right="185" w:hanging="851"/>
      </w:pPr>
      <w:r>
        <w:rPr/>
        <w:t>A5.38</w:t>
        <w:tab/>
        <w:t>The 6000-8500 MHz band is also used by ultra-wideband</w:t>
      </w:r>
      <w:r>
        <w:rPr>
          <w:spacing w:val="-20"/>
        </w:rPr>
        <w:t> </w:t>
      </w:r>
      <w:r>
        <w:rPr/>
        <w:t>(UWB)</w:t>
      </w:r>
      <w:hyperlink w:history="true" w:anchor="_bookmark47">
        <w:r>
          <w:rPr>
            <w:position w:val="6"/>
            <w:sz w:val="12"/>
          </w:rPr>
          <w:t>36</w:t>
        </w:r>
      </w:hyperlink>
      <w:r>
        <w:rPr>
          <w:position w:val="6"/>
          <w:sz w:val="12"/>
        </w:rPr>
        <w:t> </w:t>
      </w:r>
      <w:r>
        <w:rPr/>
        <w:t>equipment</w:t>
      </w:r>
      <w:r>
        <w:rPr>
          <w:spacing w:val="-3"/>
        </w:rPr>
        <w:t> </w:t>
      </w:r>
      <w:r>
        <w:rPr/>
        <w:t>for</w:t>
      </w:r>
      <w:r>
        <w:rPr>
          <w:w w:val="99"/>
        </w:rPr>
        <w:t> </w:t>
      </w:r>
      <w:r>
        <w:rPr/>
        <w:t>applications such as location tracking, vehicle access, consumer devices (IoT, smart home), sensors and building material</w:t>
      </w:r>
      <w:r>
        <w:rPr>
          <w:spacing w:val="-22"/>
        </w:rPr>
        <w:t> </w:t>
      </w:r>
      <w:r>
        <w:rPr/>
        <w:t>analysis.</w:t>
      </w:r>
    </w:p>
    <w:p>
      <w:pPr>
        <w:pStyle w:val="BodyText"/>
        <w:tabs>
          <w:tab w:pos="970" w:val="left" w:leader="none"/>
        </w:tabs>
        <w:spacing w:line="276" w:lineRule="auto" w:before="121"/>
        <w:ind w:left="970" w:right="165" w:hanging="851"/>
      </w:pPr>
      <w:r>
        <w:rPr/>
        <w:t>A5.39</w:t>
        <w:tab/>
        <w:t>There are some existing studies in ECC Report 302 for the lower 6 GHz</w:t>
      </w:r>
      <w:r>
        <w:rPr>
          <w:spacing w:val="-34"/>
        </w:rPr>
        <w:t> </w:t>
      </w:r>
      <w:r>
        <w:rPr/>
        <w:t>band</w:t>
      </w:r>
      <w:r>
        <w:rPr>
          <w:spacing w:val="-4"/>
        </w:rPr>
        <w:t> </w:t>
      </w:r>
      <w:r>
        <w:rPr/>
        <w:t>that</w:t>
      </w:r>
      <w:r>
        <w:rPr>
          <w:w w:val="99"/>
        </w:rPr>
        <w:t> </w:t>
      </w:r>
      <w:r>
        <w:rPr/>
        <w:t>considered compatibility of WAS/RLANs transmitting up to 1 Watt with UWB. The aggregate interference evaluation with Monte Carlo simulations showed that when taking the WAS/RLAN RF activity factor into account, the probability that the sensitivity reduction to UWB communications and location tracking devices exceeds 3 dB ranges from 0.0024% to</w:t>
      </w:r>
      <w:r>
        <w:rPr>
          <w:spacing w:val="-4"/>
        </w:rPr>
        <w:t> </w:t>
      </w:r>
      <w:r>
        <w:rPr/>
        <w:t>3.3%.</w:t>
      </w:r>
      <w:r>
        <w:rPr>
          <w:spacing w:val="-4"/>
        </w:rPr>
        <w:t> </w:t>
      </w:r>
      <w:r>
        <w:rPr/>
        <w:t>For</w:t>
      </w:r>
      <w:r>
        <w:rPr>
          <w:spacing w:val="-5"/>
        </w:rPr>
        <w:t> </w:t>
      </w:r>
      <w:r>
        <w:rPr/>
        <w:t>sensing</w:t>
      </w:r>
      <w:r>
        <w:rPr>
          <w:spacing w:val="-4"/>
        </w:rPr>
        <w:t> </w:t>
      </w:r>
      <w:r>
        <w:rPr/>
        <w:t>devices,</w:t>
      </w:r>
      <w:r>
        <w:rPr>
          <w:spacing w:val="-5"/>
        </w:rPr>
        <w:t> </w:t>
      </w:r>
      <w:r>
        <w:rPr/>
        <w:t>the</w:t>
      </w:r>
      <w:r>
        <w:rPr>
          <w:spacing w:val="-4"/>
        </w:rPr>
        <w:t> </w:t>
      </w:r>
      <w:r>
        <w:rPr/>
        <w:t>probability</w:t>
      </w:r>
      <w:r>
        <w:rPr>
          <w:spacing w:val="-5"/>
        </w:rPr>
        <w:t> </w:t>
      </w:r>
      <w:r>
        <w:rPr/>
        <w:t>that</w:t>
      </w:r>
      <w:r>
        <w:rPr>
          <w:spacing w:val="-4"/>
        </w:rPr>
        <w:t> </w:t>
      </w:r>
      <w:r>
        <w:rPr/>
        <w:t>the</w:t>
      </w:r>
      <w:r>
        <w:rPr>
          <w:spacing w:val="-4"/>
        </w:rPr>
        <w:t> </w:t>
      </w:r>
      <w:r>
        <w:rPr/>
        <w:t>sensitivity</w:t>
      </w:r>
      <w:r>
        <w:rPr>
          <w:spacing w:val="-5"/>
        </w:rPr>
        <w:t> </w:t>
      </w:r>
      <w:r>
        <w:rPr/>
        <w:t>reduction</w:t>
      </w:r>
      <w:r>
        <w:rPr>
          <w:spacing w:val="-4"/>
        </w:rPr>
        <w:t> </w:t>
      </w:r>
      <w:r>
        <w:rPr/>
        <w:t>is</w:t>
      </w:r>
      <w:r>
        <w:rPr>
          <w:spacing w:val="-5"/>
        </w:rPr>
        <w:t> </w:t>
      </w:r>
      <w:r>
        <w:rPr/>
        <w:t>more</w:t>
      </w:r>
      <w:r>
        <w:rPr>
          <w:spacing w:val="-5"/>
        </w:rPr>
        <w:t> </w:t>
      </w:r>
      <w:r>
        <w:rPr/>
        <w:t>than</w:t>
      </w:r>
    </w:p>
    <w:p>
      <w:pPr>
        <w:pStyle w:val="BodyText"/>
        <w:spacing w:line="268" w:lineRule="exact"/>
        <w:ind w:left="970"/>
      </w:pPr>
      <w:r>
        <w:rPr/>
        <w:t>3 dB varies from 0.042% to 1.7%.</w:t>
      </w:r>
    </w:p>
    <w:p>
      <w:pPr>
        <w:pStyle w:val="BodyText"/>
        <w:tabs>
          <w:tab w:pos="970" w:val="left" w:leader="none"/>
        </w:tabs>
        <w:spacing w:line="276" w:lineRule="auto" w:before="159"/>
        <w:ind w:left="970" w:right="121" w:hanging="851"/>
      </w:pPr>
      <w:r>
        <w:rPr/>
        <w:t>A5.40</w:t>
        <w:tab/>
        <w:t>In the upper 6 GHz band, we anticipate that typical RLAN applications</w:t>
      </w:r>
      <w:r>
        <w:rPr>
          <w:spacing w:val="-34"/>
        </w:rPr>
        <w:t> </w:t>
      </w:r>
      <w:r>
        <w:rPr/>
        <w:t>might</w:t>
      </w:r>
      <w:r>
        <w:rPr>
          <w:spacing w:val="-4"/>
        </w:rPr>
        <w:t> </w:t>
      </w:r>
      <w:r>
        <w:rPr/>
        <w:t>include</w:t>
      </w:r>
      <w:r>
        <w:rPr>
          <w:w w:val="99"/>
        </w:rPr>
        <w:t> </w:t>
      </w:r>
      <w:r>
        <w:rPr/>
        <w:t>industrial use and for Research and Development. We do not envisage widescale consumer adoption</w:t>
      </w:r>
      <w:r>
        <w:rPr>
          <w:spacing w:val="-3"/>
        </w:rPr>
        <w:t> </w:t>
      </w:r>
      <w:r>
        <w:rPr/>
        <w:t>in</w:t>
      </w:r>
      <w:r>
        <w:rPr>
          <w:spacing w:val="-2"/>
        </w:rPr>
        <w:t> </w:t>
      </w:r>
      <w:r>
        <w:rPr/>
        <w:t>the</w:t>
      </w:r>
      <w:r>
        <w:rPr>
          <w:spacing w:val="-3"/>
        </w:rPr>
        <w:t> </w:t>
      </w:r>
      <w:r>
        <w:rPr/>
        <w:t>near</w:t>
      </w:r>
      <w:r>
        <w:rPr>
          <w:spacing w:val="-3"/>
        </w:rPr>
        <w:t> </w:t>
      </w:r>
      <w:r>
        <w:rPr/>
        <w:t>term.</w:t>
      </w:r>
      <w:r>
        <w:rPr>
          <w:spacing w:val="-2"/>
        </w:rPr>
        <w:t> </w:t>
      </w:r>
      <w:r>
        <w:rPr/>
        <w:t>Therefore,</w:t>
      </w:r>
      <w:r>
        <w:rPr>
          <w:spacing w:val="-3"/>
        </w:rPr>
        <w:t> </w:t>
      </w:r>
      <w:r>
        <w:rPr/>
        <w:t>we</w:t>
      </w:r>
      <w:r>
        <w:rPr>
          <w:spacing w:val="-3"/>
        </w:rPr>
        <w:t> </w:t>
      </w:r>
      <w:r>
        <w:rPr/>
        <w:t>would</w:t>
      </w:r>
      <w:r>
        <w:rPr>
          <w:spacing w:val="-2"/>
        </w:rPr>
        <w:t> </w:t>
      </w:r>
      <w:r>
        <w:rPr/>
        <w:t>expect</w:t>
      </w:r>
      <w:r>
        <w:rPr>
          <w:spacing w:val="-3"/>
        </w:rPr>
        <w:t> </w:t>
      </w:r>
      <w:r>
        <w:rPr/>
        <w:t>a</w:t>
      </w:r>
      <w:r>
        <w:rPr>
          <w:spacing w:val="-2"/>
        </w:rPr>
        <w:t> </w:t>
      </w:r>
      <w:r>
        <w:rPr/>
        <w:t>lower</w:t>
      </w:r>
      <w:r>
        <w:rPr>
          <w:spacing w:val="-3"/>
        </w:rPr>
        <w:t> </w:t>
      </w:r>
      <w:r>
        <w:rPr/>
        <w:t>density</w:t>
      </w:r>
      <w:r>
        <w:rPr>
          <w:spacing w:val="-3"/>
        </w:rPr>
        <w:t> </w:t>
      </w:r>
      <w:r>
        <w:rPr/>
        <w:t>of</w:t>
      </w:r>
      <w:r>
        <w:rPr>
          <w:spacing w:val="-3"/>
        </w:rPr>
        <w:t> </w:t>
      </w:r>
      <w:r>
        <w:rPr/>
        <w:t>use</w:t>
      </w:r>
      <w:r>
        <w:rPr>
          <w:spacing w:val="-2"/>
        </w:rPr>
        <w:t> </w:t>
      </w:r>
      <w:r>
        <w:rPr/>
        <w:t>in</w:t>
      </w:r>
      <w:r>
        <w:rPr>
          <w:spacing w:val="-3"/>
        </w:rPr>
        <w:t> </w:t>
      </w:r>
      <w:r>
        <w:rPr/>
        <w:t>the</w:t>
      </w:r>
      <w:r>
        <w:rPr>
          <w:spacing w:val="-3"/>
        </w:rPr>
        <w:t> </w:t>
      </w:r>
      <w:r>
        <w:rPr/>
        <w:t>upper</w:t>
      </w:r>
    </w:p>
    <w:p>
      <w:pPr>
        <w:pStyle w:val="BodyText"/>
        <w:spacing w:before="8"/>
        <w:rPr>
          <w:sz w:val="28"/>
        </w:rPr>
      </w:pPr>
      <w:r>
        <w:rPr/>
        <w:pict>
          <v:line style="position:absolute;mso-position-horizontal-relative:page;mso-position-vertical-relative:paragraph;z-index:1672;mso-wrap-distance-left:0;mso-wrap-distance-right:0" from="72pt,19.861378pt" to="216pt,19.861378pt" stroked="true" strokeweight=".72pt" strokecolor="#000000">
            <v:stroke dashstyle="solid"/>
            <w10:wrap type="topAndBottom"/>
          </v:line>
        </w:pict>
      </w:r>
    </w:p>
    <w:p>
      <w:pPr>
        <w:pStyle w:val="BodyText"/>
        <w:spacing w:before="5"/>
        <w:rPr>
          <w:sz w:val="12"/>
        </w:rPr>
      </w:pPr>
    </w:p>
    <w:p>
      <w:pPr>
        <w:spacing w:line="221" w:lineRule="exact" w:before="75"/>
        <w:ind w:left="120" w:right="0" w:firstLine="0"/>
        <w:jc w:val="left"/>
        <w:rPr>
          <w:sz w:val="18"/>
        </w:rPr>
      </w:pPr>
      <w:bookmarkStart w:name="_bookmark44" w:id="128"/>
      <w:bookmarkEnd w:id="128"/>
      <w:r>
        <w:rPr/>
      </w:r>
      <w:r>
        <w:rPr>
          <w:position w:val="6"/>
          <w:sz w:val="12"/>
        </w:rPr>
        <w:t>33 </w:t>
      </w:r>
      <w:r>
        <w:rPr>
          <w:sz w:val="18"/>
        </w:rPr>
        <w:t>Commission Decisions </w:t>
      </w:r>
      <w:hyperlink r:id="rId16">
        <w:r>
          <w:rPr>
            <w:color w:val="C70044"/>
            <w:sz w:val="18"/>
            <w:u w:val="single" w:color="C70044"/>
          </w:rPr>
          <w:t>2006/771/EC</w:t>
        </w:r>
        <w:r>
          <w:rPr>
            <w:sz w:val="18"/>
          </w:rPr>
          <w:t>,</w:t>
        </w:r>
      </w:hyperlink>
      <w:r>
        <w:rPr>
          <w:sz w:val="18"/>
        </w:rPr>
        <w:t> </w:t>
      </w:r>
      <w:hyperlink r:id="rId17">
        <w:r>
          <w:rPr>
            <w:color w:val="C70044"/>
            <w:sz w:val="18"/>
            <w:u w:val="single" w:color="C70044"/>
          </w:rPr>
          <w:t>2008/432/EC</w:t>
        </w:r>
        <w:r>
          <w:rPr>
            <w:sz w:val="18"/>
          </w:rPr>
          <w:t>,</w:t>
        </w:r>
      </w:hyperlink>
      <w:r>
        <w:rPr>
          <w:sz w:val="18"/>
        </w:rPr>
        <w:t> </w:t>
      </w:r>
      <w:hyperlink r:id="rId18">
        <w:r>
          <w:rPr>
            <w:color w:val="C70044"/>
            <w:sz w:val="18"/>
            <w:u w:val="single" w:color="C70044"/>
          </w:rPr>
          <w:t>2009/381/EC</w:t>
        </w:r>
        <w:r>
          <w:rPr>
            <w:sz w:val="18"/>
          </w:rPr>
          <w:t>,</w:t>
        </w:r>
      </w:hyperlink>
      <w:r>
        <w:rPr>
          <w:sz w:val="18"/>
        </w:rPr>
        <w:t> </w:t>
      </w:r>
      <w:hyperlink r:id="rId19">
        <w:r>
          <w:rPr>
            <w:color w:val="C70044"/>
            <w:sz w:val="18"/>
            <w:u w:val="single" w:color="C70044"/>
          </w:rPr>
          <w:t>2010/368/EU</w:t>
        </w:r>
        <w:r>
          <w:rPr>
            <w:sz w:val="18"/>
          </w:rPr>
          <w:t>,</w:t>
        </w:r>
      </w:hyperlink>
      <w:r>
        <w:rPr>
          <w:sz w:val="18"/>
        </w:rPr>
        <w:t> </w:t>
      </w:r>
      <w:hyperlink r:id="rId20">
        <w:r>
          <w:rPr>
            <w:color w:val="C70044"/>
            <w:sz w:val="18"/>
            <w:u w:val="single" w:color="C70044"/>
          </w:rPr>
          <w:t>2011/829/EU </w:t>
        </w:r>
      </w:hyperlink>
      <w:r>
        <w:rPr>
          <w:sz w:val="18"/>
        </w:rPr>
        <w:t>and </w:t>
      </w:r>
      <w:hyperlink r:id="rId21">
        <w:r>
          <w:rPr>
            <w:color w:val="C70044"/>
            <w:sz w:val="18"/>
            <w:u w:val="single" w:color="C70044"/>
          </w:rPr>
          <w:t>2013/752/EU</w:t>
        </w:r>
      </w:hyperlink>
    </w:p>
    <w:p>
      <w:pPr>
        <w:spacing w:line="220" w:lineRule="exact" w:before="0"/>
        <w:ind w:left="120" w:right="0" w:firstLine="0"/>
        <w:jc w:val="left"/>
        <w:rPr>
          <w:sz w:val="18"/>
        </w:rPr>
      </w:pPr>
      <w:bookmarkStart w:name="_bookmark45" w:id="129"/>
      <w:bookmarkEnd w:id="129"/>
      <w:r>
        <w:rPr/>
      </w:r>
      <w:r>
        <w:rPr>
          <w:position w:val="6"/>
          <w:sz w:val="12"/>
        </w:rPr>
        <w:t>34 </w:t>
      </w:r>
      <w:hyperlink r:id="rId22">
        <w:r>
          <w:rPr>
            <w:color w:val="C70044"/>
            <w:sz w:val="18"/>
            <w:u w:val="single" w:color="C70044"/>
          </w:rPr>
          <w:t>IR 2030 – Licence Exempt Short Range Devices (ofcom.org.uk)</w:t>
        </w:r>
      </w:hyperlink>
    </w:p>
    <w:p>
      <w:pPr>
        <w:spacing w:before="0"/>
        <w:ind w:left="120" w:right="215" w:firstLine="0"/>
        <w:jc w:val="left"/>
        <w:rPr>
          <w:sz w:val="18"/>
        </w:rPr>
      </w:pPr>
      <w:bookmarkStart w:name="_bookmark46" w:id="130"/>
      <w:bookmarkEnd w:id="130"/>
      <w:r>
        <w:rPr/>
      </w:r>
      <w:r>
        <w:rPr>
          <w:position w:val="6"/>
          <w:sz w:val="12"/>
        </w:rPr>
        <w:t>35 </w:t>
      </w:r>
      <w:r>
        <w:rPr>
          <w:sz w:val="18"/>
        </w:rPr>
        <w:t>90% of devices are expected to be installed in indoors (e.g. in tanks) providing at least 10 dB of attenuation. See ECC Report 139: </w:t>
      </w:r>
      <w:hyperlink r:id="rId57">
        <w:r>
          <w:rPr>
            <w:color w:val="C70044"/>
            <w:sz w:val="18"/>
            <w:u w:val="single" w:color="C70044"/>
          </w:rPr>
          <w:t>https://docdb.cept.org/document/247</w:t>
        </w:r>
      </w:hyperlink>
    </w:p>
    <w:p>
      <w:pPr>
        <w:spacing w:line="220" w:lineRule="exact" w:before="0"/>
        <w:ind w:left="120" w:right="0" w:firstLine="0"/>
        <w:jc w:val="left"/>
        <w:rPr>
          <w:sz w:val="18"/>
        </w:rPr>
      </w:pPr>
      <w:bookmarkStart w:name="_bookmark47" w:id="131"/>
      <w:bookmarkEnd w:id="131"/>
      <w:r>
        <w:rPr/>
      </w:r>
      <w:r>
        <w:rPr>
          <w:position w:val="6"/>
          <w:sz w:val="12"/>
        </w:rPr>
        <w:t>36 </w:t>
      </w:r>
      <w:hyperlink r:id="rId58">
        <w:r>
          <w:rPr>
            <w:color w:val="C70044"/>
            <w:sz w:val="18"/>
            <w:u w:val="single" w:color="C70044"/>
          </w:rPr>
          <w:t>The Wireless Telegraphy (Ultra-Wideband Equipment) (Exemption) Regulations 2015 (legislation.gov.uk)</w:t>
        </w:r>
      </w:hyperlink>
    </w:p>
    <w:p>
      <w:pPr>
        <w:spacing w:after="0" w:line="220" w:lineRule="exact"/>
        <w:jc w:val="left"/>
        <w:rPr>
          <w:sz w:val="18"/>
        </w:rPr>
        <w:sectPr>
          <w:footerReference w:type="default" r:id="rId56"/>
          <w:pgSz w:w="11910" w:h="16840"/>
          <w:pgMar w:footer="1309" w:header="727" w:top="920" w:bottom="1500" w:left="1320" w:right="1340"/>
          <w:pgNumType w:start="37"/>
        </w:sectPr>
      </w:pPr>
    </w:p>
    <w:p>
      <w:pPr>
        <w:pStyle w:val="BodyText"/>
        <w:rPr>
          <w:sz w:val="20"/>
        </w:rPr>
      </w:pPr>
    </w:p>
    <w:p>
      <w:pPr>
        <w:pStyle w:val="BodyText"/>
        <w:rPr>
          <w:sz w:val="20"/>
        </w:rPr>
      </w:pPr>
    </w:p>
    <w:p>
      <w:pPr>
        <w:pStyle w:val="BodyText"/>
        <w:spacing w:before="11"/>
        <w:rPr>
          <w:sz w:val="18"/>
        </w:rPr>
      </w:pPr>
    </w:p>
    <w:p>
      <w:pPr>
        <w:pStyle w:val="BodyText"/>
        <w:spacing w:line="276" w:lineRule="auto" w:before="56"/>
        <w:ind w:left="950" w:right="447"/>
      </w:pPr>
      <w:r>
        <w:rPr/>
        <w:t>6 GHz band compared to the lower 6 GHz band and consequently we would expect a Monte Carlo analysis to produce a much lower probability of interference for the upper 6 GHz band.</w:t>
      </w:r>
    </w:p>
    <w:p>
      <w:pPr>
        <w:spacing w:after="0" w:line="276" w:lineRule="auto"/>
        <w:sectPr>
          <w:pgSz w:w="11910" w:h="16840"/>
          <w:pgMar w:header="727" w:footer="1309" w:top="920" w:bottom="1520" w:left="1340" w:right="1340"/>
        </w:sectPr>
      </w:pPr>
    </w:p>
    <w:p>
      <w:pPr>
        <w:pStyle w:val="BodyText"/>
        <w:rPr>
          <w:sz w:val="20"/>
        </w:rPr>
      </w:pPr>
    </w:p>
    <w:p>
      <w:pPr>
        <w:pStyle w:val="BodyText"/>
        <w:rPr>
          <w:sz w:val="20"/>
        </w:rPr>
      </w:pPr>
    </w:p>
    <w:p>
      <w:pPr>
        <w:pStyle w:val="BodyText"/>
        <w:spacing w:before="2"/>
        <w:rPr>
          <w:sz w:val="23"/>
        </w:rPr>
      </w:pPr>
    </w:p>
    <w:p>
      <w:pPr>
        <w:pStyle w:val="Heading1"/>
      </w:pPr>
      <w:bookmarkStart w:name="A6. Legal framework" w:id="132"/>
      <w:bookmarkEnd w:id="132"/>
      <w:r>
        <w:rPr/>
      </w:r>
      <w:bookmarkStart w:name="_bookmark48" w:id="133"/>
      <w:bookmarkEnd w:id="133"/>
      <w:r>
        <w:rPr/>
      </w:r>
      <w:r>
        <w:rPr>
          <w:color w:val="CC0044"/>
        </w:rPr>
        <w:t>A6. Legal framework</w:t>
      </w:r>
    </w:p>
    <w:p>
      <w:pPr>
        <w:pStyle w:val="Heading2"/>
        <w:spacing w:before="239"/>
      </w:pPr>
      <w:bookmarkStart w:name="The legislative framework" w:id="134"/>
      <w:bookmarkEnd w:id="134"/>
      <w:r>
        <w:rPr>
          <w:b w:val="0"/>
        </w:rPr>
      </w:r>
      <w:r>
        <w:rPr>
          <w:color w:val="CC0044"/>
        </w:rPr>
        <w:t>The legislative framework</w:t>
      </w:r>
    </w:p>
    <w:p>
      <w:pPr>
        <w:pStyle w:val="BodyText"/>
        <w:tabs>
          <w:tab w:pos="970" w:val="left" w:leader="none"/>
        </w:tabs>
        <w:spacing w:line="276" w:lineRule="auto" w:before="240"/>
        <w:ind w:left="970" w:right="125" w:hanging="851"/>
      </w:pPr>
      <w:r>
        <w:rPr/>
        <w:t>A6.1</w:t>
        <w:tab/>
        <w:t>Ofcom is responsible for authorising use of the radio spectrum. We permit the use</w:t>
      </w:r>
      <w:r>
        <w:rPr>
          <w:spacing w:val="-33"/>
        </w:rPr>
        <w:t> </w:t>
      </w:r>
      <w:r>
        <w:rPr/>
        <w:t>of</w:t>
      </w:r>
      <w:r>
        <w:rPr>
          <w:spacing w:val="-4"/>
        </w:rPr>
        <w:t> </w:t>
      </w:r>
      <w:r>
        <w:rPr/>
        <w:t>the</w:t>
      </w:r>
      <w:r>
        <w:rPr>
          <w:w w:val="99"/>
        </w:rPr>
        <w:t> </w:t>
      </w:r>
      <w:r>
        <w:rPr/>
        <w:t>radio spectrum by granting wireless telegraphy licences under the WT Act or by making statutory regulations exempting users of particular equipment from the requirement to hold such a licence. It is unlawful and an offence to install or use wireless telegraphy apparatus without holding a licence granted by Ofcom, unless the use of such equipment is exempted.</w:t>
      </w:r>
    </w:p>
    <w:p>
      <w:pPr>
        <w:pStyle w:val="BodyText"/>
        <w:spacing w:before="3"/>
        <w:rPr>
          <w:sz w:val="16"/>
        </w:rPr>
      </w:pPr>
    </w:p>
    <w:p>
      <w:pPr>
        <w:pStyle w:val="Heading3"/>
        <w:ind w:right="243"/>
      </w:pPr>
      <w:bookmarkStart w:name="Duties under the Communications Act 2003" w:id="135"/>
      <w:bookmarkEnd w:id="135"/>
      <w:r>
        <w:rPr>
          <w:b w:val="0"/>
        </w:rPr>
      </w:r>
      <w:r>
        <w:rPr/>
        <w:t>Duties under the Communications Act 2003 and the Wireless Telegraphy Act 2006</w:t>
      </w:r>
    </w:p>
    <w:p>
      <w:pPr>
        <w:pStyle w:val="BodyText"/>
        <w:tabs>
          <w:tab w:pos="970" w:val="left" w:leader="none"/>
        </w:tabs>
        <w:spacing w:line="276" w:lineRule="auto" w:before="241"/>
        <w:ind w:left="970" w:right="310" w:hanging="851"/>
      </w:pPr>
      <w:r>
        <w:rPr/>
        <w:t>A6.2</w:t>
        <w:tab/>
        <w:t>Ofcom’s</w:t>
      </w:r>
      <w:r>
        <w:rPr>
          <w:spacing w:val="-4"/>
        </w:rPr>
        <w:t> </w:t>
      </w:r>
      <w:r>
        <w:rPr/>
        <w:t>statutory</w:t>
      </w:r>
      <w:r>
        <w:rPr>
          <w:spacing w:val="-4"/>
        </w:rPr>
        <w:t> </w:t>
      </w:r>
      <w:r>
        <w:rPr/>
        <w:t>powers</w:t>
      </w:r>
      <w:r>
        <w:rPr>
          <w:spacing w:val="-3"/>
        </w:rPr>
        <w:t> </w:t>
      </w:r>
      <w:r>
        <w:rPr/>
        <w:t>and</w:t>
      </w:r>
      <w:r>
        <w:rPr>
          <w:spacing w:val="-3"/>
        </w:rPr>
        <w:t> </w:t>
      </w:r>
      <w:r>
        <w:rPr/>
        <w:t>duties</w:t>
      </w:r>
      <w:r>
        <w:rPr>
          <w:spacing w:val="-4"/>
        </w:rPr>
        <w:t> </w:t>
      </w:r>
      <w:r>
        <w:rPr/>
        <w:t>in</w:t>
      </w:r>
      <w:r>
        <w:rPr>
          <w:spacing w:val="-3"/>
        </w:rPr>
        <w:t> </w:t>
      </w:r>
      <w:r>
        <w:rPr/>
        <w:t>relation</w:t>
      </w:r>
      <w:r>
        <w:rPr>
          <w:spacing w:val="-3"/>
        </w:rPr>
        <w:t> </w:t>
      </w:r>
      <w:r>
        <w:rPr/>
        <w:t>to</w:t>
      </w:r>
      <w:r>
        <w:rPr>
          <w:spacing w:val="-3"/>
        </w:rPr>
        <w:t> </w:t>
      </w:r>
      <w:r>
        <w:rPr/>
        <w:t>spectrum</w:t>
      </w:r>
      <w:r>
        <w:rPr>
          <w:spacing w:val="-3"/>
        </w:rPr>
        <w:t> </w:t>
      </w:r>
      <w:r>
        <w:rPr/>
        <w:t>management</w:t>
      </w:r>
      <w:r>
        <w:rPr>
          <w:spacing w:val="-4"/>
        </w:rPr>
        <w:t> </w:t>
      </w:r>
      <w:r>
        <w:rPr/>
        <w:t>are</w:t>
      </w:r>
      <w:r>
        <w:rPr>
          <w:spacing w:val="-3"/>
        </w:rPr>
        <w:t> </w:t>
      </w:r>
      <w:r>
        <w:rPr/>
        <w:t>set</w:t>
      </w:r>
      <w:r>
        <w:rPr>
          <w:spacing w:val="-4"/>
        </w:rPr>
        <w:t> </w:t>
      </w:r>
      <w:r>
        <w:rPr/>
        <w:t>out</w:t>
      </w:r>
      <w:r>
        <w:rPr>
          <w:w w:val="99"/>
        </w:rPr>
        <w:t> </w:t>
      </w:r>
      <w:r>
        <w:rPr/>
        <w:t>primarily in the Communications Act 2003 (the “2003 Act”) and the WT Act. Amongst our functions are the making available of frequencies for use for particular purposes and the granting of rights of use of spectrum through wireless telegraphy licences and licence- exemptions.</w:t>
      </w:r>
    </w:p>
    <w:p>
      <w:pPr>
        <w:pStyle w:val="BodyText"/>
        <w:tabs>
          <w:tab w:pos="970" w:val="left" w:leader="none"/>
        </w:tabs>
        <w:spacing w:line="276" w:lineRule="auto" w:before="120"/>
        <w:ind w:left="970" w:right="214" w:hanging="851"/>
      </w:pPr>
      <w:r>
        <w:rPr/>
        <w:t>A6.3</w:t>
        <w:tab/>
        <w:t>Our principal duties under the 2003 Act, when carrying out our functions</w:t>
      </w:r>
      <w:r>
        <w:rPr>
          <w:spacing w:val="-33"/>
        </w:rPr>
        <w:t> </w:t>
      </w:r>
      <w:r>
        <w:rPr/>
        <w:t>and</w:t>
      </w:r>
      <w:r>
        <w:rPr>
          <w:spacing w:val="-4"/>
        </w:rPr>
        <w:t> </w:t>
      </w:r>
      <w:r>
        <w:rPr/>
        <w:t>exercising</w:t>
      </w:r>
      <w:r>
        <w:rPr>
          <w:w w:val="99"/>
        </w:rPr>
        <w:t> </w:t>
      </w:r>
      <w:r>
        <w:rPr/>
        <w:t>our powers, are to further the interests of citizens and consumers, where appropriate by promoting competition. In doing so, we are also required (among other things) to secure the optimal use of spectrum and the availability throughout the United Kingdom of a wide range of electronic communications</w:t>
      </w:r>
      <w:r>
        <w:rPr>
          <w:spacing w:val="-22"/>
        </w:rPr>
        <w:t> </w:t>
      </w:r>
      <w:r>
        <w:rPr/>
        <w:t>services.</w:t>
      </w:r>
    </w:p>
    <w:p>
      <w:pPr>
        <w:pStyle w:val="BodyText"/>
        <w:tabs>
          <w:tab w:pos="970" w:val="left" w:leader="none"/>
        </w:tabs>
        <w:spacing w:line="276" w:lineRule="auto" w:before="119"/>
        <w:ind w:left="970" w:right="151" w:hanging="851"/>
      </w:pPr>
      <w:r>
        <w:rPr/>
        <w:t>A6.4</w:t>
        <w:tab/>
        <w:t>We</w:t>
      </w:r>
      <w:r>
        <w:rPr>
          <w:spacing w:val="-5"/>
        </w:rPr>
        <w:t> </w:t>
      </w:r>
      <w:r>
        <w:rPr/>
        <w:t>must</w:t>
      </w:r>
      <w:r>
        <w:rPr>
          <w:spacing w:val="-5"/>
        </w:rPr>
        <w:t> </w:t>
      </w:r>
      <w:r>
        <w:rPr/>
        <w:t>also</w:t>
      </w:r>
      <w:r>
        <w:rPr>
          <w:spacing w:val="-4"/>
        </w:rPr>
        <w:t> </w:t>
      </w:r>
      <w:r>
        <w:rPr/>
        <w:t>have</w:t>
      </w:r>
      <w:r>
        <w:rPr>
          <w:spacing w:val="-5"/>
        </w:rPr>
        <w:t> </w:t>
      </w:r>
      <w:r>
        <w:rPr/>
        <w:t>regard</w:t>
      </w:r>
      <w:r>
        <w:rPr>
          <w:spacing w:val="-4"/>
        </w:rPr>
        <w:t> </w:t>
      </w:r>
      <w:r>
        <w:rPr/>
        <w:t>to:</w:t>
      </w:r>
      <w:r>
        <w:rPr>
          <w:spacing w:val="-5"/>
        </w:rPr>
        <w:t> </w:t>
      </w:r>
      <w:r>
        <w:rPr/>
        <w:t>(i)</w:t>
      </w:r>
      <w:r>
        <w:rPr>
          <w:spacing w:val="-4"/>
        </w:rPr>
        <w:t> </w:t>
      </w:r>
      <w:r>
        <w:rPr/>
        <w:t>the</w:t>
      </w:r>
      <w:r>
        <w:rPr>
          <w:spacing w:val="-4"/>
        </w:rPr>
        <w:t> </w:t>
      </w:r>
      <w:r>
        <w:rPr/>
        <w:t>desirability</w:t>
      </w:r>
      <w:r>
        <w:rPr>
          <w:spacing w:val="-5"/>
        </w:rPr>
        <w:t> </w:t>
      </w:r>
      <w:r>
        <w:rPr/>
        <w:t>of</w:t>
      </w:r>
      <w:r>
        <w:rPr>
          <w:spacing w:val="-4"/>
        </w:rPr>
        <w:t> </w:t>
      </w:r>
      <w:r>
        <w:rPr/>
        <w:t>promoting</w:t>
      </w:r>
      <w:r>
        <w:rPr>
          <w:spacing w:val="-4"/>
        </w:rPr>
        <w:t> </w:t>
      </w:r>
      <w:r>
        <w:rPr/>
        <w:t>competition</w:t>
      </w:r>
      <w:r>
        <w:rPr>
          <w:spacing w:val="-4"/>
        </w:rPr>
        <w:t> </w:t>
      </w:r>
      <w:r>
        <w:rPr/>
        <w:t>in</w:t>
      </w:r>
      <w:r>
        <w:rPr>
          <w:spacing w:val="-4"/>
        </w:rPr>
        <w:t> </w:t>
      </w:r>
      <w:r>
        <w:rPr/>
        <w:t>relevant</w:t>
      </w:r>
      <w:r>
        <w:rPr>
          <w:spacing w:val="-1"/>
          <w:w w:val="99"/>
        </w:rPr>
        <w:t> </w:t>
      </w:r>
      <w:r>
        <w:rPr/>
        <w:t>markets;</w:t>
      </w:r>
      <w:r>
        <w:rPr>
          <w:spacing w:val="-5"/>
        </w:rPr>
        <w:t> </w:t>
      </w:r>
      <w:r>
        <w:rPr/>
        <w:t>(ii)</w:t>
      </w:r>
      <w:r>
        <w:rPr>
          <w:spacing w:val="-3"/>
        </w:rPr>
        <w:t> </w:t>
      </w:r>
      <w:r>
        <w:rPr/>
        <w:t>the</w:t>
      </w:r>
      <w:r>
        <w:rPr>
          <w:spacing w:val="-5"/>
        </w:rPr>
        <w:t> </w:t>
      </w:r>
      <w:r>
        <w:rPr/>
        <w:t>desirability</w:t>
      </w:r>
      <w:r>
        <w:rPr>
          <w:spacing w:val="-5"/>
        </w:rPr>
        <w:t> </w:t>
      </w:r>
      <w:r>
        <w:rPr/>
        <w:t>of</w:t>
      </w:r>
      <w:r>
        <w:rPr>
          <w:spacing w:val="-5"/>
        </w:rPr>
        <w:t> </w:t>
      </w:r>
      <w:r>
        <w:rPr/>
        <w:t>encouraging</w:t>
      </w:r>
      <w:r>
        <w:rPr>
          <w:spacing w:val="-5"/>
        </w:rPr>
        <w:t> </w:t>
      </w:r>
      <w:r>
        <w:rPr/>
        <w:t>investment</w:t>
      </w:r>
      <w:r>
        <w:rPr>
          <w:spacing w:val="-5"/>
        </w:rPr>
        <w:t> </w:t>
      </w:r>
      <w:r>
        <w:rPr/>
        <w:t>and</w:t>
      </w:r>
      <w:r>
        <w:rPr>
          <w:spacing w:val="-5"/>
        </w:rPr>
        <w:t> </w:t>
      </w:r>
      <w:r>
        <w:rPr/>
        <w:t>innovation</w:t>
      </w:r>
      <w:r>
        <w:rPr>
          <w:spacing w:val="-5"/>
        </w:rPr>
        <w:t> </w:t>
      </w:r>
      <w:r>
        <w:rPr/>
        <w:t>in</w:t>
      </w:r>
      <w:r>
        <w:rPr>
          <w:spacing w:val="-4"/>
        </w:rPr>
        <w:t> </w:t>
      </w:r>
      <w:r>
        <w:rPr/>
        <w:t>relevant</w:t>
      </w:r>
      <w:r>
        <w:rPr>
          <w:spacing w:val="-4"/>
        </w:rPr>
        <w:t> </w:t>
      </w:r>
      <w:r>
        <w:rPr/>
        <w:t>markets;</w:t>
      </w:r>
    </w:p>
    <w:p>
      <w:pPr>
        <w:pStyle w:val="ListParagraph"/>
        <w:numPr>
          <w:ilvl w:val="0"/>
          <w:numId w:val="8"/>
        </w:numPr>
        <w:tabs>
          <w:tab w:pos="1305" w:val="left" w:leader="none"/>
        </w:tabs>
        <w:spacing w:line="276" w:lineRule="auto" w:before="0" w:after="0"/>
        <w:ind w:left="970" w:right="389" w:firstLine="0"/>
        <w:jc w:val="left"/>
        <w:rPr>
          <w:sz w:val="22"/>
        </w:rPr>
      </w:pPr>
      <w:r>
        <w:rPr>
          <w:sz w:val="22"/>
        </w:rPr>
        <w:t>the different needs and interests, so far as the use of the electro-magnetic spectrum for</w:t>
      </w:r>
      <w:r>
        <w:rPr>
          <w:spacing w:val="-4"/>
          <w:sz w:val="22"/>
        </w:rPr>
        <w:t> </w:t>
      </w:r>
      <w:r>
        <w:rPr>
          <w:sz w:val="22"/>
        </w:rPr>
        <w:t>wireless</w:t>
      </w:r>
      <w:r>
        <w:rPr>
          <w:spacing w:val="-4"/>
          <w:sz w:val="22"/>
        </w:rPr>
        <w:t> </w:t>
      </w:r>
      <w:r>
        <w:rPr>
          <w:sz w:val="22"/>
        </w:rPr>
        <w:t>telegraphy</w:t>
      </w:r>
      <w:r>
        <w:rPr>
          <w:spacing w:val="-3"/>
          <w:sz w:val="22"/>
        </w:rPr>
        <w:t> </w:t>
      </w:r>
      <w:r>
        <w:rPr>
          <w:sz w:val="22"/>
        </w:rPr>
        <w:t>is</w:t>
      </w:r>
      <w:r>
        <w:rPr>
          <w:spacing w:val="-4"/>
          <w:sz w:val="22"/>
        </w:rPr>
        <w:t> </w:t>
      </w:r>
      <w:r>
        <w:rPr>
          <w:sz w:val="22"/>
        </w:rPr>
        <w:t>concerned,</w:t>
      </w:r>
      <w:r>
        <w:rPr>
          <w:spacing w:val="-2"/>
          <w:sz w:val="22"/>
        </w:rPr>
        <w:t> </w:t>
      </w:r>
      <w:r>
        <w:rPr>
          <w:sz w:val="22"/>
        </w:rPr>
        <w:t>of</w:t>
      </w:r>
      <w:r>
        <w:rPr>
          <w:spacing w:val="-3"/>
          <w:sz w:val="22"/>
        </w:rPr>
        <w:t> </w:t>
      </w:r>
      <w:r>
        <w:rPr>
          <w:sz w:val="22"/>
        </w:rPr>
        <w:t>all</w:t>
      </w:r>
      <w:r>
        <w:rPr>
          <w:spacing w:val="-4"/>
          <w:sz w:val="22"/>
        </w:rPr>
        <w:t> </w:t>
      </w:r>
      <w:r>
        <w:rPr>
          <w:sz w:val="22"/>
        </w:rPr>
        <w:t>persons</w:t>
      </w:r>
      <w:r>
        <w:rPr>
          <w:spacing w:val="-4"/>
          <w:sz w:val="22"/>
        </w:rPr>
        <w:t> </w:t>
      </w:r>
      <w:r>
        <w:rPr>
          <w:sz w:val="22"/>
        </w:rPr>
        <w:t>who</w:t>
      </w:r>
      <w:r>
        <w:rPr>
          <w:spacing w:val="-3"/>
          <w:sz w:val="22"/>
        </w:rPr>
        <w:t> </w:t>
      </w:r>
      <w:r>
        <w:rPr>
          <w:sz w:val="22"/>
        </w:rPr>
        <w:t>may</w:t>
      </w:r>
      <w:r>
        <w:rPr>
          <w:spacing w:val="-4"/>
          <w:sz w:val="22"/>
        </w:rPr>
        <w:t> </w:t>
      </w:r>
      <w:r>
        <w:rPr>
          <w:sz w:val="22"/>
        </w:rPr>
        <w:t>wish</w:t>
      </w:r>
      <w:r>
        <w:rPr>
          <w:spacing w:val="-2"/>
          <w:sz w:val="22"/>
        </w:rPr>
        <w:t> </w:t>
      </w:r>
      <w:r>
        <w:rPr>
          <w:sz w:val="22"/>
        </w:rPr>
        <w:t>to</w:t>
      </w:r>
      <w:r>
        <w:rPr>
          <w:spacing w:val="-3"/>
          <w:sz w:val="22"/>
        </w:rPr>
        <w:t> </w:t>
      </w:r>
      <w:r>
        <w:rPr>
          <w:sz w:val="22"/>
        </w:rPr>
        <w:t>make</w:t>
      </w:r>
      <w:r>
        <w:rPr>
          <w:spacing w:val="-3"/>
          <w:sz w:val="22"/>
        </w:rPr>
        <w:t> </w:t>
      </w:r>
      <w:r>
        <w:rPr>
          <w:sz w:val="22"/>
        </w:rPr>
        <w:t>use</w:t>
      </w:r>
      <w:r>
        <w:rPr>
          <w:spacing w:val="-3"/>
          <w:sz w:val="22"/>
        </w:rPr>
        <w:t> </w:t>
      </w:r>
      <w:r>
        <w:rPr>
          <w:sz w:val="22"/>
        </w:rPr>
        <w:t>of</w:t>
      </w:r>
      <w:r>
        <w:rPr>
          <w:spacing w:val="-4"/>
          <w:sz w:val="22"/>
        </w:rPr>
        <w:t> </w:t>
      </w:r>
      <w:r>
        <w:rPr>
          <w:sz w:val="22"/>
        </w:rPr>
        <w:t>it;</w:t>
      </w:r>
      <w:r>
        <w:rPr>
          <w:spacing w:val="-4"/>
          <w:sz w:val="22"/>
        </w:rPr>
        <w:t> </w:t>
      </w:r>
      <w:r>
        <w:rPr>
          <w:sz w:val="22"/>
        </w:rPr>
        <w:t>and</w:t>
      </w:r>
    </w:p>
    <w:p>
      <w:pPr>
        <w:pStyle w:val="ListParagraph"/>
        <w:numPr>
          <w:ilvl w:val="0"/>
          <w:numId w:val="8"/>
        </w:numPr>
        <w:tabs>
          <w:tab w:pos="1304" w:val="left" w:leader="none"/>
        </w:tabs>
        <w:spacing w:line="276" w:lineRule="auto" w:before="0" w:after="0"/>
        <w:ind w:left="970" w:right="236" w:firstLine="0"/>
        <w:jc w:val="left"/>
        <w:rPr>
          <w:sz w:val="22"/>
        </w:rPr>
      </w:pPr>
      <w:r>
        <w:rPr>
          <w:sz w:val="22"/>
        </w:rPr>
        <w:t>the different interests of persons in the different parts of the United Kingdom, of the different ethnic communities within the United Kingdom and of persons living in rural and in urban</w:t>
      </w:r>
      <w:r>
        <w:rPr>
          <w:spacing w:val="-6"/>
          <w:sz w:val="22"/>
        </w:rPr>
        <w:t> </w:t>
      </w:r>
      <w:r>
        <w:rPr>
          <w:sz w:val="22"/>
        </w:rPr>
        <w:t>areas.</w:t>
      </w:r>
    </w:p>
    <w:p>
      <w:pPr>
        <w:pStyle w:val="BodyText"/>
        <w:spacing w:before="4"/>
        <w:rPr>
          <w:sz w:val="16"/>
        </w:rPr>
      </w:pPr>
    </w:p>
    <w:p>
      <w:pPr>
        <w:pStyle w:val="Heading3"/>
      </w:pPr>
      <w:bookmarkStart w:name="Duties under the Wireless Telegraphy Act" w:id="136"/>
      <w:bookmarkEnd w:id="136"/>
      <w:r>
        <w:rPr>
          <w:b w:val="0"/>
        </w:rPr>
      </w:r>
      <w:r>
        <w:rPr/>
        <w:t>Duties under the Wireless Telegraphy Act 2006</w:t>
      </w:r>
    </w:p>
    <w:p>
      <w:pPr>
        <w:pStyle w:val="BodyText"/>
        <w:tabs>
          <w:tab w:pos="970" w:val="left" w:leader="none"/>
        </w:tabs>
        <w:spacing w:line="276" w:lineRule="auto" w:before="240"/>
        <w:ind w:left="970" w:right="226" w:hanging="851"/>
      </w:pPr>
      <w:r>
        <w:rPr/>
        <w:t>A6.5</w:t>
        <w:tab/>
        <w:t>Additionally, in carrying out our spectrum functions we have a duty under section 3</w:t>
      </w:r>
      <w:r>
        <w:rPr>
          <w:spacing w:val="-32"/>
        </w:rPr>
        <w:t> </w:t>
      </w:r>
      <w:r>
        <w:rPr/>
        <w:t>of</w:t>
      </w:r>
      <w:r>
        <w:rPr>
          <w:spacing w:val="-3"/>
        </w:rPr>
        <w:t> </w:t>
      </w:r>
      <w:r>
        <w:rPr/>
        <w:t>the</w:t>
      </w:r>
      <w:r>
        <w:rPr>
          <w:w w:val="99"/>
        </w:rPr>
        <w:t> </w:t>
      </w:r>
      <w:r>
        <w:rPr/>
        <w:t>WT Act to have regard in particular to: (i) the extent to which the spectrum is available for use, or further use, for wireless telegraphy; (ii) the demand for use of that spectrum for wireless</w:t>
      </w:r>
      <w:r>
        <w:rPr>
          <w:spacing w:val="-4"/>
        </w:rPr>
        <w:t> </w:t>
      </w:r>
      <w:r>
        <w:rPr/>
        <w:t>telegraphy;</w:t>
      </w:r>
      <w:r>
        <w:rPr>
          <w:spacing w:val="-4"/>
        </w:rPr>
        <w:t> </w:t>
      </w:r>
      <w:r>
        <w:rPr/>
        <w:t>and</w:t>
      </w:r>
      <w:r>
        <w:rPr>
          <w:spacing w:val="-3"/>
        </w:rPr>
        <w:t> </w:t>
      </w:r>
      <w:r>
        <w:rPr/>
        <w:t>(iii)</w:t>
      </w:r>
      <w:r>
        <w:rPr>
          <w:spacing w:val="-3"/>
        </w:rPr>
        <w:t> </w:t>
      </w:r>
      <w:r>
        <w:rPr/>
        <w:t>the</w:t>
      </w:r>
      <w:r>
        <w:rPr>
          <w:spacing w:val="-3"/>
        </w:rPr>
        <w:t> </w:t>
      </w:r>
      <w:r>
        <w:rPr/>
        <w:t>demand</w:t>
      </w:r>
      <w:r>
        <w:rPr>
          <w:spacing w:val="-3"/>
        </w:rPr>
        <w:t> </w:t>
      </w:r>
      <w:r>
        <w:rPr/>
        <w:t>that</w:t>
      </w:r>
      <w:r>
        <w:rPr>
          <w:spacing w:val="-3"/>
        </w:rPr>
        <w:t> </w:t>
      </w:r>
      <w:r>
        <w:rPr/>
        <w:t>is</w:t>
      </w:r>
      <w:r>
        <w:rPr>
          <w:spacing w:val="-4"/>
        </w:rPr>
        <w:t> </w:t>
      </w:r>
      <w:r>
        <w:rPr/>
        <w:t>likely</w:t>
      </w:r>
      <w:r>
        <w:rPr>
          <w:spacing w:val="-3"/>
        </w:rPr>
        <w:t> </w:t>
      </w:r>
      <w:r>
        <w:rPr/>
        <w:t>to</w:t>
      </w:r>
      <w:r>
        <w:rPr>
          <w:spacing w:val="-3"/>
        </w:rPr>
        <w:t> </w:t>
      </w:r>
      <w:r>
        <w:rPr/>
        <w:t>arise</w:t>
      </w:r>
      <w:r>
        <w:rPr>
          <w:spacing w:val="-4"/>
        </w:rPr>
        <w:t> </w:t>
      </w:r>
      <w:r>
        <w:rPr/>
        <w:t>in</w:t>
      </w:r>
      <w:r>
        <w:rPr>
          <w:spacing w:val="-3"/>
        </w:rPr>
        <w:t> </w:t>
      </w:r>
      <w:r>
        <w:rPr/>
        <w:t>future</w:t>
      </w:r>
      <w:r>
        <w:rPr>
          <w:spacing w:val="-4"/>
        </w:rPr>
        <w:t> </w:t>
      </w:r>
      <w:r>
        <w:rPr/>
        <w:t>for</w:t>
      </w:r>
      <w:r>
        <w:rPr>
          <w:spacing w:val="-4"/>
        </w:rPr>
        <w:t> </w:t>
      </w:r>
      <w:r>
        <w:rPr/>
        <w:t>such</w:t>
      </w:r>
      <w:r>
        <w:rPr>
          <w:spacing w:val="-3"/>
        </w:rPr>
        <w:t> </w:t>
      </w:r>
      <w:r>
        <w:rPr/>
        <w:t>use.</w:t>
      </w:r>
    </w:p>
    <w:p>
      <w:pPr>
        <w:pStyle w:val="BodyText"/>
        <w:tabs>
          <w:tab w:pos="970" w:val="left" w:leader="none"/>
        </w:tabs>
        <w:spacing w:line="276" w:lineRule="auto" w:before="119"/>
        <w:ind w:left="970" w:right="223" w:hanging="851"/>
      </w:pPr>
      <w:r>
        <w:rPr/>
        <w:t>A6.6</w:t>
        <w:tab/>
        <w:t>We</w:t>
      </w:r>
      <w:r>
        <w:rPr>
          <w:spacing w:val="-4"/>
        </w:rPr>
        <w:t> </w:t>
      </w:r>
      <w:r>
        <w:rPr/>
        <w:t>also</w:t>
      </w:r>
      <w:r>
        <w:rPr>
          <w:spacing w:val="-3"/>
        </w:rPr>
        <w:t> </w:t>
      </w:r>
      <w:r>
        <w:rPr/>
        <w:t>have</w:t>
      </w:r>
      <w:r>
        <w:rPr>
          <w:spacing w:val="-3"/>
        </w:rPr>
        <w:t> </w:t>
      </w:r>
      <w:r>
        <w:rPr/>
        <w:t>a</w:t>
      </w:r>
      <w:r>
        <w:rPr>
          <w:spacing w:val="-4"/>
        </w:rPr>
        <w:t> </w:t>
      </w:r>
      <w:r>
        <w:rPr/>
        <w:t>duty</w:t>
      </w:r>
      <w:r>
        <w:rPr>
          <w:spacing w:val="-3"/>
        </w:rPr>
        <w:t> </w:t>
      </w:r>
      <w:r>
        <w:rPr/>
        <w:t>to</w:t>
      </w:r>
      <w:r>
        <w:rPr>
          <w:spacing w:val="-3"/>
        </w:rPr>
        <w:t> </w:t>
      </w:r>
      <w:r>
        <w:rPr/>
        <w:t>have</w:t>
      </w:r>
      <w:r>
        <w:rPr>
          <w:spacing w:val="-4"/>
        </w:rPr>
        <w:t> </w:t>
      </w:r>
      <w:r>
        <w:rPr/>
        <w:t>regard</w:t>
      </w:r>
      <w:r>
        <w:rPr>
          <w:spacing w:val="-3"/>
        </w:rPr>
        <w:t> </w:t>
      </w:r>
      <w:r>
        <w:rPr/>
        <w:t>to</w:t>
      </w:r>
      <w:r>
        <w:rPr>
          <w:spacing w:val="-2"/>
        </w:rPr>
        <w:t> </w:t>
      </w:r>
      <w:r>
        <w:rPr/>
        <w:t>the</w:t>
      </w:r>
      <w:r>
        <w:rPr>
          <w:spacing w:val="-4"/>
        </w:rPr>
        <w:t> </w:t>
      </w:r>
      <w:r>
        <w:rPr/>
        <w:t>desirability</w:t>
      </w:r>
      <w:r>
        <w:rPr>
          <w:spacing w:val="-3"/>
        </w:rPr>
        <w:t> </w:t>
      </w:r>
      <w:r>
        <w:rPr/>
        <w:t>of</w:t>
      </w:r>
      <w:r>
        <w:rPr>
          <w:spacing w:val="-4"/>
        </w:rPr>
        <w:t> </w:t>
      </w:r>
      <w:r>
        <w:rPr/>
        <w:t>promoting:</w:t>
      </w:r>
      <w:r>
        <w:rPr>
          <w:spacing w:val="-4"/>
        </w:rPr>
        <w:t> </w:t>
      </w:r>
      <w:r>
        <w:rPr/>
        <w:t>(i)</w:t>
      </w:r>
      <w:r>
        <w:rPr>
          <w:spacing w:val="-3"/>
        </w:rPr>
        <w:t> </w:t>
      </w:r>
      <w:r>
        <w:rPr/>
        <w:t>the</w:t>
      </w:r>
      <w:r>
        <w:rPr>
          <w:spacing w:val="-3"/>
        </w:rPr>
        <w:t> </w:t>
      </w:r>
      <w:r>
        <w:rPr/>
        <w:t>efficient</w:t>
      </w:r>
      <w:r>
        <w:rPr>
          <w:spacing w:val="-1"/>
          <w:w w:val="99"/>
        </w:rPr>
        <w:t> </w:t>
      </w:r>
      <w:r>
        <w:rPr/>
        <w:t>management and use of the spectrum for wireless telegraphy; (ii) the economic and other benefits that may arise from the use of wireless telegraphy; (iii) the development of innovative services; and (iv) competition in the provision of electronic communications services.</w:t>
      </w:r>
    </w:p>
    <w:p>
      <w:pPr>
        <w:spacing w:after="0" w:line="276" w:lineRule="auto"/>
        <w:sectPr>
          <w:pgSz w:w="11910" w:h="16840"/>
          <w:pgMar w:header="727" w:footer="1309" w:top="920" w:bottom="1500" w:left="1320" w:right="1340"/>
        </w:sectPr>
      </w:pPr>
    </w:p>
    <w:p>
      <w:pPr>
        <w:pStyle w:val="BodyText"/>
        <w:rPr>
          <w:sz w:val="20"/>
        </w:rPr>
      </w:pPr>
    </w:p>
    <w:p>
      <w:pPr>
        <w:pStyle w:val="BodyText"/>
        <w:rPr>
          <w:sz w:val="20"/>
        </w:rPr>
      </w:pPr>
    </w:p>
    <w:p>
      <w:pPr>
        <w:pStyle w:val="BodyText"/>
        <w:spacing w:before="11"/>
        <w:rPr>
          <w:sz w:val="18"/>
        </w:rPr>
      </w:pPr>
    </w:p>
    <w:p>
      <w:pPr>
        <w:pStyle w:val="BodyText"/>
        <w:tabs>
          <w:tab w:pos="970" w:val="left" w:leader="none"/>
        </w:tabs>
        <w:spacing w:line="276" w:lineRule="auto" w:before="56"/>
        <w:ind w:left="970" w:right="135" w:hanging="851"/>
      </w:pPr>
      <w:r>
        <w:rPr/>
        <w:t>A6.7</w:t>
        <w:tab/>
        <w:t>Under</w:t>
      </w:r>
      <w:r>
        <w:rPr>
          <w:spacing w:val="-3"/>
        </w:rPr>
        <w:t> </w:t>
      </w:r>
      <w:r>
        <w:rPr/>
        <w:t>section</w:t>
      </w:r>
      <w:r>
        <w:rPr>
          <w:spacing w:val="-4"/>
        </w:rPr>
        <w:t> </w:t>
      </w:r>
      <w:r>
        <w:rPr/>
        <w:t>8(1)</w:t>
      </w:r>
      <w:r>
        <w:rPr>
          <w:spacing w:val="-3"/>
        </w:rPr>
        <w:t> </w:t>
      </w:r>
      <w:r>
        <w:rPr/>
        <w:t>of</w:t>
      </w:r>
      <w:r>
        <w:rPr>
          <w:spacing w:val="-4"/>
        </w:rPr>
        <w:t> </w:t>
      </w:r>
      <w:r>
        <w:rPr/>
        <w:t>the</w:t>
      </w:r>
      <w:r>
        <w:rPr>
          <w:spacing w:val="-2"/>
        </w:rPr>
        <w:t> </w:t>
      </w:r>
      <w:r>
        <w:rPr/>
        <w:t>WT</w:t>
      </w:r>
      <w:r>
        <w:rPr>
          <w:spacing w:val="-4"/>
        </w:rPr>
        <w:t> </w:t>
      </w:r>
      <w:r>
        <w:rPr/>
        <w:t>Act,</w:t>
      </w:r>
      <w:r>
        <w:rPr>
          <w:spacing w:val="-4"/>
        </w:rPr>
        <w:t> </w:t>
      </w:r>
      <w:r>
        <w:rPr/>
        <w:t>it</w:t>
      </w:r>
      <w:r>
        <w:rPr>
          <w:spacing w:val="-4"/>
        </w:rPr>
        <w:t> </w:t>
      </w:r>
      <w:r>
        <w:rPr/>
        <w:t>is</w:t>
      </w:r>
      <w:r>
        <w:rPr>
          <w:spacing w:val="-2"/>
        </w:rPr>
        <w:t> </w:t>
      </w:r>
      <w:r>
        <w:rPr/>
        <w:t>unlawful</w:t>
      </w:r>
      <w:r>
        <w:rPr>
          <w:spacing w:val="-4"/>
        </w:rPr>
        <w:t> </w:t>
      </w:r>
      <w:r>
        <w:rPr/>
        <w:t>to</w:t>
      </w:r>
      <w:r>
        <w:rPr>
          <w:spacing w:val="-2"/>
        </w:rPr>
        <w:t> </w:t>
      </w:r>
      <w:r>
        <w:rPr/>
        <w:t>establish</w:t>
      </w:r>
      <w:r>
        <w:rPr>
          <w:spacing w:val="-4"/>
        </w:rPr>
        <w:t> </w:t>
      </w:r>
      <w:r>
        <w:rPr/>
        <w:t>or</w:t>
      </w:r>
      <w:r>
        <w:rPr>
          <w:spacing w:val="-4"/>
        </w:rPr>
        <w:t> </w:t>
      </w:r>
      <w:r>
        <w:rPr/>
        <w:t>use</w:t>
      </w:r>
      <w:r>
        <w:rPr>
          <w:spacing w:val="-3"/>
        </w:rPr>
        <w:t> </w:t>
      </w:r>
      <w:r>
        <w:rPr/>
        <w:t>a</w:t>
      </w:r>
      <w:r>
        <w:rPr>
          <w:spacing w:val="-4"/>
        </w:rPr>
        <w:t> </w:t>
      </w:r>
      <w:r>
        <w:rPr/>
        <w:t>wireless</w:t>
      </w:r>
      <w:r>
        <w:rPr>
          <w:spacing w:val="-4"/>
        </w:rPr>
        <w:t> </w:t>
      </w:r>
      <w:r>
        <w:rPr/>
        <w:t>telegraphy</w:t>
      </w:r>
      <w:r>
        <w:rPr>
          <w:spacing w:val="-1"/>
          <w:w w:val="99"/>
        </w:rPr>
        <w:t> </w:t>
      </w:r>
      <w:r>
        <w:rPr/>
        <w:t>station or install or use wireless telegraphy apparatus except under and in accordance with a wireless telegraphy licence granted under the WT</w:t>
      </w:r>
      <w:r>
        <w:rPr>
          <w:spacing w:val="-32"/>
        </w:rPr>
        <w:t> </w:t>
      </w:r>
      <w:r>
        <w:rPr/>
        <w:t>Act.</w:t>
      </w:r>
    </w:p>
    <w:p>
      <w:pPr>
        <w:pStyle w:val="BodyText"/>
        <w:tabs>
          <w:tab w:pos="970" w:val="left" w:leader="none"/>
        </w:tabs>
        <w:spacing w:line="276" w:lineRule="auto" w:before="120"/>
        <w:ind w:left="970" w:right="147" w:hanging="851"/>
      </w:pPr>
      <w:r>
        <w:rPr/>
        <w:t>A6.8</w:t>
        <w:tab/>
        <w:t>Under</w:t>
      </w:r>
      <w:r>
        <w:rPr>
          <w:spacing w:val="-3"/>
        </w:rPr>
        <w:t> </w:t>
      </w:r>
      <w:r>
        <w:rPr/>
        <w:t>sections</w:t>
      </w:r>
      <w:r>
        <w:rPr>
          <w:spacing w:val="-4"/>
        </w:rPr>
        <w:t> </w:t>
      </w:r>
      <w:r>
        <w:rPr/>
        <w:t>8(3)</w:t>
      </w:r>
      <w:r>
        <w:rPr>
          <w:spacing w:val="-3"/>
        </w:rPr>
        <w:t> </w:t>
      </w:r>
      <w:r>
        <w:rPr/>
        <w:t>–</w:t>
      </w:r>
      <w:r>
        <w:rPr>
          <w:spacing w:val="-4"/>
        </w:rPr>
        <w:t> </w:t>
      </w:r>
      <w:r>
        <w:rPr/>
        <w:t>8(3B)</w:t>
      </w:r>
      <w:r>
        <w:rPr>
          <w:spacing w:val="-3"/>
        </w:rPr>
        <w:t> </w:t>
      </w:r>
      <w:r>
        <w:rPr/>
        <w:t>of</w:t>
      </w:r>
      <w:r>
        <w:rPr>
          <w:spacing w:val="-4"/>
        </w:rPr>
        <w:t> </w:t>
      </w:r>
      <w:r>
        <w:rPr/>
        <w:t>the</w:t>
      </w:r>
      <w:r>
        <w:rPr>
          <w:spacing w:val="-3"/>
        </w:rPr>
        <w:t> </w:t>
      </w:r>
      <w:r>
        <w:rPr/>
        <w:t>WT</w:t>
      </w:r>
      <w:r>
        <w:rPr>
          <w:spacing w:val="-4"/>
        </w:rPr>
        <w:t> </w:t>
      </w:r>
      <w:r>
        <w:rPr/>
        <w:t>Act,</w:t>
      </w:r>
      <w:r>
        <w:rPr>
          <w:spacing w:val="-4"/>
        </w:rPr>
        <w:t> </w:t>
      </w:r>
      <w:r>
        <w:rPr/>
        <w:t>Ofcom</w:t>
      </w:r>
      <w:r>
        <w:rPr>
          <w:spacing w:val="-3"/>
        </w:rPr>
        <w:t> </w:t>
      </w:r>
      <w:r>
        <w:rPr/>
        <w:t>may</w:t>
      </w:r>
      <w:r>
        <w:rPr>
          <w:spacing w:val="-4"/>
        </w:rPr>
        <w:t> </w:t>
      </w:r>
      <w:r>
        <w:rPr/>
        <w:t>make</w:t>
      </w:r>
      <w:r>
        <w:rPr>
          <w:spacing w:val="-3"/>
        </w:rPr>
        <w:t> </w:t>
      </w:r>
      <w:r>
        <w:rPr/>
        <w:t>regulations</w:t>
      </w:r>
      <w:r>
        <w:rPr>
          <w:spacing w:val="-4"/>
        </w:rPr>
        <w:t> </w:t>
      </w:r>
      <w:r>
        <w:rPr/>
        <w:t>exempting</w:t>
      </w:r>
      <w:r>
        <w:rPr>
          <w:spacing w:val="-3"/>
        </w:rPr>
        <w:t> </w:t>
      </w:r>
      <w:r>
        <w:rPr/>
        <w:t>from</w:t>
      </w:r>
      <w:r>
        <w:rPr>
          <w:w w:val="99"/>
        </w:rPr>
        <w:t> </w:t>
      </w:r>
      <w:r>
        <w:rPr/>
        <w:t>the licensing requirements under section 8(1), the establishment, installation or use of wireless telegraphy stations or wireless telegraphy apparatus of such classes or description as may be specified in the regulations, either absolutely or subject to such terms, provisions and limitations as may be</w:t>
      </w:r>
      <w:r>
        <w:rPr>
          <w:spacing w:val="-19"/>
        </w:rPr>
        <w:t> </w:t>
      </w:r>
      <w:r>
        <w:rPr/>
        <w:t>specified.</w:t>
      </w:r>
    </w:p>
    <w:p>
      <w:pPr>
        <w:pStyle w:val="BodyText"/>
        <w:tabs>
          <w:tab w:pos="970" w:val="left" w:leader="none"/>
        </w:tabs>
        <w:spacing w:line="276" w:lineRule="auto" w:before="119"/>
        <w:ind w:left="970" w:right="441" w:hanging="851"/>
      </w:pPr>
      <w:r>
        <w:rPr/>
        <w:t>A6.9</w:t>
        <w:tab/>
        <w:t>Under section 8(4) of the WT Act, we must make regulations to exempt equipment</w:t>
      </w:r>
      <w:r>
        <w:rPr>
          <w:spacing w:val="-34"/>
        </w:rPr>
        <w:t> </w:t>
      </w:r>
      <w:r>
        <w:rPr/>
        <w:t>if</w:t>
      </w:r>
      <w:r>
        <w:rPr>
          <w:spacing w:val="-4"/>
        </w:rPr>
        <w:t> </w:t>
      </w:r>
      <w:r>
        <w:rPr/>
        <w:t>its</w:t>
      </w:r>
      <w:r>
        <w:rPr>
          <w:w w:val="99"/>
        </w:rPr>
        <w:t> </w:t>
      </w:r>
      <w:r>
        <w:rPr/>
        <w:t>installation or use is not likely</w:t>
      </w:r>
      <w:r>
        <w:rPr>
          <w:spacing w:val="-22"/>
        </w:rPr>
        <w:t> </w:t>
      </w:r>
      <w:r>
        <w:rPr/>
        <w:t>to:</w:t>
      </w:r>
    </w:p>
    <w:p>
      <w:pPr>
        <w:pStyle w:val="ListParagraph"/>
        <w:numPr>
          <w:ilvl w:val="0"/>
          <w:numId w:val="9"/>
        </w:numPr>
        <w:tabs>
          <w:tab w:pos="1311" w:val="left" w:leader="none"/>
        </w:tabs>
        <w:spacing w:line="240" w:lineRule="auto" w:before="119" w:after="0"/>
        <w:ind w:left="1310" w:right="0" w:hanging="340"/>
        <w:jc w:val="left"/>
        <w:rPr>
          <w:sz w:val="22"/>
        </w:rPr>
      </w:pPr>
      <w:r>
        <w:rPr>
          <w:sz w:val="22"/>
        </w:rPr>
        <w:t>involve undue interference with wireless</w:t>
      </w:r>
      <w:r>
        <w:rPr>
          <w:spacing w:val="-29"/>
          <w:sz w:val="22"/>
        </w:rPr>
        <w:t> </w:t>
      </w:r>
      <w:r>
        <w:rPr>
          <w:sz w:val="22"/>
        </w:rPr>
        <w:t>telegraphy;</w:t>
      </w:r>
    </w:p>
    <w:p>
      <w:pPr>
        <w:pStyle w:val="ListParagraph"/>
        <w:numPr>
          <w:ilvl w:val="0"/>
          <w:numId w:val="9"/>
        </w:numPr>
        <w:tabs>
          <w:tab w:pos="1311" w:val="left" w:leader="none"/>
        </w:tabs>
        <w:spacing w:line="240" w:lineRule="auto" w:before="160" w:after="0"/>
        <w:ind w:left="1310" w:right="0" w:hanging="341"/>
        <w:jc w:val="left"/>
        <w:rPr>
          <w:sz w:val="22"/>
        </w:rPr>
      </w:pPr>
      <w:r>
        <w:rPr>
          <w:sz w:val="22"/>
        </w:rPr>
        <w:t>have an adverse effect on technical quality of</w:t>
      </w:r>
      <w:r>
        <w:rPr>
          <w:spacing w:val="-28"/>
          <w:sz w:val="22"/>
        </w:rPr>
        <w:t> </w:t>
      </w:r>
      <w:r>
        <w:rPr>
          <w:sz w:val="22"/>
        </w:rPr>
        <w:t>service;</w:t>
      </w:r>
    </w:p>
    <w:p>
      <w:pPr>
        <w:pStyle w:val="ListParagraph"/>
        <w:numPr>
          <w:ilvl w:val="0"/>
          <w:numId w:val="9"/>
        </w:numPr>
        <w:tabs>
          <w:tab w:pos="1311" w:val="left" w:leader="none"/>
        </w:tabs>
        <w:spacing w:line="276" w:lineRule="auto" w:before="159" w:after="0"/>
        <w:ind w:left="1310" w:right="860" w:hanging="341"/>
        <w:jc w:val="left"/>
        <w:rPr>
          <w:sz w:val="22"/>
        </w:rPr>
      </w:pPr>
      <w:r>
        <w:rPr>
          <w:sz w:val="22"/>
        </w:rPr>
        <w:t>lead to inefficient use of the part of the electromagnetic spectrum available for wireless</w:t>
      </w:r>
      <w:r>
        <w:rPr>
          <w:spacing w:val="-11"/>
          <w:sz w:val="22"/>
        </w:rPr>
        <w:t> </w:t>
      </w:r>
      <w:r>
        <w:rPr>
          <w:sz w:val="22"/>
        </w:rPr>
        <w:t>telegraphy;</w:t>
      </w:r>
    </w:p>
    <w:p>
      <w:pPr>
        <w:pStyle w:val="ListParagraph"/>
        <w:numPr>
          <w:ilvl w:val="0"/>
          <w:numId w:val="9"/>
        </w:numPr>
        <w:tabs>
          <w:tab w:pos="1311" w:val="left" w:leader="none"/>
        </w:tabs>
        <w:spacing w:line="240" w:lineRule="auto" w:before="120" w:after="0"/>
        <w:ind w:left="1310" w:right="0" w:hanging="341"/>
        <w:jc w:val="left"/>
        <w:rPr>
          <w:sz w:val="22"/>
        </w:rPr>
      </w:pPr>
      <w:r>
        <w:rPr>
          <w:sz w:val="22"/>
        </w:rPr>
        <w:t>endanger safety of</w:t>
      </w:r>
      <w:r>
        <w:rPr>
          <w:spacing w:val="-17"/>
          <w:sz w:val="22"/>
        </w:rPr>
        <w:t> </w:t>
      </w:r>
      <w:r>
        <w:rPr>
          <w:sz w:val="22"/>
        </w:rPr>
        <w:t>life;</w:t>
      </w:r>
    </w:p>
    <w:p>
      <w:pPr>
        <w:pStyle w:val="ListParagraph"/>
        <w:numPr>
          <w:ilvl w:val="0"/>
          <w:numId w:val="9"/>
        </w:numPr>
        <w:tabs>
          <w:tab w:pos="1311" w:val="left" w:leader="none"/>
        </w:tabs>
        <w:spacing w:line="240" w:lineRule="auto" w:before="159" w:after="0"/>
        <w:ind w:left="1310" w:right="0" w:hanging="340"/>
        <w:jc w:val="left"/>
        <w:rPr>
          <w:sz w:val="22"/>
        </w:rPr>
      </w:pPr>
      <w:r>
        <w:rPr>
          <w:sz w:val="22"/>
        </w:rPr>
        <w:t>prejudice</w:t>
      </w:r>
      <w:r>
        <w:rPr>
          <w:spacing w:val="-4"/>
          <w:sz w:val="22"/>
        </w:rPr>
        <w:t> </w:t>
      </w:r>
      <w:r>
        <w:rPr>
          <w:sz w:val="22"/>
        </w:rPr>
        <w:t>the</w:t>
      </w:r>
      <w:r>
        <w:rPr>
          <w:spacing w:val="-4"/>
          <w:sz w:val="22"/>
        </w:rPr>
        <w:t> </w:t>
      </w:r>
      <w:r>
        <w:rPr>
          <w:sz w:val="22"/>
        </w:rPr>
        <w:t>promotion</w:t>
      </w:r>
      <w:r>
        <w:rPr>
          <w:spacing w:val="-5"/>
          <w:sz w:val="22"/>
        </w:rPr>
        <w:t> </w:t>
      </w:r>
      <w:r>
        <w:rPr>
          <w:sz w:val="22"/>
        </w:rPr>
        <w:t>of</w:t>
      </w:r>
      <w:r>
        <w:rPr>
          <w:spacing w:val="-5"/>
          <w:sz w:val="22"/>
        </w:rPr>
        <w:t> </w:t>
      </w:r>
      <w:r>
        <w:rPr>
          <w:sz w:val="22"/>
        </w:rPr>
        <w:t>social,</w:t>
      </w:r>
      <w:r>
        <w:rPr>
          <w:spacing w:val="-5"/>
          <w:sz w:val="22"/>
        </w:rPr>
        <w:t> </w:t>
      </w:r>
      <w:r>
        <w:rPr>
          <w:sz w:val="22"/>
        </w:rPr>
        <w:t>regional</w:t>
      </w:r>
      <w:r>
        <w:rPr>
          <w:spacing w:val="-5"/>
          <w:sz w:val="22"/>
        </w:rPr>
        <w:t> </w:t>
      </w:r>
      <w:r>
        <w:rPr>
          <w:sz w:val="22"/>
        </w:rPr>
        <w:t>or</w:t>
      </w:r>
      <w:r>
        <w:rPr>
          <w:spacing w:val="-5"/>
          <w:sz w:val="22"/>
        </w:rPr>
        <w:t> </w:t>
      </w:r>
      <w:r>
        <w:rPr>
          <w:sz w:val="22"/>
        </w:rPr>
        <w:t>territorial</w:t>
      </w:r>
      <w:r>
        <w:rPr>
          <w:spacing w:val="-5"/>
          <w:sz w:val="22"/>
        </w:rPr>
        <w:t> </w:t>
      </w:r>
      <w:r>
        <w:rPr>
          <w:sz w:val="22"/>
        </w:rPr>
        <w:t>cohesion;</w:t>
      </w:r>
      <w:r>
        <w:rPr>
          <w:spacing w:val="-4"/>
          <w:sz w:val="22"/>
        </w:rPr>
        <w:t> </w:t>
      </w:r>
      <w:r>
        <w:rPr>
          <w:sz w:val="22"/>
        </w:rPr>
        <w:t>or</w:t>
      </w:r>
    </w:p>
    <w:p>
      <w:pPr>
        <w:pStyle w:val="ListParagraph"/>
        <w:numPr>
          <w:ilvl w:val="0"/>
          <w:numId w:val="9"/>
        </w:numPr>
        <w:tabs>
          <w:tab w:pos="1311" w:val="left" w:leader="none"/>
          <w:tab w:pos="1312" w:val="left" w:leader="none"/>
        </w:tabs>
        <w:spacing w:line="240" w:lineRule="auto" w:before="159" w:after="0"/>
        <w:ind w:left="1311" w:right="0" w:hanging="341"/>
        <w:jc w:val="left"/>
        <w:rPr>
          <w:sz w:val="22"/>
        </w:rPr>
      </w:pPr>
      <w:r>
        <w:rPr>
          <w:sz w:val="22"/>
        </w:rPr>
        <w:t>prejudice the promotion of cultural and linguistic diversity and media</w:t>
      </w:r>
      <w:r>
        <w:rPr>
          <w:spacing w:val="-34"/>
          <w:sz w:val="22"/>
        </w:rPr>
        <w:t> </w:t>
      </w:r>
      <w:r>
        <w:rPr>
          <w:sz w:val="22"/>
        </w:rPr>
        <w:t>pluralism.</w:t>
      </w:r>
    </w:p>
    <w:p>
      <w:pPr>
        <w:pStyle w:val="BodyText"/>
        <w:tabs>
          <w:tab w:pos="970" w:val="left" w:leader="none"/>
        </w:tabs>
        <w:spacing w:line="276" w:lineRule="auto" w:before="160"/>
        <w:ind w:left="970" w:right="255" w:hanging="851"/>
      </w:pPr>
      <w:r>
        <w:rPr/>
        <w:t>A6.10</w:t>
        <w:tab/>
        <w:t>In</w:t>
      </w:r>
      <w:r>
        <w:rPr>
          <w:spacing w:val="-4"/>
        </w:rPr>
        <w:t> </w:t>
      </w:r>
      <w:r>
        <w:rPr/>
        <w:t>accordance</w:t>
      </w:r>
      <w:r>
        <w:rPr>
          <w:spacing w:val="-4"/>
        </w:rPr>
        <w:t> </w:t>
      </w:r>
      <w:r>
        <w:rPr/>
        <w:t>with</w:t>
      </w:r>
      <w:r>
        <w:rPr>
          <w:spacing w:val="-4"/>
        </w:rPr>
        <w:t> </w:t>
      </w:r>
      <w:r>
        <w:rPr/>
        <w:t>the</w:t>
      </w:r>
      <w:r>
        <w:rPr>
          <w:spacing w:val="-4"/>
        </w:rPr>
        <w:t> </w:t>
      </w:r>
      <w:r>
        <w:rPr/>
        <w:t>requirements</w:t>
      </w:r>
      <w:r>
        <w:rPr>
          <w:spacing w:val="-4"/>
        </w:rPr>
        <w:t> </w:t>
      </w:r>
      <w:r>
        <w:rPr/>
        <w:t>of</w:t>
      </w:r>
      <w:r>
        <w:rPr>
          <w:spacing w:val="-4"/>
        </w:rPr>
        <w:t> </w:t>
      </w:r>
      <w:r>
        <w:rPr/>
        <w:t>section</w:t>
      </w:r>
      <w:r>
        <w:rPr>
          <w:spacing w:val="-3"/>
        </w:rPr>
        <w:t> </w:t>
      </w:r>
      <w:r>
        <w:rPr/>
        <w:t>8(3B)</w:t>
      </w:r>
      <w:r>
        <w:rPr>
          <w:spacing w:val="-3"/>
        </w:rPr>
        <w:t> </w:t>
      </w:r>
      <w:r>
        <w:rPr/>
        <w:t>of</w:t>
      </w:r>
      <w:r>
        <w:rPr>
          <w:spacing w:val="-4"/>
        </w:rPr>
        <w:t> </w:t>
      </w:r>
      <w:r>
        <w:rPr/>
        <w:t>the</w:t>
      </w:r>
      <w:r>
        <w:rPr>
          <w:spacing w:val="-3"/>
        </w:rPr>
        <w:t> </w:t>
      </w:r>
      <w:r>
        <w:rPr/>
        <w:t>WT</w:t>
      </w:r>
      <w:r>
        <w:rPr>
          <w:spacing w:val="-4"/>
        </w:rPr>
        <w:t> </w:t>
      </w:r>
      <w:r>
        <w:rPr/>
        <w:t>Act,</w:t>
      </w:r>
      <w:r>
        <w:rPr>
          <w:spacing w:val="-2"/>
        </w:rPr>
        <w:t> </w:t>
      </w:r>
      <w:r>
        <w:rPr/>
        <w:t>the</w:t>
      </w:r>
      <w:r>
        <w:rPr>
          <w:spacing w:val="-3"/>
        </w:rPr>
        <w:t> </w:t>
      </w:r>
      <w:r>
        <w:rPr/>
        <w:t>terms,</w:t>
      </w:r>
      <w:r>
        <w:rPr>
          <w:spacing w:val="-2"/>
        </w:rPr>
        <w:t> </w:t>
      </w:r>
      <w:r>
        <w:rPr/>
        <w:t>provisions</w:t>
      </w:r>
      <w:r>
        <w:rPr>
          <w:w w:val="99"/>
        </w:rPr>
        <w:t> </w:t>
      </w:r>
      <w:r>
        <w:rPr/>
        <w:t>and limitations specified in the regulations must</w:t>
      </w:r>
      <w:r>
        <w:rPr>
          <w:spacing w:val="-25"/>
        </w:rPr>
        <w:t> </w:t>
      </w:r>
      <w:r>
        <w:rPr/>
        <w:t>be:</w:t>
      </w:r>
    </w:p>
    <w:p>
      <w:pPr>
        <w:pStyle w:val="ListParagraph"/>
        <w:numPr>
          <w:ilvl w:val="0"/>
          <w:numId w:val="10"/>
        </w:numPr>
        <w:tabs>
          <w:tab w:pos="1311" w:val="left" w:leader="none"/>
        </w:tabs>
        <w:spacing w:line="276" w:lineRule="auto" w:before="119" w:after="0"/>
        <w:ind w:left="1310" w:right="920" w:hanging="340"/>
        <w:jc w:val="left"/>
        <w:rPr>
          <w:sz w:val="22"/>
        </w:rPr>
      </w:pPr>
      <w:r>
        <w:rPr>
          <w:sz w:val="22"/>
        </w:rPr>
        <w:t>objectively justifiable in relation to the wireless telegraphy stations or wireless telegraphy apparatus to which they</w:t>
      </w:r>
      <w:r>
        <w:rPr>
          <w:spacing w:val="-23"/>
          <w:sz w:val="22"/>
        </w:rPr>
        <w:t> </w:t>
      </w:r>
      <w:r>
        <w:rPr>
          <w:sz w:val="22"/>
        </w:rPr>
        <w:t>relate;</w:t>
      </w:r>
    </w:p>
    <w:p>
      <w:pPr>
        <w:pStyle w:val="ListParagraph"/>
        <w:numPr>
          <w:ilvl w:val="0"/>
          <w:numId w:val="10"/>
        </w:numPr>
        <w:tabs>
          <w:tab w:pos="1311" w:val="left" w:leader="none"/>
        </w:tabs>
        <w:spacing w:line="276" w:lineRule="auto" w:before="119" w:after="0"/>
        <w:ind w:left="1310" w:right="509" w:hanging="340"/>
        <w:jc w:val="left"/>
        <w:rPr>
          <w:sz w:val="22"/>
        </w:rPr>
      </w:pPr>
      <w:r>
        <w:rPr>
          <w:sz w:val="22"/>
        </w:rPr>
        <w:t>not such as to discriminate unduly against particular persons or against a particular description of</w:t>
      </w:r>
      <w:r>
        <w:rPr>
          <w:spacing w:val="-13"/>
          <w:sz w:val="22"/>
        </w:rPr>
        <w:t> </w:t>
      </w:r>
      <w:r>
        <w:rPr>
          <w:sz w:val="22"/>
        </w:rPr>
        <w:t>persons;</w:t>
      </w:r>
    </w:p>
    <w:p>
      <w:pPr>
        <w:pStyle w:val="ListParagraph"/>
        <w:numPr>
          <w:ilvl w:val="0"/>
          <w:numId w:val="10"/>
        </w:numPr>
        <w:tabs>
          <w:tab w:pos="1311" w:val="left" w:leader="none"/>
        </w:tabs>
        <w:spacing w:line="240" w:lineRule="auto" w:before="119" w:after="0"/>
        <w:ind w:left="1310" w:right="0" w:hanging="340"/>
        <w:jc w:val="left"/>
        <w:rPr>
          <w:sz w:val="22"/>
        </w:rPr>
      </w:pPr>
      <w:r>
        <w:rPr>
          <w:sz w:val="22"/>
        </w:rPr>
        <w:t>proportionate to what they are intended to achieve;</w:t>
      </w:r>
      <w:r>
        <w:rPr>
          <w:spacing w:val="-23"/>
          <w:sz w:val="22"/>
        </w:rPr>
        <w:t> </w:t>
      </w:r>
      <w:r>
        <w:rPr>
          <w:sz w:val="22"/>
        </w:rPr>
        <w:t>and</w:t>
      </w:r>
    </w:p>
    <w:p>
      <w:pPr>
        <w:pStyle w:val="ListParagraph"/>
        <w:numPr>
          <w:ilvl w:val="0"/>
          <w:numId w:val="10"/>
        </w:numPr>
        <w:tabs>
          <w:tab w:pos="1311" w:val="left" w:leader="none"/>
        </w:tabs>
        <w:spacing w:line="240" w:lineRule="auto" w:before="160" w:after="0"/>
        <w:ind w:left="1310" w:right="0" w:hanging="340"/>
        <w:jc w:val="left"/>
        <w:rPr>
          <w:sz w:val="22"/>
        </w:rPr>
      </w:pPr>
      <w:r>
        <w:rPr>
          <w:sz w:val="22"/>
        </w:rPr>
        <w:t>transparent in relation to what they are intended to</w:t>
      </w:r>
      <w:r>
        <w:rPr>
          <w:spacing w:val="-31"/>
          <w:sz w:val="22"/>
        </w:rPr>
        <w:t> </w:t>
      </w:r>
      <w:r>
        <w:rPr>
          <w:sz w:val="22"/>
        </w:rPr>
        <w:t>achieve.</w:t>
      </w:r>
    </w:p>
    <w:p>
      <w:pPr>
        <w:pStyle w:val="BodyText"/>
        <w:tabs>
          <w:tab w:pos="970" w:val="left" w:leader="none"/>
        </w:tabs>
        <w:spacing w:line="276" w:lineRule="auto" w:before="161"/>
        <w:ind w:left="970" w:right="146" w:hanging="851"/>
      </w:pPr>
      <w:r>
        <w:rPr/>
        <w:t>A6.11</w:t>
        <w:tab/>
        <w:t>We</w:t>
      </w:r>
      <w:r>
        <w:rPr>
          <w:spacing w:val="-4"/>
        </w:rPr>
        <w:t> </w:t>
      </w:r>
      <w:r>
        <w:rPr/>
        <w:t>make</w:t>
      </w:r>
      <w:r>
        <w:rPr>
          <w:spacing w:val="-4"/>
        </w:rPr>
        <w:t> </w:t>
      </w:r>
      <w:r>
        <w:rPr/>
        <w:t>exemption</w:t>
      </w:r>
      <w:r>
        <w:rPr>
          <w:spacing w:val="-3"/>
        </w:rPr>
        <w:t> </w:t>
      </w:r>
      <w:r>
        <w:rPr/>
        <w:t>regulations</w:t>
      </w:r>
      <w:r>
        <w:rPr>
          <w:spacing w:val="-4"/>
        </w:rPr>
        <w:t> </w:t>
      </w:r>
      <w:r>
        <w:rPr/>
        <w:t>by</w:t>
      </w:r>
      <w:r>
        <w:rPr>
          <w:spacing w:val="-3"/>
        </w:rPr>
        <w:t> </w:t>
      </w:r>
      <w:r>
        <w:rPr/>
        <w:t>means</w:t>
      </w:r>
      <w:r>
        <w:rPr>
          <w:spacing w:val="-4"/>
        </w:rPr>
        <w:t> </w:t>
      </w:r>
      <w:r>
        <w:rPr/>
        <w:t>of</w:t>
      </w:r>
      <w:r>
        <w:rPr>
          <w:spacing w:val="-4"/>
        </w:rPr>
        <w:t> </w:t>
      </w:r>
      <w:r>
        <w:rPr/>
        <w:t>a</w:t>
      </w:r>
      <w:r>
        <w:rPr>
          <w:spacing w:val="-4"/>
        </w:rPr>
        <w:t> </w:t>
      </w:r>
      <w:r>
        <w:rPr/>
        <w:t>statutory</w:t>
      </w:r>
      <w:r>
        <w:rPr>
          <w:spacing w:val="-4"/>
        </w:rPr>
        <w:t> </w:t>
      </w:r>
      <w:r>
        <w:rPr/>
        <w:t>instrument.</w:t>
      </w:r>
      <w:r>
        <w:rPr>
          <w:spacing w:val="-4"/>
        </w:rPr>
        <w:t> </w:t>
      </w:r>
      <w:r>
        <w:rPr/>
        <w:t>Before</w:t>
      </w:r>
      <w:r>
        <w:rPr>
          <w:spacing w:val="-3"/>
        </w:rPr>
        <w:t> </w:t>
      </w:r>
      <w:r>
        <w:rPr/>
        <w:t>making</w:t>
      </w:r>
      <w:r>
        <w:rPr>
          <w:spacing w:val="-4"/>
        </w:rPr>
        <w:t> </w:t>
      </w:r>
      <w:r>
        <w:rPr/>
        <w:t>any</w:t>
      </w:r>
      <w:r>
        <w:rPr>
          <w:w w:val="99"/>
        </w:rPr>
        <w:t> </w:t>
      </w:r>
      <w:r>
        <w:rPr/>
        <w:t>such regulations, we are required by section 122(4) of the WT Act to give notice of our proposal to do so. Under section 122(5), such notice must state that we propose to make the regulations in question, set out their general effects, specify an address from which a copy of the proposed regulations or order may be obtained, and specify a time period of at least one month during which any representations with respect to the proposal must be made to</w:t>
      </w:r>
      <w:r>
        <w:rPr>
          <w:spacing w:val="-6"/>
        </w:rPr>
        <w:t> </w:t>
      </w:r>
      <w:r>
        <w:rPr/>
        <w:t>us.</w:t>
      </w:r>
    </w:p>
    <w:p>
      <w:pPr>
        <w:pStyle w:val="BodyText"/>
        <w:tabs>
          <w:tab w:pos="969" w:val="left" w:leader="none"/>
        </w:tabs>
        <w:spacing w:line="276" w:lineRule="auto" w:before="119"/>
        <w:ind w:left="969" w:right="350" w:hanging="851"/>
      </w:pPr>
      <w:r>
        <w:rPr/>
        <w:t>A6.12</w:t>
        <w:tab/>
        <w:t>We</w:t>
      </w:r>
      <w:r>
        <w:rPr>
          <w:spacing w:val="-4"/>
        </w:rPr>
        <w:t> </w:t>
      </w:r>
      <w:r>
        <w:rPr/>
        <w:t>have</w:t>
      </w:r>
      <w:r>
        <w:rPr>
          <w:spacing w:val="-4"/>
        </w:rPr>
        <w:t> </w:t>
      </w:r>
      <w:r>
        <w:rPr/>
        <w:t>formulated</w:t>
      </w:r>
      <w:r>
        <w:rPr>
          <w:spacing w:val="-4"/>
        </w:rPr>
        <w:t> </w:t>
      </w:r>
      <w:r>
        <w:rPr/>
        <w:t>our</w:t>
      </w:r>
      <w:r>
        <w:rPr>
          <w:spacing w:val="-3"/>
        </w:rPr>
        <w:t> </w:t>
      </w:r>
      <w:r>
        <w:rPr/>
        <w:t>proposals</w:t>
      </w:r>
      <w:r>
        <w:rPr>
          <w:spacing w:val="-4"/>
        </w:rPr>
        <w:t> </w:t>
      </w:r>
      <w:r>
        <w:rPr/>
        <w:t>by</w:t>
      </w:r>
      <w:r>
        <w:rPr>
          <w:spacing w:val="-4"/>
        </w:rPr>
        <w:t> </w:t>
      </w:r>
      <w:r>
        <w:rPr/>
        <w:t>reference</w:t>
      </w:r>
      <w:r>
        <w:rPr>
          <w:spacing w:val="-3"/>
        </w:rPr>
        <w:t> </w:t>
      </w:r>
      <w:r>
        <w:rPr/>
        <w:t>to</w:t>
      </w:r>
      <w:r>
        <w:rPr>
          <w:spacing w:val="-2"/>
        </w:rPr>
        <w:t> </w:t>
      </w:r>
      <w:r>
        <w:rPr/>
        <w:t>our</w:t>
      </w:r>
      <w:r>
        <w:rPr>
          <w:spacing w:val="-4"/>
        </w:rPr>
        <w:t> </w:t>
      </w:r>
      <w:r>
        <w:rPr/>
        <w:t>statutory</w:t>
      </w:r>
      <w:r>
        <w:rPr>
          <w:spacing w:val="-3"/>
        </w:rPr>
        <w:t> </w:t>
      </w:r>
      <w:r>
        <w:rPr/>
        <w:t>duties.</w:t>
      </w:r>
      <w:r>
        <w:rPr>
          <w:spacing w:val="-3"/>
        </w:rPr>
        <w:t> </w:t>
      </w:r>
      <w:r>
        <w:rPr/>
        <w:t>For</w:t>
      </w:r>
      <w:r>
        <w:rPr>
          <w:spacing w:val="-4"/>
        </w:rPr>
        <w:t> </w:t>
      </w:r>
      <w:r>
        <w:rPr/>
        <w:t>the</w:t>
      </w:r>
      <w:r>
        <w:rPr>
          <w:spacing w:val="-4"/>
        </w:rPr>
        <w:t> </w:t>
      </w:r>
      <w:r>
        <w:rPr/>
        <w:t>reasons</w:t>
      </w:r>
      <w:r>
        <w:rPr>
          <w:w w:val="99"/>
        </w:rPr>
        <w:t> </w:t>
      </w:r>
      <w:r>
        <w:rPr/>
        <w:t>set out in this Notice, our provisional assessment is that they are consistent with those duties and the terms, provisions and limitations would meet the requirements of section 8(4) of the WT</w:t>
      </w:r>
      <w:r>
        <w:rPr>
          <w:spacing w:val="-8"/>
        </w:rPr>
        <w:t> </w:t>
      </w:r>
      <w:r>
        <w:rPr/>
        <w:t>Act.</w:t>
      </w:r>
    </w:p>
    <w:p>
      <w:pPr>
        <w:pStyle w:val="BodyText"/>
        <w:tabs>
          <w:tab w:pos="969" w:val="left" w:leader="none"/>
        </w:tabs>
        <w:spacing w:before="120"/>
        <w:ind w:left="119"/>
      </w:pPr>
      <w:r>
        <w:rPr/>
        <w:t>A6.13</w:t>
        <w:tab/>
        <w:t>In our view, the proposals set out in this document</w:t>
      </w:r>
      <w:r>
        <w:rPr>
          <w:spacing w:val="-23"/>
        </w:rPr>
        <w:t> </w:t>
      </w:r>
      <w:r>
        <w:rPr/>
        <w:t>are:</w:t>
      </w:r>
    </w:p>
    <w:p>
      <w:pPr>
        <w:spacing w:after="0"/>
        <w:sectPr>
          <w:footerReference w:type="default" r:id="rId59"/>
          <w:pgSz w:w="11910" w:h="16840"/>
          <w:pgMar w:footer="1321" w:header="727" w:top="920" w:bottom="1520" w:left="1320" w:right="1340"/>
        </w:sectPr>
      </w:pPr>
    </w:p>
    <w:p>
      <w:pPr>
        <w:pStyle w:val="BodyText"/>
        <w:rPr>
          <w:sz w:val="20"/>
        </w:rPr>
      </w:pPr>
    </w:p>
    <w:p>
      <w:pPr>
        <w:pStyle w:val="BodyText"/>
        <w:rPr>
          <w:sz w:val="20"/>
        </w:rPr>
      </w:pPr>
    </w:p>
    <w:p>
      <w:pPr>
        <w:pStyle w:val="BodyText"/>
        <w:spacing w:before="11"/>
        <w:rPr>
          <w:sz w:val="15"/>
        </w:rPr>
      </w:pPr>
    </w:p>
    <w:p>
      <w:pPr>
        <w:pStyle w:val="ListParagraph"/>
        <w:numPr>
          <w:ilvl w:val="0"/>
          <w:numId w:val="11"/>
        </w:numPr>
        <w:tabs>
          <w:tab w:pos="1291" w:val="left" w:leader="none"/>
          <w:tab w:pos="1292" w:val="left" w:leader="none"/>
        </w:tabs>
        <w:spacing w:line="276" w:lineRule="auto" w:before="92" w:after="0"/>
        <w:ind w:left="1291" w:right="511" w:hanging="341"/>
        <w:jc w:val="left"/>
        <w:rPr>
          <w:sz w:val="22"/>
        </w:rPr>
      </w:pPr>
      <w:r>
        <w:rPr>
          <w:b/>
          <w:sz w:val="22"/>
        </w:rPr>
        <w:t>objectively justified </w:t>
      </w:r>
      <w:r>
        <w:rPr>
          <w:sz w:val="22"/>
        </w:rPr>
        <w:t>in that they address the risks of undue interference that might otherwise arise from the use of</w:t>
      </w:r>
      <w:r>
        <w:rPr>
          <w:spacing w:val="-17"/>
          <w:sz w:val="22"/>
        </w:rPr>
        <w:t> </w:t>
      </w:r>
      <w:r>
        <w:rPr>
          <w:sz w:val="22"/>
        </w:rPr>
        <w:t>SRD;</w:t>
      </w:r>
    </w:p>
    <w:p>
      <w:pPr>
        <w:pStyle w:val="ListParagraph"/>
        <w:numPr>
          <w:ilvl w:val="0"/>
          <w:numId w:val="11"/>
        </w:numPr>
        <w:tabs>
          <w:tab w:pos="1291" w:val="left" w:leader="none"/>
          <w:tab w:pos="1292" w:val="left" w:leader="none"/>
        </w:tabs>
        <w:spacing w:line="276" w:lineRule="auto" w:before="0" w:after="0"/>
        <w:ind w:left="1291" w:right="154" w:hanging="341"/>
        <w:jc w:val="left"/>
        <w:rPr>
          <w:sz w:val="22"/>
        </w:rPr>
      </w:pPr>
      <w:r>
        <w:rPr>
          <w:b/>
          <w:sz w:val="22"/>
        </w:rPr>
        <w:t>not unduly discriminatory </w:t>
      </w:r>
      <w:r>
        <w:rPr>
          <w:sz w:val="22"/>
        </w:rPr>
        <w:t>against particular persons or against a particular description of persons in that they would apply to all users of relevant</w:t>
      </w:r>
      <w:r>
        <w:rPr>
          <w:spacing w:val="-31"/>
          <w:sz w:val="22"/>
        </w:rPr>
        <w:t> </w:t>
      </w:r>
      <w:r>
        <w:rPr>
          <w:sz w:val="22"/>
        </w:rPr>
        <w:t>SRDs;</w:t>
      </w:r>
    </w:p>
    <w:p>
      <w:pPr>
        <w:pStyle w:val="ListParagraph"/>
        <w:numPr>
          <w:ilvl w:val="0"/>
          <w:numId w:val="11"/>
        </w:numPr>
        <w:tabs>
          <w:tab w:pos="1291" w:val="left" w:leader="none"/>
          <w:tab w:pos="1292" w:val="left" w:leader="none"/>
        </w:tabs>
        <w:spacing w:line="276" w:lineRule="auto" w:before="0" w:after="0"/>
        <w:ind w:left="1291" w:right="330" w:hanging="341"/>
        <w:jc w:val="left"/>
        <w:rPr>
          <w:sz w:val="22"/>
        </w:rPr>
      </w:pPr>
      <w:r>
        <w:rPr>
          <w:b/>
          <w:sz w:val="22"/>
        </w:rPr>
        <w:t>proportionate </w:t>
      </w:r>
      <w:r>
        <w:rPr>
          <w:sz w:val="22"/>
        </w:rPr>
        <w:t>to what they are intended to achieve, in that they would be necessary to ensure that use of the relevant equipment would not be likely to have relevant adverse effects;</w:t>
      </w:r>
      <w:r>
        <w:rPr>
          <w:spacing w:val="-13"/>
          <w:sz w:val="22"/>
        </w:rPr>
        <w:t> </w:t>
      </w:r>
      <w:r>
        <w:rPr>
          <w:sz w:val="22"/>
        </w:rPr>
        <w:t>and</w:t>
      </w:r>
    </w:p>
    <w:p>
      <w:pPr>
        <w:pStyle w:val="ListParagraph"/>
        <w:numPr>
          <w:ilvl w:val="0"/>
          <w:numId w:val="11"/>
        </w:numPr>
        <w:tabs>
          <w:tab w:pos="1291" w:val="left" w:leader="none"/>
          <w:tab w:pos="1292" w:val="left" w:leader="none"/>
        </w:tabs>
        <w:spacing w:line="276" w:lineRule="auto" w:before="0" w:after="0"/>
        <w:ind w:left="1291" w:right="127" w:hanging="341"/>
        <w:jc w:val="left"/>
        <w:rPr>
          <w:sz w:val="22"/>
        </w:rPr>
      </w:pPr>
      <w:r>
        <w:rPr>
          <w:b/>
          <w:sz w:val="22"/>
        </w:rPr>
        <w:t>transparent </w:t>
      </w:r>
      <w:r>
        <w:rPr>
          <w:sz w:val="22"/>
        </w:rPr>
        <w:t>in relation to what they are intended to achieve, in that they are described and explained in this</w:t>
      </w:r>
      <w:r>
        <w:rPr>
          <w:spacing w:val="-14"/>
          <w:sz w:val="22"/>
        </w:rPr>
        <w:t> </w:t>
      </w:r>
      <w:r>
        <w:rPr>
          <w:sz w:val="22"/>
        </w:rPr>
        <w:t>Notice.</w:t>
      </w:r>
    </w:p>
    <w:p>
      <w:pPr>
        <w:spacing w:after="0" w:line="276" w:lineRule="auto"/>
        <w:jc w:val="left"/>
        <w:rPr>
          <w:sz w:val="22"/>
        </w:rPr>
        <w:sectPr>
          <w:footerReference w:type="default" r:id="rId60"/>
          <w:pgSz w:w="11910" w:h="16840"/>
          <w:pgMar w:footer="1316" w:header="727" w:top="920" w:bottom="1500" w:left="1340" w:right="1340"/>
          <w:pgNumType w:start="41"/>
        </w:sectPr>
      </w:pPr>
    </w:p>
    <w:p>
      <w:pPr>
        <w:pStyle w:val="BodyText"/>
        <w:rPr>
          <w:sz w:val="20"/>
        </w:rPr>
      </w:pPr>
    </w:p>
    <w:p>
      <w:pPr>
        <w:pStyle w:val="BodyText"/>
        <w:rPr>
          <w:sz w:val="20"/>
        </w:rPr>
      </w:pPr>
    </w:p>
    <w:p>
      <w:pPr>
        <w:pStyle w:val="BodyText"/>
        <w:spacing w:before="2"/>
        <w:rPr>
          <w:sz w:val="23"/>
        </w:rPr>
      </w:pPr>
    </w:p>
    <w:p>
      <w:pPr>
        <w:pStyle w:val="Heading1"/>
        <w:ind w:left="97" w:right="5876"/>
        <w:jc w:val="center"/>
      </w:pPr>
      <w:bookmarkStart w:name="A7. Draft licence" w:id="137"/>
      <w:bookmarkEnd w:id="137"/>
      <w:r>
        <w:rPr/>
      </w:r>
      <w:bookmarkStart w:name="_bookmark49" w:id="138"/>
      <w:bookmarkEnd w:id="138"/>
      <w:r>
        <w:rPr/>
      </w:r>
      <w:r>
        <w:rPr>
          <w:color w:val="CC0044"/>
        </w:rPr>
        <w:t>A7. Draft licence</w:t>
      </w:r>
    </w:p>
    <w:p>
      <w:pPr>
        <w:pStyle w:val="Heading3"/>
        <w:spacing w:before="240"/>
        <w:ind w:left="820"/>
        <w:rPr>
          <w:rFonts w:ascii="Arial"/>
        </w:rPr>
      </w:pPr>
      <w:r>
        <w:rPr>
          <w:rFonts w:ascii="Arial"/>
          <w:color w:val="960031"/>
        </w:rPr>
        <w:t>WIRELESS TELEGRAPHY ACT 2006</w:t>
      </w:r>
    </w:p>
    <w:p>
      <w:pPr>
        <w:spacing w:line="259" w:lineRule="auto" w:before="89"/>
        <w:ind w:left="820" w:right="699" w:firstLine="0"/>
        <w:jc w:val="left"/>
        <w:rPr>
          <w:rFonts w:ascii="Arial"/>
          <w:b/>
          <w:sz w:val="40"/>
        </w:rPr>
      </w:pPr>
      <w:r>
        <w:rPr>
          <w:rFonts w:ascii="Arial"/>
          <w:b/>
          <w:color w:val="960031"/>
          <w:sz w:val="40"/>
        </w:rPr>
        <w:t>Shared Access Low Power 6 GHz Indoor Licence</w:t>
      </w:r>
    </w:p>
    <w:p>
      <w:pPr>
        <w:pStyle w:val="Heading5"/>
        <w:spacing w:before="383"/>
        <w:ind w:left="820"/>
      </w:pPr>
      <w:r>
        <w:rPr/>
        <w:t>Licensee Details and Validity</w:t>
      </w:r>
    </w:p>
    <w:p>
      <w:pPr>
        <w:pStyle w:val="BodyText"/>
        <w:tabs>
          <w:tab w:pos="3480" w:val="left" w:leader="none"/>
          <w:tab w:pos="3700" w:val="left" w:leader="none"/>
          <w:tab w:pos="4419" w:val="left" w:leader="none"/>
        </w:tabs>
        <w:spacing w:line="278" w:lineRule="auto" w:before="68"/>
        <w:ind w:left="820" w:right="3213"/>
        <w:jc w:val="both"/>
      </w:pPr>
      <w:r>
        <w:rPr/>
        <w:t>Sector/Class/Product</w:t>
        <w:tab/>
        <w:tab/>
        <w:t>Shared Access</w:t>
      </w:r>
      <w:r>
        <w:rPr>
          <w:spacing w:val="-8"/>
        </w:rPr>
        <w:t> </w:t>
      </w:r>
      <w:r>
        <w:rPr/>
        <w:t>Low</w:t>
      </w:r>
      <w:r>
        <w:rPr>
          <w:spacing w:val="-4"/>
        </w:rPr>
        <w:t> </w:t>
      </w:r>
      <w:r>
        <w:rPr/>
        <w:t>Power</w:t>
      </w:r>
      <w:r>
        <w:rPr>
          <w:w w:val="99"/>
        </w:rPr>
        <w:t> </w:t>
      </w:r>
      <w:r>
        <w:rPr/>
        <w:t>Licence</w:t>
      </w:r>
      <w:r>
        <w:rPr>
          <w:spacing w:val="-3"/>
        </w:rPr>
        <w:t> </w:t>
      </w:r>
      <w:r>
        <w:rPr/>
        <w:t>number</w:t>
        <w:tab/>
        <w:tab/>
        <w:tab/>
        <w:t>[Licence</w:t>
      </w:r>
      <w:r>
        <w:rPr>
          <w:spacing w:val="-9"/>
        </w:rPr>
        <w:t> </w:t>
      </w:r>
      <w:r>
        <w:rPr/>
        <w:t>number]</w:t>
      </w:r>
      <w:r>
        <w:rPr>
          <w:w w:val="99"/>
        </w:rPr>
        <w:t> </w:t>
      </w:r>
      <w:r>
        <w:rPr/>
        <w:t>Licensee</w:t>
        <w:tab/>
        <w:t>[Licensee</w:t>
      </w:r>
      <w:r>
        <w:rPr>
          <w:spacing w:val="-10"/>
        </w:rPr>
        <w:t> </w:t>
      </w:r>
      <w:r>
        <w:rPr/>
        <w:t>name]</w:t>
      </w:r>
    </w:p>
    <w:p>
      <w:pPr>
        <w:pStyle w:val="BodyText"/>
        <w:spacing w:before="116"/>
        <w:ind w:left="820"/>
      </w:pPr>
      <w:r>
        <w:rPr/>
        <w:t>Company Registration</w:t>
      </w:r>
    </w:p>
    <w:p>
      <w:pPr>
        <w:pStyle w:val="BodyText"/>
        <w:tabs>
          <w:tab w:pos="4419" w:val="left" w:leader="none"/>
        </w:tabs>
        <w:spacing w:line="384" w:lineRule="auto" w:before="38"/>
        <w:ind w:left="819" w:right="2558"/>
      </w:pPr>
      <w:r>
        <w:rPr/>
        <w:t>Licensee</w:t>
      </w:r>
      <w:r>
        <w:rPr>
          <w:spacing w:val="-3"/>
        </w:rPr>
        <w:t> </w:t>
      </w:r>
      <w:r>
        <w:rPr/>
        <w:t>address</w:t>
        <w:tab/>
        <w:t>[Licensee</w:t>
      </w:r>
      <w:r>
        <w:rPr>
          <w:spacing w:val="-7"/>
        </w:rPr>
        <w:t> </w:t>
      </w:r>
      <w:r>
        <w:rPr/>
        <w:t>address</w:t>
      </w:r>
      <w:r>
        <w:rPr>
          <w:spacing w:val="-7"/>
        </w:rPr>
        <w:t> </w:t>
      </w:r>
      <w:r>
        <w:rPr/>
        <w:t>line(s)]</w:t>
      </w:r>
      <w:r>
        <w:rPr>
          <w:w w:val="99"/>
        </w:rPr>
        <w:t> </w:t>
      </w:r>
      <w:r>
        <w:rPr/>
        <w:t>Email</w:t>
      </w:r>
    </w:p>
    <w:p>
      <w:pPr>
        <w:pStyle w:val="BodyText"/>
        <w:tabs>
          <w:tab w:pos="3699" w:val="left" w:leader="none"/>
        </w:tabs>
        <w:spacing w:line="267" w:lineRule="exact"/>
        <w:ind w:left="809"/>
      </w:pPr>
      <w:r>
        <w:rPr/>
        <w:t>Date</w:t>
      </w:r>
      <w:r>
        <w:rPr>
          <w:spacing w:val="-3"/>
        </w:rPr>
        <w:t> </w:t>
      </w:r>
      <w:r>
        <w:rPr/>
        <w:t>of</w:t>
      </w:r>
      <w:r>
        <w:rPr>
          <w:spacing w:val="-3"/>
        </w:rPr>
        <w:t> </w:t>
      </w:r>
      <w:r>
        <w:rPr/>
        <w:t>Issue</w:t>
        <w:tab/>
        <w:t>[Date licence first</w:t>
      </w:r>
      <w:r>
        <w:rPr>
          <w:spacing w:val="-16"/>
        </w:rPr>
        <w:t> </w:t>
      </w:r>
      <w:r>
        <w:rPr/>
        <w:t>issued]</w:t>
      </w:r>
    </w:p>
    <w:p>
      <w:pPr>
        <w:pStyle w:val="BodyText"/>
        <w:tabs>
          <w:tab w:pos="3700" w:val="left" w:leader="none"/>
          <w:tab w:pos="4420" w:val="left" w:leader="none"/>
        </w:tabs>
        <w:spacing w:line="309" w:lineRule="auto" w:before="43"/>
        <w:ind w:left="809" w:right="3796" w:firstLine="10"/>
      </w:pPr>
      <w:r>
        <w:rPr/>
        <w:t>Valid</w:t>
      </w:r>
      <w:r>
        <w:rPr>
          <w:spacing w:val="-2"/>
        </w:rPr>
        <w:t> </w:t>
      </w:r>
      <w:r>
        <w:rPr/>
        <w:t>from</w:t>
        <w:tab/>
        <w:t>[Licence</w:t>
      </w:r>
      <w:r>
        <w:rPr>
          <w:spacing w:val="-6"/>
        </w:rPr>
        <w:t> </w:t>
      </w:r>
      <w:r>
        <w:rPr/>
        <w:t>valid</w:t>
      </w:r>
      <w:r>
        <w:rPr>
          <w:spacing w:val="-6"/>
        </w:rPr>
        <w:t> </w:t>
      </w:r>
      <w:r>
        <w:rPr/>
        <w:t>date]</w:t>
      </w:r>
      <w:r>
        <w:rPr>
          <w:w w:val="99"/>
        </w:rPr>
        <w:t> </w:t>
      </w:r>
      <w:r>
        <w:rPr/>
        <w:t>Payment</w:t>
      </w:r>
      <w:r>
        <w:rPr>
          <w:spacing w:val="-3"/>
        </w:rPr>
        <w:t> </w:t>
      </w:r>
      <w:r>
        <w:rPr/>
        <w:t>Interval</w:t>
        <w:tab/>
        <w:tab/>
        <w:t>1</w:t>
      </w:r>
      <w:r>
        <w:rPr>
          <w:spacing w:val="-3"/>
        </w:rPr>
        <w:t> </w:t>
      </w:r>
      <w:r>
        <w:rPr/>
        <w:t>year</w:t>
      </w:r>
    </w:p>
    <w:p>
      <w:pPr>
        <w:pStyle w:val="BodyText"/>
        <w:spacing w:before="7"/>
      </w:pPr>
    </w:p>
    <w:p>
      <w:pPr>
        <w:pStyle w:val="ListParagraph"/>
        <w:numPr>
          <w:ilvl w:val="0"/>
          <w:numId w:val="12"/>
        </w:numPr>
        <w:tabs>
          <w:tab w:pos="1181" w:val="left" w:leader="none"/>
        </w:tabs>
        <w:spacing w:line="240" w:lineRule="auto" w:before="1" w:after="0"/>
        <w:ind w:left="1180" w:right="313" w:hanging="360"/>
        <w:jc w:val="left"/>
        <w:rPr>
          <w:rFonts w:ascii="Arial" w:hAnsi="Arial"/>
          <w:sz w:val="22"/>
        </w:rPr>
      </w:pPr>
      <w:r>
        <w:rPr>
          <w:rFonts w:ascii="Arial" w:hAnsi="Arial"/>
          <w:sz w:val="22"/>
        </w:rPr>
        <w:t>The Office of Communications (Ofcom) grants this wireless telegraphy licence (</w:t>
      </w:r>
      <w:r>
        <w:rPr>
          <w:sz w:val="22"/>
        </w:rPr>
        <w:t>“</w:t>
      </w:r>
      <w:r>
        <w:rPr>
          <w:rFonts w:ascii="Arial" w:hAnsi="Arial"/>
          <w:sz w:val="22"/>
        </w:rPr>
        <w:t>the Licence</w:t>
      </w:r>
      <w:r>
        <w:rPr>
          <w:sz w:val="22"/>
        </w:rPr>
        <w:t>”</w:t>
      </w:r>
      <w:r>
        <w:rPr>
          <w:rFonts w:ascii="Arial" w:hAnsi="Arial"/>
          <w:sz w:val="22"/>
        </w:rPr>
        <w:t>) to </w:t>
      </w:r>
      <w:r>
        <w:rPr>
          <w:rFonts w:ascii="Arial" w:hAnsi="Arial"/>
          <w:b/>
          <w:sz w:val="22"/>
        </w:rPr>
        <w:t>&lt;Licensee name&gt; </w:t>
      </w:r>
      <w:r>
        <w:rPr>
          <w:rFonts w:ascii="Arial" w:hAnsi="Arial"/>
          <w:sz w:val="22"/>
        </w:rPr>
        <w:t>to establish, install and use wireless telegraphy stations and/or wireless telegraphy apparatus as described in the schedules to this Licence (together "the Radio Equipment") subject to the terms set out</w:t>
      </w:r>
      <w:r>
        <w:rPr>
          <w:rFonts w:ascii="Arial" w:hAnsi="Arial"/>
          <w:spacing w:val="-5"/>
          <w:sz w:val="22"/>
        </w:rPr>
        <w:t> </w:t>
      </w:r>
      <w:r>
        <w:rPr>
          <w:rFonts w:ascii="Arial" w:hAnsi="Arial"/>
          <w:sz w:val="22"/>
        </w:rPr>
        <w:t>below.</w:t>
      </w:r>
    </w:p>
    <w:p>
      <w:pPr>
        <w:pStyle w:val="BodyText"/>
        <w:spacing w:before="9"/>
        <w:rPr>
          <w:rFonts w:ascii="Arial"/>
          <w:sz w:val="35"/>
        </w:rPr>
      </w:pPr>
    </w:p>
    <w:p>
      <w:pPr>
        <w:spacing w:before="0"/>
        <w:ind w:left="820" w:right="0" w:firstLine="0"/>
        <w:jc w:val="left"/>
        <w:rPr>
          <w:rFonts w:ascii="Arial"/>
          <w:b/>
          <w:sz w:val="24"/>
        </w:rPr>
      </w:pPr>
      <w:r>
        <w:rPr>
          <w:rFonts w:ascii="Arial"/>
          <w:b/>
          <w:color w:val="CD0033"/>
          <w:sz w:val="24"/>
        </w:rPr>
        <w:t>Licence Term</w:t>
      </w:r>
    </w:p>
    <w:p>
      <w:pPr>
        <w:pStyle w:val="ListParagraph"/>
        <w:numPr>
          <w:ilvl w:val="0"/>
          <w:numId w:val="12"/>
        </w:numPr>
        <w:tabs>
          <w:tab w:pos="1180" w:val="left" w:leader="none"/>
        </w:tabs>
        <w:spacing w:line="240" w:lineRule="auto" w:before="159" w:after="0"/>
        <w:ind w:left="1179" w:right="140" w:hanging="359"/>
        <w:jc w:val="left"/>
        <w:rPr>
          <w:rFonts w:ascii="Arial"/>
          <w:sz w:val="22"/>
        </w:rPr>
      </w:pPr>
      <w:r>
        <w:rPr>
          <w:rFonts w:ascii="Arial"/>
          <w:sz w:val="22"/>
        </w:rPr>
        <w:t>This Licence shall continue in force until revoked by Ofcom or surrendered by the Licensee or if it is a Short Term Licence, when it reaches its expiration</w:t>
      </w:r>
      <w:r>
        <w:rPr>
          <w:rFonts w:ascii="Arial"/>
          <w:spacing w:val="-24"/>
          <w:sz w:val="22"/>
        </w:rPr>
        <w:t> </w:t>
      </w:r>
      <w:r>
        <w:rPr>
          <w:rFonts w:ascii="Arial"/>
          <w:sz w:val="22"/>
        </w:rPr>
        <w:t>date.</w:t>
      </w:r>
    </w:p>
    <w:p>
      <w:pPr>
        <w:pStyle w:val="BodyText"/>
        <w:rPr>
          <w:rFonts w:ascii="Arial"/>
          <w:sz w:val="24"/>
        </w:rPr>
      </w:pPr>
    </w:p>
    <w:p>
      <w:pPr>
        <w:pStyle w:val="Heading4"/>
        <w:spacing w:before="181"/>
      </w:pPr>
      <w:r>
        <w:rPr>
          <w:color w:val="CD0033"/>
        </w:rPr>
        <w:t>Licence Revocation</w:t>
      </w:r>
    </w:p>
    <w:p>
      <w:pPr>
        <w:pStyle w:val="BodyText"/>
        <w:spacing w:before="5"/>
        <w:rPr>
          <w:rFonts w:ascii="Arial"/>
          <w:b/>
          <w:sz w:val="34"/>
        </w:rPr>
      </w:pPr>
    </w:p>
    <w:p>
      <w:pPr>
        <w:pStyle w:val="ListParagraph"/>
        <w:numPr>
          <w:ilvl w:val="0"/>
          <w:numId w:val="12"/>
        </w:numPr>
        <w:tabs>
          <w:tab w:pos="1180" w:val="left" w:leader="none"/>
        </w:tabs>
        <w:spacing w:line="254" w:lineRule="exact" w:before="0" w:after="0"/>
        <w:ind w:left="1180" w:right="406" w:hanging="360"/>
        <w:jc w:val="both"/>
        <w:rPr>
          <w:sz w:val="24"/>
        </w:rPr>
      </w:pPr>
      <w:r>
        <w:rPr>
          <w:rFonts w:ascii="Arial" w:hAnsi="Arial"/>
          <w:sz w:val="22"/>
        </w:rPr>
        <w:t>Pursuant to schedule 1 paragraph 8 of the Wireless Telegraphy Act 2006 (“the Act”), Ofcom may not revoke this Licence under schedule 1 paragraph 6 of the Act</w:t>
      </w:r>
      <w:r>
        <w:rPr>
          <w:rFonts w:ascii="Arial" w:hAnsi="Arial"/>
          <w:spacing w:val="-3"/>
          <w:sz w:val="22"/>
        </w:rPr>
        <w:t> </w:t>
      </w:r>
      <w:r>
        <w:rPr>
          <w:rFonts w:ascii="Arial" w:hAnsi="Arial"/>
          <w:sz w:val="22"/>
        </w:rPr>
        <w:t>except:</w:t>
      </w:r>
    </w:p>
    <w:p>
      <w:pPr>
        <w:pStyle w:val="ListParagraph"/>
        <w:numPr>
          <w:ilvl w:val="1"/>
          <w:numId w:val="12"/>
        </w:numPr>
        <w:tabs>
          <w:tab w:pos="1541" w:val="left" w:leader="none"/>
        </w:tabs>
        <w:spacing w:line="248" w:lineRule="exact" w:before="0" w:after="0"/>
        <w:ind w:left="1540" w:right="0" w:hanging="360"/>
        <w:jc w:val="left"/>
        <w:rPr>
          <w:rFonts w:ascii="Arial"/>
          <w:sz w:val="22"/>
        </w:rPr>
      </w:pPr>
      <w:r>
        <w:rPr>
          <w:rFonts w:ascii="Arial"/>
          <w:sz w:val="22"/>
        </w:rPr>
        <w:t>at the request, or with the consent, of the</w:t>
      </w:r>
      <w:r>
        <w:rPr>
          <w:rFonts w:ascii="Arial"/>
          <w:spacing w:val="-14"/>
          <w:sz w:val="22"/>
        </w:rPr>
        <w:t> </w:t>
      </w:r>
      <w:r>
        <w:rPr>
          <w:rFonts w:ascii="Arial"/>
          <w:sz w:val="22"/>
        </w:rPr>
        <w:t>Licensee;</w:t>
      </w:r>
    </w:p>
    <w:p>
      <w:pPr>
        <w:pStyle w:val="ListParagraph"/>
        <w:numPr>
          <w:ilvl w:val="1"/>
          <w:numId w:val="12"/>
        </w:numPr>
        <w:tabs>
          <w:tab w:pos="1541" w:val="left" w:leader="none"/>
        </w:tabs>
        <w:spacing w:line="240" w:lineRule="auto" w:before="0" w:after="0"/>
        <w:ind w:left="1540" w:right="0" w:hanging="360"/>
        <w:jc w:val="left"/>
        <w:rPr>
          <w:rFonts w:ascii="Arial"/>
          <w:sz w:val="22"/>
        </w:rPr>
      </w:pPr>
      <w:r>
        <w:rPr>
          <w:rFonts w:ascii="Arial"/>
          <w:sz w:val="22"/>
        </w:rPr>
        <w:t>if there has been a breach of any of the terms of this</w:t>
      </w:r>
      <w:r>
        <w:rPr>
          <w:rFonts w:ascii="Arial"/>
          <w:spacing w:val="-15"/>
          <w:sz w:val="22"/>
        </w:rPr>
        <w:t> </w:t>
      </w:r>
      <w:r>
        <w:rPr>
          <w:rFonts w:ascii="Arial"/>
          <w:sz w:val="22"/>
        </w:rPr>
        <w:t>Licence;</w:t>
      </w:r>
    </w:p>
    <w:p>
      <w:pPr>
        <w:pStyle w:val="ListParagraph"/>
        <w:numPr>
          <w:ilvl w:val="1"/>
          <w:numId w:val="12"/>
        </w:numPr>
        <w:tabs>
          <w:tab w:pos="1541" w:val="left" w:leader="none"/>
        </w:tabs>
        <w:spacing w:line="240" w:lineRule="auto" w:before="0" w:after="0"/>
        <w:ind w:left="1540" w:right="0" w:hanging="360"/>
        <w:jc w:val="left"/>
        <w:rPr>
          <w:rFonts w:ascii="Arial"/>
          <w:sz w:val="22"/>
        </w:rPr>
      </w:pPr>
      <w:r>
        <w:rPr>
          <w:rFonts w:ascii="Arial"/>
          <w:sz w:val="22"/>
        </w:rPr>
        <w:t>in accordance with schedule 1 paragraph 8(5) of the</w:t>
      </w:r>
      <w:r>
        <w:rPr>
          <w:rFonts w:ascii="Arial"/>
          <w:spacing w:val="-15"/>
          <w:sz w:val="22"/>
        </w:rPr>
        <w:t> </w:t>
      </w:r>
      <w:r>
        <w:rPr>
          <w:rFonts w:ascii="Arial"/>
          <w:sz w:val="22"/>
        </w:rPr>
        <w:t>Act;</w:t>
      </w:r>
    </w:p>
    <w:p>
      <w:pPr>
        <w:pStyle w:val="ListParagraph"/>
        <w:numPr>
          <w:ilvl w:val="1"/>
          <w:numId w:val="12"/>
        </w:numPr>
        <w:tabs>
          <w:tab w:pos="1541" w:val="left" w:leader="none"/>
        </w:tabs>
        <w:spacing w:line="240" w:lineRule="auto" w:before="0" w:after="0"/>
        <w:ind w:left="1540" w:right="230" w:hanging="360"/>
        <w:jc w:val="left"/>
        <w:rPr>
          <w:rFonts w:ascii="Arial"/>
          <w:sz w:val="22"/>
        </w:rPr>
      </w:pPr>
      <w:r>
        <w:rPr>
          <w:rFonts w:ascii="Arial"/>
          <w:sz w:val="22"/>
        </w:rPr>
        <w:t>if it appears to Ofcom to be necessary or expedient to revoke the Licence for the purpose of complying with a direction by the Secretary of State given to Ofcom under section 5 of the Act or section 5 of the Communications Act 2003;</w:t>
      </w:r>
      <w:r>
        <w:rPr>
          <w:rFonts w:ascii="Arial"/>
          <w:spacing w:val="-2"/>
          <w:sz w:val="22"/>
        </w:rPr>
        <w:t> </w:t>
      </w:r>
      <w:r>
        <w:rPr>
          <w:rFonts w:ascii="Arial"/>
          <w:sz w:val="22"/>
        </w:rPr>
        <w:t>and</w:t>
      </w:r>
    </w:p>
    <w:p>
      <w:pPr>
        <w:pStyle w:val="ListParagraph"/>
        <w:numPr>
          <w:ilvl w:val="1"/>
          <w:numId w:val="12"/>
        </w:numPr>
        <w:tabs>
          <w:tab w:pos="1540" w:val="left" w:leader="none"/>
        </w:tabs>
        <w:spacing w:line="254" w:lineRule="exact" w:before="24" w:after="0"/>
        <w:ind w:left="1540" w:right="195" w:hanging="360"/>
        <w:jc w:val="left"/>
        <w:rPr>
          <w:sz w:val="24"/>
        </w:rPr>
      </w:pPr>
      <w:r>
        <w:rPr>
          <w:rFonts w:ascii="Arial"/>
          <w:sz w:val="22"/>
        </w:rPr>
        <w:t>for reasons related to the management of the radio spectrum provided that in such a case the power to revoke may only be exercised after at least one month's notice is given in</w:t>
      </w:r>
      <w:r>
        <w:rPr>
          <w:rFonts w:ascii="Arial"/>
          <w:spacing w:val="-10"/>
          <w:sz w:val="22"/>
        </w:rPr>
        <w:t> </w:t>
      </w:r>
      <w:r>
        <w:rPr>
          <w:rFonts w:ascii="Arial"/>
          <w:sz w:val="22"/>
        </w:rPr>
        <w:t>writing.</w:t>
      </w:r>
    </w:p>
    <w:p>
      <w:pPr>
        <w:spacing w:after="0" w:line="254" w:lineRule="exact"/>
        <w:jc w:val="left"/>
        <w:rPr>
          <w:sz w:val="24"/>
        </w:rPr>
        <w:sectPr>
          <w:pgSz w:w="11910" w:h="16840"/>
          <w:pgMar w:header="727" w:footer="1316" w:top="920" w:bottom="1520" w:left="1340" w:right="1340"/>
        </w:sectPr>
      </w:pPr>
    </w:p>
    <w:p>
      <w:pPr>
        <w:pStyle w:val="BodyText"/>
        <w:rPr>
          <w:rFonts w:ascii="Arial"/>
          <w:sz w:val="20"/>
        </w:rPr>
      </w:pPr>
    </w:p>
    <w:p>
      <w:pPr>
        <w:pStyle w:val="BodyText"/>
        <w:rPr>
          <w:rFonts w:ascii="Arial"/>
          <w:sz w:val="20"/>
        </w:rPr>
      </w:pPr>
    </w:p>
    <w:p>
      <w:pPr>
        <w:pStyle w:val="BodyText"/>
        <w:spacing w:before="2"/>
        <w:rPr>
          <w:rFonts w:ascii="Arial"/>
          <w:sz w:val="21"/>
        </w:rPr>
      </w:pPr>
    </w:p>
    <w:p>
      <w:pPr>
        <w:pStyle w:val="ListParagraph"/>
        <w:numPr>
          <w:ilvl w:val="0"/>
          <w:numId w:val="12"/>
        </w:numPr>
        <w:tabs>
          <w:tab w:pos="1200" w:val="left" w:leader="none"/>
        </w:tabs>
        <w:spacing w:line="262" w:lineRule="exact" w:before="89" w:after="0"/>
        <w:ind w:left="1200" w:right="189" w:hanging="360"/>
        <w:jc w:val="left"/>
        <w:rPr>
          <w:sz w:val="24"/>
        </w:rPr>
      </w:pPr>
      <w:r>
        <w:rPr>
          <w:rFonts w:ascii="Arial"/>
          <w:sz w:val="22"/>
        </w:rPr>
        <w:t>Ofcom may only revoke this Licence by notification in writing to the Licensee and in accordance with schedule 1 paragraphs 6, 6A and 7 of the</w:t>
      </w:r>
      <w:r>
        <w:rPr>
          <w:rFonts w:ascii="Arial"/>
          <w:spacing w:val="-18"/>
          <w:sz w:val="22"/>
        </w:rPr>
        <w:t> </w:t>
      </w:r>
      <w:r>
        <w:rPr>
          <w:rFonts w:ascii="Arial"/>
          <w:sz w:val="22"/>
        </w:rPr>
        <w:t>Act.</w:t>
      </w:r>
    </w:p>
    <w:p>
      <w:pPr>
        <w:pStyle w:val="BodyText"/>
        <w:spacing w:before="8"/>
        <w:rPr>
          <w:rFonts w:ascii="Arial"/>
          <w:sz w:val="31"/>
        </w:rPr>
      </w:pPr>
    </w:p>
    <w:p>
      <w:pPr>
        <w:pStyle w:val="Heading4"/>
        <w:ind w:left="545"/>
      </w:pPr>
      <w:r>
        <w:rPr>
          <w:color w:val="CD0033"/>
        </w:rPr>
        <w:t>Licence Variation</w:t>
      </w:r>
    </w:p>
    <w:p>
      <w:pPr>
        <w:pStyle w:val="ListParagraph"/>
        <w:numPr>
          <w:ilvl w:val="0"/>
          <w:numId w:val="12"/>
        </w:numPr>
        <w:tabs>
          <w:tab w:pos="1200" w:val="left" w:leader="none"/>
        </w:tabs>
        <w:spacing w:line="240" w:lineRule="auto" w:before="140" w:after="0"/>
        <w:ind w:left="1199" w:right="201" w:hanging="359"/>
        <w:jc w:val="left"/>
        <w:rPr>
          <w:rFonts w:ascii="Arial"/>
          <w:sz w:val="22"/>
        </w:rPr>
      </w:pPr>
      <w:r>
        <w:rPr>
          <w:rFonts w:ascii="Arial"/>
          <w:sz w:val="22"/>
        </w:rPr>
        <w:t>Ofcom may only vary this Licence by notification in writing to the Licensee and in accordance with schedule 1 paragraphs 6, 6A and 7 of the</w:t>
      </w:r>
      <w:r>
        <w:rPr>
          <w:rFonts w:ascii="Arial"/>
          <w:spacing w:val="-17"/>
          <w:sz w:val="22"/>
        </w:rPr>
        <w:t> </w:t>
      </w:r>
      <w:r>
        <w:rPr>
          <w:rFonts w:ascii="Arial"/>
          <w:sz w:val="22"/>
        </w:rPr>
        <w:t>Act.</w:t>
      </w:r>
    </w:p>
    <w:p>
      <w:pPr>
        <w:pStyle w:val="BodyText"/>
        <w:rPr>
          <w:rFonts w:ascii="Arial"/>
          <w:sz w:val="24"/>
        </w:rPr>
      </w:pPr>
    </w:p>
    <w:p>
      <w:pPr>
        <w:pStyle w:val="Heading4"/>
        <w:spacing w:before="142"/>
        <w:ind w:left="545"/>
      </w:pPr>
      <w:r>
        <w:rPr>
          <w:color w:val="C90044"/>
        </w:rPr>
        <w:t>Requirement to Commence and Maintain Transmission within 6 Months</w:t>
      </w:r>
    </w:p>
    <w:p>
      <w:pPr>
        <w:pStyle w:val="ListParagraph"/>
        <w:numPr>
          <w:ilvl w:val="0"/>
          <w:numId w:val="12"/>
        </w:numPr>
        <w:tabs>
          <w:tab w:pos="1200" w:val="left" w:leader="none"/>
        </w:tabs>
        <w:spacing w:line="240" w:lineRule="auto" w:before="141" w:after="0"/>
        <w:ind w:left="1199" w:right="224" w:hanging="359"/>
        <w:jc w:val="left"/>
        <w:rPr>
          <w:rFonts w:ascii="Arial"/>
          <w:sz w:val="22"/>
        </w:rPr>
      </w:pPr>
      <w:r>
        <w:rPr>
          <w:rFonts w:ascii="Arial"/>
          <w:sz w:val="22"/>
        </w:rPr>
        <w:t>The Licensee must establish, install and use the Radio Equipment to commence regular wireless telegraphy transmissions in accordance with the provisions of this Licence within six months of the date that this Licence is issued, and maintain such transmissions</w:t>
      </w:r>
      <w:r>
        <w:rPr>
          <w:rFonts w:ascii="Arial"/>
          <w:spacing w:val="-13"/>
          <w:sz w:val="22"/>
        </w:rPr>
        <w:t> </w:t>
      </w:r>
      <w:r>
        <w:rPr>
          <w:rFonts w:ascii="Arial"/>
          <w:sz w:val="22"/>
        </w:rPr>
        <w:t>thereafter.</w:t>
      </w:r>
    </w:p>
    <w:p>
      <w:pPr>
        <w:pStyle w:val="BodyText"/>
        <w:rPr>
          <w:rFonts w:ascii="Arial"/>
          <w:sz w:val="24"/>
        </w:rPr>
      </w:pPr>
    </w:p>
    <w:p>
      <w:pPr>
        <w:pStyle w:val="Heading4"/>
        <w:spacing w:before="142"/>
        <w:ind w:left="545"/>
      </w:pPr>
      <w:r>
        <w:rPr>
          <w:color w:val="CD0033"/>
        </w:rPr>
        <w:t>Transfer</w:t>
      </w:r>
    </w:p>
    <w:p>
      <w:pPr>
        <w:pStyle w:val="ListParagraph"/>
        <w:numPr>
          <w:ilvl w:val="0"/>
          <w:numId w:val="12"/>
        </w:numPr>
        <w:tabs>
          <w:tab w:pos="1200" w:val="left" w:leader="none"/>
        </w:tabs>
        <w:spacing w:line="254" w:lineRule="exact" w:before="162" w:after="0"/>
        <w:ind w:left="1200" w:right="127" w:hanging="360"/>
        <w:jc w:val="left"/>
        <w:rPr>
          <w:rFonts w:ascii="Arial"/>
          <w:sz w:val="24"/>
        </w:rPr>
      </w:pPr>
      <w:r>
        <w:rPr>
          <w:rFonts w:ascii="Arial"/>
          <w:sz w:val="22"/>
        </w:rPr>
        <w:t>This Licence may not be transferred. The transfer of rights and obligations arising by virtue of this Licence may however be authorised in accordance with regulations made by Ofcom under powers conferred by section 30 of the</w:t>
      </w:r>
      <w:r>
        <w:rPr>
          <w:rFonts w:ascii="Arial"/>
          <w:spacing w:val="-12"/>
          <w:sz w:val="22"/>
        </w:rPr>
        <w:t> </w:t>
      </w:r>
      <w:r>
        <w:rPr>
          <w:rFonts w:ascii="Arial"/>
          <w:sz w:val="22"/>
        </w:rPr>
        <w:t>Act.</w:t>
      </w:r>
      <w:hyperlink w:history="true" w:anchor="_bookmark50">
        <w:r>
          <w:rPr>
            <w:rFonts w:ascii="Arial"/>
            <w:position w:val="6"/>
            <w:sz w:val="12"/>
          </w:rPr>
          <w:t>37</w:t>
        </w:r>
      </w:hyperlink>
    </w:p>
    <w:p>
      <w:pPr>
        <w:pStyle w:val="BodyText"/>
        <w:spacing w:before="11"/>
        <w:rPr>
          <w:rFonts w:ascii="Arial"/>
          <w:sz w:val="35"/>
        </w:rPr>
      </w:pPr>
    </w:p>
    <w:p>
      <w:pPr>
        <w:pStyle w:val="Heading4"/>
        <w:ind w:left="545"/>
      </w:pPr>
      <w:r>
        <w:rPr>
          <w:color w:val="C90044"/>
        </w:rPr>
        <w:t>Changes to Licensee Details</w:t>
      </w:r>
    </w:p>
    <w:p>
      <w:pPr>
        <w:pStyle w:val="ListParagraph"/>
        <w:numPr>
          <w:ilvl w:val="0"/>
          <w:numId w:val="12"/>
        </w:numPr>
        <w:tabs>
          <w:tab w:pos="1200" w:val="left" w:leader="none"/>
        </w:tabs>
        <w:spacing w:line="237" w:lineRule="auto" w:before="142" w:after="0"/>
        <w:ind w:left="1200" w:right="177" w:hanging="360"/>
        <w:jc w:val="both"/>
        <w:rPr>
          <w:rFonts w:ascii="Arial" w:hAnsi="Arial"/>
          <w:sz w:val="24"/>
        </w:rPr>
      </w:pPr>
      <w:r>
        <w:rPr>
          <w:rFonts w:ascii="Arial" w:hAnsi="Arial"/>
          <w:sz w:val="22"/>
        </w:rPr>
        <w:t>The Licensee shall give prior notice to Ofcom in writing of any proposed changes to the Licensee’s name, email address and/or address as recorded in paragraph 1 of this</w:t>
      </w:r>
      <w:r>
        <w:rPr>
          <w:rFonts w:ascii="Arial" w:hAnsi="Arial"/>
          <w:spacing w:val="-5"/>
          <w:sz w:val="22"/>
        </w:rPr>
        <w:t> </w:t>
      </w:r>
      <w:r>
        <w:rPr>
          <w:rFonts w:ascii="Arial" w:hAnsi="Arial"/>
          <w:sz w:val="22"/>
        </w:rPr>
        <w:t>Licence.</w:t>
      </w:r>
    </w:p>
    <w:p>
      <w:pPr>
        <w:pStyle w:val="BodyText"/>
        <w:rPr>
          <w:rFonts w:ascii="Arial"/>
          <w:sz w:val="24"/>
        </w:rPr>
      </w:pPr>
    </w:p>
    <w:p>
      <w:pPr>
        <w:pStyle w:val="Heading5"/>
        <w:spacing w:before="161"/>
        <w:ind w:left="545"/>
        <w:rPr>
          <w:rFonts w:ascii="Arial"/>
        </w:rPr>
      </w:pPr>
      <w:r>
        <w:rPr>
          <w:rFonts w:ascii="Arial"/>
          <w:color w:val="CD0033"/>
        </w:rPr>
        <w:t>Fees</w:t>
      </w:r>
    </w:p>
    <w:p>
      <w:pPr>
        <w:pStyle w:val="ListParagraph"/>
        <w:numPr>
          <w:ilvl w:val="0"/>
          <w:numId w:val="12"/>
        </w:numPr>
        <w:tabs>
          <w:tab w:pos="1200" w:val="left" w:leader="none"/>
        </w:tabs>
        <w:spacing w:line="237" w:lineRule="auto" w:before="142" w:after="0"/>
        <w:ind w:left="1200" w:right="260" w:hanging="360"/>
        <w:jc w:val="left"/>
        <w:rPr>
          <w:rFonts w:ascii="Arial"/>
          <w:sz w:val="24"/>
        </w:rPr>
      </w:pPr>
      <w:r>
        <w:rPr>
          <w:rFonts w:ascii="Arial"/>
          <w:sz w:val="22"/>
        </w:rPr>
        <w:t>The Licensee shall pay to Ofcom the relevant fee(s) as provided in section 12 of the Act and the regulations made thereunder on or before the fee payment date shown above, or on or before such dates as are notified in writing to the Licensee.</w:t>
      </w:r>
    </w:p>
    <w:p>
      <w:pPr>
        <w:pStyle w:val="ListParagraph"/>
        <w:numPr>
          <w:ilvl w:val="0"/>
          <w:numId w:val="12"/>
        </w:numPr>
        <w:tabs>
          <w:tab w:pos="1200" w:val="left" w:leader="none"/>
        </w:tabs>
        <w:spacing w:line="240" w:lineRule="auto" w:before="0" w:after="0"/>
        <w:ind w:left="1200" w:right="125" w:hanging="360"/>
        <w:jc w:val="left"/>
        <w:rPr>
          <w:rFonts w:ascii="Arial"/>
          <w:sz w:val="24"/>
        </w:rPr>
      </w:pPr>
      <w:r>
        <w:rPr>
          <w:rFonts w:ascii="Arial"/>
          <w:sz w:val="22"/>
        </w:rPr>
        <w:t>If the Licence is surrendered, revoked or varied, no refund, whether in whole or in part, of any amount which is due under the terms of this Licence, may be payable in accordance with any regulations made by Ofcom under sections 12 and 13(2) of the Act will be made, except at the absolute discretion of</w:t>
      </w:r>
      <w:r>
        <w:rPr>
          <w:rFonts w:ascii="Arial"/>
          <w:spacing w:val="-20"/>
          <w:sz w:val="22"/>
        </w:rPr>
        <w:t> </w:t>
      </w:r>
      <w:r>
        <w:rPr>
          <w:rFonts w:ascii="Arial"/>
          <w:sz w:val="22"/>
        </w:rPr>
        <w:t>Ofcom.</w:t>
      </w:r>
    </w:p>
    <w:p>
      <w:pPr>
        <w:pStyle w:val="BodyText"/>
        <w:rPr>
          <w:rFonts w:ascii="Arial"/>
          <w:sz w:val="24"/>
        </w:rPr>
      </w:pPr>
    </w:p>
    <w:p>
      <w:pPr>
        <w:pStyle w:val="Heading4"/>
        <w:spacing w:before="163"/>
        <w:ind w:left="840"/>
      </w:pPr>
      <w:r>
        <w:rPr>
          <w:color w:val="CD0033"/>
        </w:rPr>
        <w:t>Radio Equipment Use</w:t>
      </w:r>
    </w:p>
    <w:p>
      <w:pPr>
        <w:pStyle w:val="ListParagraph"/>
        <w:numPr>
          <w:ilvl w:val="0"/>
          <w:numId w:val="12"/>
        </w:numPr>
        <w:tabs>
          <w:tab w:pos="1200" w:val="left" w:leader="none"/>
        </w:tabs>
        <w:spacing w:line="240" w:lineRule="auto" w:before="159" w:after="0"/>
        <w:ind w:left="1200" w:right="175" w:hanging="360"/>
        <w:jc w:val="left"/>
        <w:rPr>
          <w:rFonts w:ascii="Arial"/>
          <w:sz w:val="24"/>
        </w:rPr>
      </w:pPr>
      <w:r>
        <w:rPr>
          <w:rFonts w:ascii="Arial"/>
          <w:sz w:val="22"/>
        </w:rPr>
        <w:t>The Licensee shall ensure that the Radio Equipment is established, installed and used only in accordance with the provisions specified in the schedules to this Licence. Any proposal to amend any detail specified in any of the schedules to this Licence must be agreed with Ofcom in advance and implemented only after this Licence has been varied or reissued</w:t>
      </w:r>
      <w:r>
        <w:rPr>
          <w:rFonts w:ascii="Arial"/>
          <w:spacing w:val="-13"/>
          <w:sz w:val="22"/>
        </w:rPr>
        <w:t> </w:t>
      </w:r>
      <w:r>
        <w:rPr>
          <w:rFonts w:ascii="Arial"/>
          <w:sz w:val="22"/>
        </w:rPr>
        <w:t>accordingly.</w:t>
      </w:r>
    </w:p>
    <w:p>
      <w:pPr>
        <w:pStyle w:val="ListParagraph"/>
        <w:numPr>
          <w:ilvl w:val="0"/>
          <w:numId w:val="12"/>
        </w:numPr>
        <w:tabs>
          <w:tab w:pos="1200" w:val="left" w:leader="none"/>
        </w:tabs>
        <w:spacing w:line="254" w:lineRule="exact" w:before="20" w:after="0"/>
        <w:ind w:left="1200" w:right="372" w:hanging="360"/>
        <w:jc w:val="left"/>
        <w:rPr>
          <w:rFonts w:ascii="Arial"/>
          <w:sz w:val="24"/>
        </w:rPr>
      </w:pPr>
      <w:r>
        <w:rPr>
          <w:rFonts w:ascii="Arial"/>
          <w:sz w:val="22"/>
        </w:rPr>
        <w:t>The Licensee shall ensure that the Radio Equipment is operated in compliance with the terms of this Licence and is used only by persons who have</w:t>
      </w:r>
      <w:r>
        <w:rPr>
          <w:rFonts w:ascii="Arial"/>
          <w:spacing w:val="-20"/>
          <w:sz w:val="22"/>
        </w:rPr>
        <w:t> </w:t>
      </w:r>
      <w:r>
        <w:rPr>
          <w:rFonts w:ascii="Arial"/>
          <w:sz w:val="22"/>
        </w:rPr>
        <w:t>been</w:t>
      </w:r>
    </w:p>
    <w:p>
      <w:pPr>
        <w:pStyle w:val="BodyText"/>
        <w:rPr>
          <w:rFonts w:ascii="Arial"/>
          <w:sz w:val="20"/>
        </w:rPr>
      </w:pPr>
    </w:p>
    <w:p>
      <w:pPr>
        <w:pStyle w:val="BodyText"/>
        <w:spacing w:before="1"/>
        <w:rPr>
          <w:rFonts w:ascii="Arial"/>
          <w:sz w:val="28"/>
        </w:rPr>
      </w:pPr>
      <w:r>
        <w:rPr/>
        <w:pict>
          <v:line style="position:absolute;mso-position-horizontal-relative:page;mso-position-vertical-relative:paragraph;z-index:1696;mso-wrap-distance-left:0;mso-wrap-distance-right:0" from="72pt,18.511225pt" to="216pt,18.511225pt" stroked="true" strokeweight=".72pt" strokecolor="#000000">
            <v:stroke dashstyle="solid"/>
            <w10:wrap type="topAndBottom"/>
          </v:line>
        </w:pict>
      </w:r>
    </w:p>
    <w:p>
      <w:pPr>
        <w:pStyle w:val="BodyText"/>
        <w:spacing w:before="1"/>
        <w:rPr>
          <w:rFonts w:ascii="Arial"/>
          <w:sz w:val="12"/>
        </w:rPr>
      </w:pPr>
    </w:p>
    <w:p>
      <w:pPr>
        <w:spacing w:before="89"/>
        <w:ind w:left="120" w:right="0" w:firstLine="0"/>
        <w:jc w:val="left"/>
        <w:rPr>
          <w:rFonts w:ascii="Arial" w:hAnsi="Arial"/>
          <w:sz w:val="18"/>
        </w:rPr>
      </w:pPr>
      <w:bookmarkStart w:name="_bookmark50" w:id="139"/>
      <w:bookmarkEnd w:id="139"/>
      <w:r>
        <w:rPr/>
      </w:r>
      <w:r>
        <w:rPr>
          <w:position w:val="6"/>
          <w:sz w:val="12"/>
        </w:rPr>
        <w:t>37 </w:t>
      </w:r>
      <w:r>
        <w:rPr>
          <w:rFonts w:ascii="Arial" w:hAnsi="Arial"/>
          <w:sz w:val="18"/>
        </w:rPr>
        <w:t>See Ofcom’s website for the latest position on spectrum trading and the types of trade which are permitted.</w:t>
      </w:r>
    </w:p>
    <w:p>
      <w:pPr>
        <w:spacing w:after="0"/>
        <w:jc w:val="left"/>
        <w:rPr>
          <w:rFonts w:ascii="Arial" w:hAnsi="Arial"/>
          <w:sz w:val="18"/>
        </w:rPr>
        <w:sectPr>
          <w:pgSz w:w="11910" w:h="16840"/>
          <w:pgMar w:header="727" w:footer="1316" w:top="920" w:bottom="1500" w:left="1320" w:right="1340"/>
        </w:sectPr>
      </w:pPr>
    </w:p>
    <w:p>
      <w:pPr>
        <w:pStyle w:val="BodyText"/>
        <w:rPr>
          <w:rFonts w:ascii="Arial"/>
          <w:sz w:val="20"/>
        </w:rPr>
      </w:pPr>
    </w:p>
    <w:p>
      <w:pPr>
        <w:pStyle w:val="BodyText"/>
        <w:rPr>
          <w:rFonts w:ascii="Arial"/>
          <w:sz w:val="20"/>
        </w:rPr>
      </w:pPr>
    </w:p>
    <w:p>
      <w:pPr>
        <w:pStyle w:val="BodyText"/>
        <w:spacing w:before="2"/>
        <w:rPr>
          <w:rFonts w:ascii="Arial"/>
          <w:sz w:val="19"/>
        </w:rPr>
      </w:pPr>
    </w:p>
    <w:p>
      <w:pPr>
        <w:pStyle w:val="BodyText"/>
        <w:spacing w:before="93"/>
        <w:ind w:left="1180" w:right="410"/>
        <w:rPr>
          <w:rFonts w:ascii="Arial"/>
        </w:rPr>
      </w:pPr>
      <w:r>
        <w:rPr>
          <w:rFonts w:ascii="Arial"/>
        </w:rPr>
        <w:t>authorised in writing by the Licensee to do so and that such persons are made aware of, and of the requirement to comply with the terms of this Licence.</w:t>
      </w:r>
    </w:p>
    <w:p>
      <w:pPr>
        <w:pStyle w:val="BodyText"/>
        <w:rPr>
          <w:rFonts w:ascii="Arial"/>
          <w:sz w:val="24"/>
        </w:rPr>
      </w:pPr>
    </w:p>
    <w:p>
      <w:pPr>
        <w:pStyle w:val="Heading4"/>
        <w:spacing w:before="162"/>
        <w:ind w:left="819"/>
      </w:pPr>
      <w:r>
        <w:rPr>
          <w:color w:val="CD0033"/>
        </w:rPr>
        <w:t>Access and Inspection</w:t>
      </w:r>
    </w:p>
    <w:p>
      <w:pPr>
        <w:pStyle w:val="ListParagraph"/>
        <w:numPr>
          <w:ilvl w:val="0"/>
          <w:numId w:val="12"/>
        </w:numPr>
        <w:tabs>
          <w:tab w:pos="1180" w:val="left" w:leader="none"/>
        </w:tabs>
        <w:spacing w:line="274" w:lineRule="exact" w:before="159" w:after="0"/>
        <w:ind w:left="1180" w:right="0" w:hanging="360"/>
        <w:jc w:val="left"/>
        <w:rPr>
          <w:rFonts w:ascii="Arial"/>
          <w:sz w:val="24"/>
        </w:rPr>
      </w:pPr>
      <w:r>
        <w:rPr>
          <w:rFonts w:ascii="Arial"/>
          <w:sz w:val="22"/>
        </w:rPr>
        <w:t>The Licensee shall permit any person authorised by</w:t>
      </w:r>
      <w:r>
        <w:rPr>
          <w:rFonts w:ascii="Arial"/>
          <w:spacing w:val="-16"/>
          <w:sz w:val="22"/>
        </w:rPr>
        <w:t> </w:t>
      </w:r>
      <w:r>
        <w:rPr>
          <w:rFonts w:ascii="Arial"/>
          <w:sz w:val="22"/>
        </w:rPr>
        <w:t>Ofcom:</w:t>
      </w:r>
    </w:p>
    <w:p>
      <w:pPr>
        <w:pStyle w:val="ListParagraph"/>
        <w:numPr>
          <w:ilvl w:val="1"/>
          <w:numId w:val="12"/>
        </w:numPr>
        <w:tabs>
          <w:tab w:pos="1900" w:val="left" w:leader="none"/>
        </w:tabs>
        <w:spacing w:line="272" w:lineRule="exact" w:before="0" w:after="0"/>
        <w:ind w:left="1900" w:right="0" w:hanging="360"/>
        <w:jc w:val="left"/>
        <w:rPr>
          <w:rFonts w:ascii="Arial"/>
          <w:sz w:val="24"/>
        </w:rPr>
      </w:pPr>
      <w:r>
        <w:rPr>
          <w:rFonts w:ascii="Arial"/>
          <w:sz w:val="22"/>
        </w:rPr>
        <w:t>to have access to the Radio</w:t>
      </w:r>
      <w:r>
        <w:rPr>
          <w:rFonts w:ascii="Arial"/>
          <w:spacing w:val="-12"/>
          <w:sz w:val="22"/>
        </w:rPr>
        <w:t> </w:t>
      </w:r>
      <w:r>
        <w:rPr>
          <w:rFonts w:ascii="Arial"/>
          <w:sz w:val="22"/>
        </w:rPr>
        <w:t>Equipment;</w:t>
      </w:r>
    </w:p>
    <w:p>
      <w:pPr>
        <w:pStyle w:val="ListParagraph"/>
        <w:numPr>
          <w:ilvl w:val="1"/>
          <w:numId w:val="12"/>
        </w:numPr>
        <w:tabs>
          <w:tab w:pos="1900" w:val="left" w:leader="none"/>
        </w:tabs>
        <w:spacing w:line="254" w:lineRule="exact" w:before="19" w:after="0"/>
        <w:ind w:left="1900" w:right="152" w:hanging="360"/>
        <w:jc w:val="left"/>
        <w:rPr>
          <w:rFonts w:ascii="Arial"/>
          <w:sz w:val="24"/>
        </w:rPr>
      </w:pPr>
      <w:r>
        <w:rPr>
          <w:rFonts w:ascii="Arial"/>
          <w:sz w:val="22"/>
        </w:rPr>
        <w:t>and to inspect this Licence and to inspect, examine and test the Radio Equipment, at any and all reasonable times or, when in the opinion of that person an urgent situation exists, at any time, to ensure the Radio Equipment is being used in accordance with the terms of this</w:t>
      </w:r>
      <w:r>
        <w:rPr>
          <w:rFonts w:ascii="Arial"/>
          <w:spacing w:val="-19"/>
          <w:sz w:val="22"/>
        </w:rPr>
        <w:t> </w:t>
      </w:r>
      <w:r>
        <w:rPr>
          <w:rFonts w:ascii="Arial"/>
          <w:sz w:val="22"/>
        </w:rPr>
        <w:t>Licence.</w:t>
      </w:r>
    </w:p>
    <w:p>
      <w:pPr>
        <w:pStyle w:val="BodyText"/>
        <w:rPr>
          <w:rFonts w:ascii="Arial"/>
          <w:sz w:val="24"/>
        </w:rPr>
      </w:pPr>
    </w:p>
    <w:p>
      <w:pPr>
        <w:pStyle w:val="Heading4"/>
        <w:spacing w:before="156"/>
      </w:pPr>
      <w:r>
        <w:rPr>
          <w:color w:val="CD0033"/>
        </w:rPr>
        <w:t>Modification, Restriction and Closedown</w:t>
      </w:r>
    </w:p>
    <w:p>
      <w:pPr>
        <w:pStyle w:val="ListParagraph"/>
        <w:numPr>
          <w:ilvl w:val="0"/>
          <w:numId w:val="12"/>
        </w:numPr>
        <w:tabs>
          <w:tab w:pos="1180" w:val="left" w:leader="none"/>
        </w:tabs>
        <w:spacing w:line="254" w:lineRule="exact" w:before="182" w:after="0"/>
        <w:ind w:left="1180" w:right="285" w:hanging="360"/>
        <w:jc w:val="left"/>
        <w:rPr>
          <w:rFonts w:ascii="Arial"/>
          <w:sz w:val="24"/>
        </w:rPr>
      </w:pPr>
      <w:r>
        <w:rPr>
          <w:rFonts w:ascii="Arial"/>
          <w:sz w:val="22"/>
        </w:rPr>
        <w:t>Any person authorised by Ofcom may require the Radio Equipment or any part thereof, to be modified or restricted in use, or temporarily or permanently closed down immediately if in the opinion of the person authorised by</w:t>
      </w:r>
      <w:r>
        <w:rPr>
          <w:rFonts w:ascii="Arial"/>
          <w:spacing w:val="-21"/>
          <w:sz w:val="22"/>
        </w:rPr>
        <w:t> </w:t>
      </w:r>
      <w:r>
        <w:rPr>
          <w:rFonts w:ascii="Arial"/>
          <w:sz w:val="22"/>
        </w:rPr>
        <w:t>Ofcom:</w:t>
      </w:r>
    </w:p>
    <w:p>
      <w:pPr>
        <w:pStyle w:val="ListParagraph"/>
        <w:numPr>
          <w:ilvl w:val="1"/>
          <w:numId w:val="12"/>
        </w:numPr>
        <w:tabs>
          <w:tab w:pos="1541" w:val="left" w:leader="none"/>
        </w:tabs>
        <w:spacing w:line="249" w:lineRule="exact" w:before="0" w:after="0"/>
        <w:ind w:left="1540" w:right="0" w:hanging="360"/>
        <w:jc w:val="left"/>
        <w:rPr>
          <w:rFonts w:ascii="Arial"/>
          <w:sz w:val="22"/>
        </w:rPr>
      </w:pPr>
      <w:r>
        <w:rPr>
          <w:rFonts w:ascii="Arial"/>
          <w:sz w:val="22"/>
        </w:rPr>
        <w:t>a breach of this Licence has occurred;</w:t>
      </w:r>
      <w:r>
        <w:rPr>
          <w:rFonts w:ascii="Arial"/>
          <w:spacing w:val="-12"/>
          <w:sz w:val="22"/>
        </w:rPr>
        <w:t> </w:t>
      </w:r>
      <w:r>
        <w:rPr>
          <w:rFonts w:ascii="Arial"/>
          <w:sz w:val="22"/>
        </w:rPr>
        <w:t>and/or</w:t>
      </w:r>
    </w:p>
    <w:p>
      <w:pPr>
        <w:pStyle w:val="ListParagraph"/>
        <w:numPr>
          <w:ilvl w:val="1"/>
          <w:numId w:val="12"/>
        </w:numPr>
        <w:tabs>
          <w:tab w:pos="1540" w:val="left" w:leader="none"/>
        </w:tabs>
        <w:spacing w:line="254" w:lineRule="exact" w:before="21" w:after="0"/>
        <w:ind w:left="1540" w:right="695" w:hanging="360"/>
        <w:jc w:val="left"/>
        <w:rPr>
          <w:rFonts w:ascii="Arial"/>
          <w:sz w:val="24"/>
        </w:rPr>
      </w:pPr>
      <w:r>
        <w:rPr>
          <w:rFonts w:ascii="Arial"/>
          <w:sz w:val="22"/>
        </w:rPr>
        <w:t>the use of the Radio Equipment is, or may be, causing or contributing to undue interference to the use of other authorised radio</w:t>
      </w:r>
      <w:r>
        <w:rPr>
          <w:rFonts w:ascii="Arial"/>
          <w:spacing w:val="-17"/>
          <w:sz w:val="22"/>
        </w:rPr>
        <w:t> </w:t>
      </w:r>
      <w:r>
        <w:rPr>
          <w:rFonts w:ascii="Arial"/>
          <w:sz w:val="22"/>
        </w:rPr>
        <w:t>equipment.</w:t>
      </w:r>
    </w:p>
    <w:p>
      <w:pPr>
        <w:pStyle w:val="BodyText"/>
        <w:rPr>
          <w:rFonts w:ascii="Arial"/>
          <w:sz w:val="24"/>
        </w:rPr>
      </w:pPr>
    </w:p>
    <w:p>
      <w:pPr>
        <w:pStyle w:val="ListParagraph"/>
        <w:numPr>
          <w:ilvl w:val="0"/>
          <w:numId w:val="12"/>
        </w:numPr>
        <w:tabs>
          <w:tab w:pos="1180" w:val="left" w:leader="none"/>
        </w:tabs>
        <w:spacing w:line="254" w:lineRule="exact" w:before="158" w:after="0"/>
        <w:ind w:left="1180" w:right="260" w:hanging="360"/>
        <w:jc w:val="left"/>
        <w:rPr>
          <w:rFonts w:ascii="Arial"/>
          <w:sz w:val="24"/>
        </w:rPr>
      </w:pPr>
      <w:r>
        <w:rPr>
          <w:rFonts w:ascii="Arial"/>
          <w:sz w:val="22"/>
        </w:rPr>
        <w:t>Ofcom may require any of the Radio Equipment to be modified or restricted in use, or temporarily closed down either immediately or on the expiry of such period as may be specified in the event of a national or local state of emergency being declared. Ofcom may only exercise this power after a written notice has been served on the Licensee or a general notice applicable to holders of a named class of licence has been</w:t>
      </w:r>
      <w:r>
        <w:rPr>
          <w:rFonts w:ascii="Arial"/>
          <w:spacing w:val="-13"/>
          <w:sz w:val="22"/>
        </w:rPr>
        <w:t> </w:t>
      </w:r>
      <w:r>
        <w:rPr>
          <w:rFonts w:ascii="Arial"/>
          <w:sz w:val="22"/>
        </w:rPr>
        <w:t>published.</w:t>
      </w:r>
    </w:p>
    <w:p>
      <w:pPr>
        <w:pStyle w:val="BodyText"/>
        <w:rPr>
          <w:rFonts w:ascii="Arial"/>
          <w:sz w:val="24"/>
        </w:rPr>
      </w:pPr>
    </w:p>
    <w:p>
      <w:pPr>
        <w:pStyle w:val="Heading5"/>
        <w:spacing w:before="156"/>
        <w:ind w:left="820"/>
        <w:rPr>
          <w:rFonts w:ascii="Arial"/>
        </w:rPr>
      </w:pPr>
      <w:r>
        <w:rPr>
          <w:rFonts w:ascii="Arial"/>
          <w:color w:val="CD0033"/>
        </w:rPr>
        <w:t>Geographical Boundaries</w:t>
      </w:r>
    </w:p>
    <w:p>
      <w:pPr>
        <w:pStyle w:val="ListParagraph"/>
        <w:numPr>
          <w:ilvl w:val="0"/>
          <w:numId w:val="12"/>
        </w:numPr>
        <w:tabs>
          <w:tab w:pos="1180" w:val="left" w:leader="none"/>
        </w:tabs>
        <w:spacing w:line="240" w:lineRule="auto" w:before="157" w:after="0"/>
        <w:ind w:left="1180" w:right="125" w:hanging="360"/>
        <w:jc w:val="left"/>
        <w:rPr>
          <w:rFonts w:ascii="Arial"/>
          <w:sz w:val="24"/>
        </w:rPr>
      </w:pPr>
      <w:r>
        <w:rPr>
          <w:rFonts w:ascii="Arial"/>
          <w:sz w:val="22"/>
        </w:rPr>
        <w:t>Subject to the requirements of any coordination procedures notified to the Licensee pursuant to the schedules to this Licence, the Licensee is authorised to establish, install and use of base station equipment in the authorised base station deployment area set out the schedules to this Licence and any terminals connecting to</w:t>
      </w:r>
      <w:r>
        <w:rPr>
          <w:rFonts w:ascii="Arial"/>
          <w:spacing w:val="-4"/>
          <w:sz w:val="22"/>
        </w:rPr>
        <w:t> </w:t>
      </w:r>
      <w:r>
        <w:rPr>
          <w:rFonts w:ascii="Arial"/>
          <w:sz w:val="22"/>
        </w:rPr>
        <w:t>it.</w:t>
      </w:r>
    </w:p>
    <w:p>
      <w:pPr>
        <w:pStyle w:val="BodyText"/>
        <w:rPr>
          <w:rFonts w:ascii="Arial"/>
          <w:sz w:val="24"/>
        </w:rPr>
      </w:pPr>
    </w:p>
    <w:p>
      <w:pPr>
        <w:pStyle w:val="Heading5"/>
        <w:spacing w:before="162"/>
        <w:ind w:left="820"/>
        <w:rPr>
          <w:rFonts w:ascii="Arial"/>
        </w:rPr>
      </w:pPr>
      <w:r>
        <w:rPr>
          <w:rFonts w:ascii="Arial"/>
          <w:color w:val="CD0033"/>
        </w:rPr>
        <w:t>Future Dynamic Spectrum Approach</w:t>
      </w:r>
    </w:p>
    <w:p>
      <w:pPr>
        <w:pStyle w:val="ListParagraph"/>
        <w:numPr>
          <w:ilvl w:val="0"/>
          <w:numId w:val="12"/>
        </w:numPr>
        <w:tabs>
          <w:tab w:pos="1180" w:val="left" w:leader="none"/>
        </w:tabs>
        <w:spacing w:line="240" w:lineRule="auto" w:before="156" w:after="0"/>
        <w:ind w:left="1180" w:right="103" w:hanging="360"/>
        <w:jc w:val="left"/>
        <w:rPr>
          <w:rFonts w:ascii="Arial"/>
          <w:sz w:val="24"/>
        </w:rPr>
      </w:pPr>
      <w:r>
        <w:rPr>
          <w:rFonts w:ascii="Arial"/>
          <w:sz w:val="22"/>
        </w:rPr>
        <w:t>On 25 July 2019, Ofcom published a statement called </w:t>
      </w:r>
      <w:r>
        <w:rPr>
          <w:rFonts w:ascii="Arial"/>
          <w:i/>
          <w:sz w:val="22"/>
        </w:rPr>
        <w:t>Enabling wireless </w:t>
      </w:r>
      <w:r>
        <w:rPr>
          <w:rFonts w:ascii="Arial"/>
          <w:i/>
          <w:sz w:val="22"/>
        </w:rPr>
        <w:t>innovation through local licencing </w:t>
      </w:r>
      <w:r>
        <w:rPr>
          <w:rFonts w:ascii="Arial"/>
          <w:sz w:val="22"/>
        </w:rPr>
        <w:t>containing a spectrum management decision to enable shared access to spectrum supporting mobile technology. In that decision, Ofcom stated that it will assess whether it is appropriate to transition towards a Dynamic Spectrum Approach in order to provide users more access to spectrum by means of automatic database frequency assignment. The Licensee is therefore notified that Ofcom currently intends to vary this Licence in accordance with paragraph 5 from time to time in future, or may re-issue the Licence, to give effect to that</w:t>
      </w:r>
      <w:r>
        <w:rPr>
          <w:rFonts w:ascii="Arial"/>
          <w:spacing w:val="-6"/>
          <w:sz w:val="22"/>
        </w:rPr>
        <w:t> </w:t>
      </w:r>
      <w:r>
        <w:rPr>
          <w:rFonts w:ascii="Arial"/>
          <w:sz w:val="22"/>
        </w:rPr>
        <w:t>decision.</w:t>
      </w:r>
    </w:p>
    <w:p>
      <w:pPr>
        <w:pStyle w:val="BodyText"/>
        <w:rPr>
          <w:rFonts w:ascii="Arial"/>
          <w:sz w:val="24"/>
        </w:rPr>
      </w:pPr>
    </w:p>
    <w:p>
      <w:pPr>
        <w:pStyle w:val="Heading5"/>
        <w:spacing w:before="141"/>
        <w:ind w:left="820"/>
        <w:rPr>
          <w:rFonts w:ascii="Arial"/>
        </w:rPr>
      </w:pPr>
      <w:r>
        <w:rPr>
          <w:rFonts w:ascii="Arial"/>
          <w:color w:val="CD0033"/>
        </w:rPr>
        <w:t>Notification in Electronic Form</w:t>
      </w:r>
    </w:p>
    <w:p>
      <w:pPr>
        <w:spacing w:after="0"/>
        <w:rPr>
          <w:rFonts w:ascii="Arial"/>
        </w:rPr>
        <w:sectPr>
          <w:pgSz w:w="11910" w:h="16840"/>
          <w:pgMar w:header="727" w:footer="1316" w:top="920" w:bottom="1520" w:left="1340" w:right="1340"/>
        </w:sect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spacing w:before="3"/>
        <w:rPr>
          <w:rFonts w:ascii="Arial"/>
          <w:b/>
          <w:sz w:val="23"/>
        </w:rPr>
      </w:pPr>
    </w:p>
    <w:p>
      <w:pPr>
        <w:pStyle w:val="ListParagraph"/>
        <w:numPr>
          <w:ilvl w:val="0"/>
          <w:numId w:val="12"/>
        </w:numPr>
        <w:tabs>
          <w:tab w:pos="1180" w:val="left" w:leader="none"/>
        </w:tabs>
        <w:spacing w:line="254" w:lineRule="exact" w:before="1" w:after="0"/>
        <w:ind w:left="1180" w:right="383" w:hanging="360"/>
        <w:jc w:val="left"/>
        <w:rPr>
          <w:rFonts w:ascii="Arial"/>
          <w:sz w:val="24"/>
        </w:rPr>
      </w:pPr>
      <w:r>
        <w:rPr>
          <w:rFonts w:ascii="Arial"/>
          <w:sz w:val="22"/>
        </w:rPr>
        <w:t>The Licensee shall accept notifications and other related documents under this Licence to the preferred communication method and/or electronically to the designated email address as recorded on the front page of this Licence. The Licensee must update Ofcom about changes to the preferred communication method and/or the designated email address, in accordance with paragraph</w:t>
      </w:r>
      <w:r>
        <w:rPr>
          <w:rFonts w:ascii="Arial"/>
          <w:spacing w:val="-19"/>
          <w:sz w:val="22"/>
        </w:rPr>
        <w:t> </w:t>
      </w:r>
      <w:r>
        <w:rPr>
          <w:rFonts w:ascii="Arial"/>
          <w:sz w:val="22"/>
        </w:rPr>
        <w:t>8.</w:t>
      </w:r>
    </w:p>
    <w:p>
      <w:pPr>
        <w:pStyle w:val="BodyText"/>
        <w:rPr>
          <w:rFonts w:ascii="Arial"/>
          <w:sz w:val="24"/>
        </w:rPr>
      </w:pPr>
    </w:p>
    <w:p>
      <w:pPr>
        <w:pStyle w:val="Heading5"/>
        <w:spacing w:before="157"/>
        <w:ind w:left="820"/>
        <w:rPr>
          <w:rFonts w:ascii="Arial"/>
        </w:rPr>
      </w:pPr>
      <w:r>
        <w:rPr>
          <w:rFonts w:ascii="Arial"/>
          <w:color w:val="CD0033"/>
        </w:rPr>
        <w:t>Interpretation</w:t>
      </w:r>
    </w:p>
    <w:p>
      <w:pPr>
        <w:pStyle w:val="ListParagraph"/>
        <w:numPr>
          <w:ilvl w:val="0"/>
          <w:numId w:val="12"/>
        </w:numPr>
        <w:tabs>
          <w:tab w:pos="1180" w:val="left" w:leader="none"/>
        </w:tabs>
        <w:spacing w:line="274" w:lineRule="exact" w:before="157" w:after="0"/>
        <w:ind w:left="1180" w:right="0" w:hanging="360"/>
        <w:jc w:val="left"/>
        <w:rPr>
          <w:rFonts w:ascii="Arial"/>
          <w:sz w:val="24"/>
        </w:rPr>
      </w:pPr>
      <w:r>
        <w:rPr>
          <w:rFonts w:ascii="Arial"/>
          <w:sz w:val="22"/>
        </w:rPr>
        <w:t>In this</w:t>
      </w:r>
      <w:r>
        <w:rPr>
          <w:rFonts w:ascii="Arial"/>
          <w:spacing w:val="-5"/>
          <w:sz w:val="22"/>
        </w:rPr>
        <w:t> </w:t>
      </w:r>
      <w:r>
        <w:rPr>
          <w:rFonts w:ascii="Arial"/>
          <w:sz w:val="22"/>
        </w:rPr>
        <w:t>Licence:</w:t>
      </w:r>
    </w:p>
    <w:p>
      <w:pPr>
        <w:pStyle w:val="ListParagraph"/>
        <w:numPr>
          <w:ilvl w:val="1"/>
          <w:numId w:val="12"/>
        </w:numPr>
        <w:tabs>
          <w:tab w:pos="1900" w:val="left" w:leader="none"/>
        </w:tabs>
        <w:spacing w:line="254" w:lineRule="exact" w:before="18" w:after="0"/>
        <w:ind w:left="1900" w:right="274" w:hanging="360"/>
        <w:jc w:val="left"/>
        <w:rPr>
          <w:rFonts w:ascii="Arial"/>
          <w:sz w:val="24"/>
        </w:rPr>
      </w:pPr>
      <w:r>
        <w:rPr>
          <w:rFonts w:ascii="Arial"/>
          <w:sz w:val="22"/>
        </w:rPr>
        <w:t>the establishment, installation and use of the Radio Equipment shall be interpreted as establishment and use of wireless telegraphy stations and installation and use of wireless telegraphy apparatus for wireless telegraphy as specified in section 8(1) of the</w:t>
      </w:r>
      <w:r>
        <w:rPr>
          <w:rFonts w:ascii="Arial"/>
          <w:spacing w:val="-15"/>
          <w:sz w:val="22"/>
        </w:rPr>
        <w:t> </w:t>
      </w:r>
      <w:r>
        <w:rPr>
          <w:rFonts w:ascii="Arial"/>
          <w:sz w:val="22"/>
        </w:rPr>
        <w:t>Act;</w:t>
      </w:r>
    </w:p>
    <w:p>
      <w:pPr>
        <w:pStyle w:val="ListParagraph"/>
        <w:numPr>
          <w:ilvl w:val="1"/>
          <w:numId w:val="12"/>
        </w:numPr>
        <w:tabs>
          <w:tab w:pos="1901" w:val="left" w:leader="none"/>
        </w:tabs>
        <w:spacing w:line="240" w:lineRule="auto" w:before="0" w:after="0"/>
        <w:ind w:left="1900" w:right="130" w:hanging="360"/>
        <w:jc w:val="left"/>
        <w:rPr>
          <w:rFonts w:ascii="Arial" w:hAnsi="Arial"/>
          <w:sz w:val="22"/>
        </w:rPr>
      </w:pPr>
      <w:r>
        <w:rPr>
          <w:rFonts w:ascii="Arial" w:hAnsi="Arial"/>
          <w:sz w:val="22"/>
        </w:rPr>
        <w:t>the expression “interference” shall have the meaning given by section 115 of the</w:t>
      </w:r>
      <w:r>
        <w:rPr>
          <w:rFonts w:ascii="Arial" w:hAnsi="Arial"/>
          <w:spacing w:val="-3"/>
          <w:sz w:val="22"/>
        </w:rPr>
        <w:t> </w:t>
      </w:r>
      <w:r>
        <w:rPr>
          <w:rFonts w:ascii="Arial" w:hAnsi="Arial"/>
          <w:sz w:val="22"/>
        </w:rPr>
        <w:t>Act;</w:t>
      </w:r>
    </w:p>
    <w:p>
      <w:pPr>
        <w:pStyle w:val="ListParagraph"/>
        <w:numPr>
          <w:ilvl w:val="1"/>
          <w:numId w:val="12"/>
        </w:numPr>
        <w:tabs>
          <w:tab w:pos="1900" w:val="left" w:leader="none"/>
        </w:tabs>
        <w:spacing w:line="240" w:lineRule="auto" w:before="4" w:after="0"/>
        <w:ind w:left="1899" w:right="533" w:hanging="359"/>
        <w:jc w:val="left"/>
        <w:rPr>
          <w:rFonts w:ascii="Arial" w:hAnsi="Arial"/>
          <w:sz w:val="22"/>
        </w:rPr>
      </w:pPr>
      <w:r>
        <w:rPr>
          <w:rFonts w:ascii="Arial" w:hAnsi="Arial"/>
          <w:sz w:val="22"/>
        </w:rPr>
        <w:t>the expressions “wireless telegraphy station” and “wireless telegraphy apparatus” shall have the meanings given by section 117 of the</w:t>
      </w:r>
      <w:r>
        <w:rPr>
          <w:rFonts w:ascii="Arial" w:hAnsi="Arial"/>
          <w:spacing w:val="-17"/>
          <w:sz w:val="22"/>
        </w:rPr>
        <w:t> </w:t>
      </w:r>
      <w:r>
        <w:rPr>
          <w:rFonts w:ascii="Arial" w:hAnsi="Arial"/>
          <w:sz w:val="22"/>
        </w:rPr>
        <w:t>Act;</w:t>
      </w:r>
    </w:p>
    <w:p>
      <w:pPr>
        <w:pStyle w:val="ListParagraph"/>
        <w:numPr>
          <w:ilvl w:val="1"/>
          <w:numId w:val="12"/>
        </w:numPr>
        <w:tabs>
          <w:tab w:pos="1901" w:val="left" w:leader="none"/>
        </w:tabs>
        <w:spacing w:line="240" w:lineRule="auto" w:before="0" w:after="0"/>
        <w:ind w:left="1900" w:right="469" w:hanging="360"/>
        <w:jc w:val="left"/>
        <w:rPr>
          <w:rFonts w:ascii="Arial"/>
          <w:sz w:val="22"/>
        </w:rPr>
      </w:pPr>
      <w:r>
        <w:rPr>
          <w:rFonts w:ascii="Arial"/>
          <w:sz w:val="22"/>
        </w:rPr>
        <w:t>the schedule(s) form part of this Licence together with any subsequent schedule(s) which Ofcom may issue as a variation to this Licence;</w:t>
      </w:r>
      <w:r>
        <w:rPr>
          <w:rFonts w:ascii="Arial"/>
          <w:spacing w:val="-21"/>
          <w:sz w:val="22"/>
        </w:rPr>
        <w:t> </w:t>
      </w:r>
      <w:r>
        <w:rPr>
          <w:rFonts w:ascii="Arial"/>
          <w:sz w:val="22"/>
        </w:rPr>
        <w:t>and</w:t>
      </w:r>
    </w:p>
    <w:p>
      <w:pPr>
        <w:pStyle w:val="BodyText"/>
        <w:spacing w:line="254" w:lineRule="exact" w:before="21"/>
        <w:ind w:left="1900" w:right="454" w:hanging="360"/>
        <w:rPr>
          <w:rFonts w:ascii="Arial"/>
        </w:rPr>
      </w:pPr>
      <w:r>
        <w:rPr>
          <w:rFonts w:ascii="Arial"/>
          <w:sz w:val="24"/>
        </w:rPr>
        <w:t>a) </w:t>
      </w:r>
      <w:r>
        <w:rPr>
          <w:rFonts w:ascii="Arial"/>
        </w:rPr>
        <w:t>the Interpretation Act 1978 shall apply to the Licence as it applies to an Act of Parliament.</w:t>
      </w:r>
    </w:p>
    <w:p>
      <w:pPr>
        <w:spacing w:after="0" w:line="254" w:lineRule="exact"/>
        <w:rPr>
          <w:rFonts w:ascii="Arial"/>
        </w:rPr>
        <w:sectPr>
          <w:pgSz w:w="11910" w:h="16840"/>
          <w:pgMar w:header="727" w:footer="1316" w:top="920" w:bottom="1520" w:left="1340" w:right="1340"/>
        </w:sectPr>
      </w:pPr>
    </w:p>
    <w:p>
      <w:pPr>
        <w:pStyle w:val="BodyText"/>
        <w:rPr>
          <w:rFonts w:ascii="Arial"/>
          <w:sz w:val="20"/>
        </w:rPr>
      </w:pPr>
    </w:p>
    <w:p>
      <w:pPr>
        <w:pStyle w:val="BodyText"/>
        <w:rPr>
          <w:rFonts w:ascii="Arial"/>
          <w:sz w:val="20"/>
        </w:rPr>
      </w:pPr>
    </w:p>
    <w:p>
      <w:pPr>
        <w:pStyle w:val="BodyText"/>
        <w:spacing w:before="4"/>
        <w:rPr>
          <w:rFonts w:ascii="Arial"/>
          <w:sz w:val="19"/>
        </w:rPr>
      </w:pPr>
    </w:p>
    <w:p>
      <w:pPr>
        <w:pStyle w:val="Heading4"/>
        <w:spacing w:before="92"/>
        <w:ind w:left="2676"/>
      </w:pPr>
      <w:r>
        <w:rPr>
          <w:color w:val="960031"/>
        </w:rPr>
        <w:t>Shared Access Low Power Indoor</w:t>
      </w:r>
    </w:p>
    <w:p>
      <w:pPr>
        <w:pStyle w:val="Heading5"/>
        <w:spacing w:before="159"/>
        <w:ind w:left="3430"/>
        <w:rPr>
          <w:rFonts w:ascii="Arial"/>
        </w:rPr>
      </w:pPr>
      <w:r>
        <w:rPr>
          <w:rFonts w:ascii="Arial"/>
          <w:color w:val="960031"/>
        </w:rPr>
        <w:t>SCHEDULE 1 TO LICENCE</w:t>
      </w:r>
    </w:p>
    <w:p>
      <w:pPr>
        <w:pStyle w:val="BodyText"/>
        <w:rPr>
          <w:rFonts w:ascii="Arial"/>
          <w:b/>
          <w:sz w:val="24"/>
        </w:rPr>
      </w:pPr>
    </w:p>
    <w:p>
      <w:pPr>
        <w:pStyle w:val="BodyText"/>
        <w:spacing w:before="3"/>
        <w:rPr>
          <w:rFonts w:ascii="Arial"/>
          <w:b/>
        </w:rPr>
      </w:pPr>
    </w:p>
    <w:p>
      <w:pPr>
        <w:spacing w:before="0"/>
        <w:ind w:left="820" w:right="0" w:firstLine="0"/>
        <w:jc w:val="left"/>
        <w:rPr>
          <w:rFonts w:ascii="Arial"/>
          <w:b/>
          <w:sz w:val="22"/>
        </w:rPr>
      </w:pPr>
      <w:r>
        <w:rPr>
          <w:rFonts w:ascii="Arial"/>
          <w:b/>
          <w:color w:val="CD0033"/>
          <w:sz w:val="22"/>
        </w:rPr>
        <w:t>Description of Radio Equipment</w:t>
      </w:r>
    </w:p>
    <w:p>
      <w:pPr>
        <w:pStyle w:val="ListParagraph"/>
        <w:numPr>
          <w:ilvl w:val="0"/>
          <w:numId w:val="13"/>
        </w:numPr>
        <w:tabs>
          <w:tab w:pos="1180" w:val="left" w:leader="none"/>
        </w:tabs>
        <w:spacing w:line="240" w:lineRule="auto" w:before="139" w:after="0"/>
        <w:ind w:left="1179" w:right="320" w:hanging="359"/>
        <w:jc w:val="left"/>
        <w:rPr>
          <w:rFonts w:ascii="Arial"/>
          <w:sz w:val="22"/>
        </w:rPr>
      </w:pPr>
      <w:r>
        <w:rPr>
          <w:rFonts w:ascii="Arial"/>
          <w:sz w:val="22"/>
        </w:rPr>
        <w:t>References in this schedule(s) to the Radio Equipment are references to any wireless telegraphy station or wireless telegraphy apparatus that is established, installed and/or used under this</w:t>
      </w:r>
      <w:r>
        <w:rPr>
          <w:rFonts w:ascii="Arial"/>
          <w:spacing w:val="-13"/>
          <w:sz w:val="22"/>
        </w:rPr>
        <w:t> </w:t>
      </w:r>
      <w:r>
        <w:rPr>
          <w:rFonts w:ascii="Arial"/>
          <w:sz w:val="22"/>
        </w:rPr>
        <w:t>schedule(s).</w:t>
      </w:r>
    </w:p>
    <w:p>
      <w:pPr>
        <w:pStyle w:val="BodyText"/>
        <w:rPr>
          <w:rFonts w:ascii="Arial"/>
          <w:sz w:val="24"/>
        </w:rPr>
      </w:pPr>
    </w:p>
    <w:p>
      <w:pPr>
        <w:pStyle w:val="Heading5"/>
        <w:spacing w:before="141"/>
        <w:ind w:left="820"/>
        <w:rPr>
          <w:rFonts w:ascii="Arial"/>
        </w:rPr>
      </w:pPr>
      <w:r>
        <w:rPr>
          <w:rFonts w:ascii="Arial"/>
          <w:color w:val="CD0033"/>
        </w:rPr>
        <w:t>Interface Requirements for the Radio Equipment</w:t>
      </w:r>
    </w:p>
    <w:p>
      <w:pPr>
        <w:pStyle w:val="ListParagraph"/>
        <w:numPr>
          <w:ilvl w:val="0"/>
          <w:numId w:val="13"/>
        </w:numPr>
        <w:tabs>
          <w:tab w:pos="1180" w:val="left" w:leader="none"/>
        </w:tabs>
        <w:spacing w:line="240" w:lineRule="auto" w:before="138" w:after="0"/>
        <w:ind w:left="1179" w:right="384" w:hanging="359"/>
        <w:jc w:val="left"/>
        <w:rPr>
          <w:rFonts w:ascii="Arial"/>
          <w:sz w:val="22"/>
        </w:rPr>
      </w:pPr>
      <w:r>
        <w:rPr>
          <w:rFonts w:ascii="Arial"/>
          <w:sz w:val="22"/>
        </w:rPr>
        <w:t>Use of the Radio Equipment shall be in accordance with the following Interface Requirement:</w:t>
      </w:r>
    </w:p>
    <w:p>
      <w:pPr>
        <w:pStyle w:val="BodyText"/>
        <w:rPr>
          <w:rFonts w:ascii="Arial"/>
          <w:sz w:val="24"/>
        </w:rPr>
      </w:pPr>
    </w:p>
    <w:p>
      <w:pPr>
        <w:pStyle w:val="BodyText"/>
        <w:spacing w:before="141"/>
        <w:ind w:left="1180"/>
        <w:rPr>
          <w:rFonts w:ascii="Arial"/>
        </w:rPr>
      </w:pPr>
      <w:r>
        <w:rPr>
          <w:rFonts w:ascii="Arial"/>
        </w:rPr>
        <w:t>IR 2103</w:t>
      </w:r>
    </w:p>
    <w:p>
      <w:pPr>
        <w:pStyle w:val="Heading4"/>
        <w:spacing w:before="141"/>
        <w:ind w:left="819"/>
      </w:pPr>
      <w:r>
        <w:rPr>
          <w:color w:val="CD0033"/>
        </w:rPr>
        <w:t>Special conditions relating to the Radio Equipment</w:t>
      </w:r>
    </w:p>
    <w:p>
      <w:pPr>
        <w:pStyle w:val="ListParagraph"/>
        <w:numPr>
          <w:ilvl w:val="0"/>
          <w:numId w:val="13"/>
        </w:numPr>
        <w:tabs>
          <w:tab w:pos="1180" w:val="left" w:leader="none"/>
        </w:tabs>
        <w:spacing w:line="254" w:lineRule="exact" w:before="162" w:after="0"/>
        <w:ind w:left="1180" w:right="186" w:hanging="360"/>
        <w:jc w:val="left"/>
        <w:rPr>
          <w:rFonts w:ascii="Arial"/>
          <w:sz w:val="24"/>
        </w:rPr>
      </w:pPr>
      <w:r>
        <w:rPr>
          <w:rFonts w:ascii="Arial"/>
          <w:sz w:val="22"/>
        </w:rPr>
        <w:t>This Licence authorises the use of the Radio Equipment within the Permitted Frequency Band and the Licensee warrants that the Radio Equipment is capable of transmitting across the Permitted Frequency</w:t>
      </w:r>
      <w:r>
        <w:rPr>
          <w:rFonts w:ascii="Arial"/>
          <w:spacing w:val="-16"/>
          <w:sz w:val="22"/>
        </w:rPr>
        <w:t> </w:t>
      </w:r>
      <w:r>
        <w:rPr>
          <w:rFonts w:ascii="Arial"/>
          <w:sz w:val="22"/>
        </w:rPr>
        <w:t>Band.</w:t>
      </w:r>
    </w:p>
    <w:p>
      <w:pPr>
        <w:pStyle w:val="BodyText"/>
        <w:spacing w:before="3"/>
        <w:rPr>
          <w:rFonts w:ascii="Arial"/>
          <w:sz w:val="27"/>
        </w:rPr>
      </w:pPr>
    </w:p>
    <w:p>
      <w:pPr>
        <w:pStyle w:val="ListParagraph"/>
        <w:numPr>
          <w:ilvl w:val="0"/>
          <w:numId w:val="13"/>
        </w:numPr>
        <w:tabs>
          <w:tab w:pos="1180" w:val="left" w:leader="none"/>
        </w:tabs>
        <w:spacing w:line="240" w:lineRule="auto" w:before="0" w:after="0"/>
        <w:ind w:left="1179" w:right="261" w:hanging="359"/>
        <w:jc w:val="left"/>
        <w:rPr>
          <w:rFonts w:ascii="Arial"/>
          <w:sz w:val="22"/>
        </w:rPr>
      </w:pPr>
      <w:r>
        <w:rPr>
          <w:rFonts w:ascii="Arial"/>
          <w:sz w:val="22"/>
        </w:rPr>
        <w:t>However, the Licensee is only authorised to transmit on the Permitted Channel Centre Frequency within the Permitted Frequency Band, as set in Schedule 2 to this Licence or as notified to the Licensee by Ofcom from time to</w:t>
      </w:r>
      <w:r>
        <w:rPr>
          <w:rFonts w:ascii="Arial"/>
          <w:spacing w:val="-19"/>
          <w:sz w:val="22"/>
        </w:rPr>
        <w:t> </w:t>
      </w:r>
      <w:r>
        <w:rPr>
          <w:rFonts w:ascii="Arial"/>
          <w:sz w:val="22"/>
        </w:rPr>
        <w:t>time.</w:t>
      </w:r>
    </w:p>
    <w:p>
      <w:pPr>
        <w:pStyle w:val="BodyText"/>
        <w:spacing w:before="2"/>
        <w:rPr>
          <w:rFonts w:ascii="Arial"/>
          <w:sz w:val="25"/>
        </w:rPr>
      </w:pPr>
    </w:p>
    <w:p>
      <w:pPr>
        <w:pStyle w:val="ListParagraph"/>
        <w:numPr>
          <w:ilvl w:val="0"/>
          <w:numId w:val="13"/>
        </w:numPr>
        <w:tabs>
          <w:tab w:pos="1180" w:val="left" w:leader="none"/>
        </w:tabs>
        <w:spacing w:line="240" w:lineRule="auto" w:before="1" w:after="0"/>
        <w:ind w:left="1179" w:right="531" w:hanging="359"/>
        <w:jc w:val="left"/>
        <w:rPr>
          <w:rFonts w:ascii="Arial"/>
          <w:sz w:val="22"/>
        </w:rPr>
      </w:pPr>
      <w:r>
        <w:rPr>
          <w:rFonts w:ascii="Arial"/>
          <w:sz w:val="22"/>
        </w:rPr>
        <w:t>The Licensee must comply with any change to the Permitted Channel Centre Frequency notified by Ofcom within the timescale indicated in the</w:t>
      </w:r>
      <w:r>
        <w:rPr>
          <w:rFonts w:ascii="Arial"/>
          <w:spacing w:val="-23"/>
          <w:sz w:val="22"/>
        </w:rPr>
        <w:t> </w:t>
      </w:r>
      <w:r>
        <w:rPr>
          <w:rFonts w:ascii="Arial"/>
          <w:sz w:val="22"/>
        </w:rPr>
        <w:t>notification.</w:t>
      </w:r>
    </w:p>
    <w:p>
      <w:pPr>
        <w:pStyle w:val="BodyText"/>
        <w:spacing w:before="2"/>
        <w:rPr>
          <w:rFonts w:ascii="Arial"/>
          <w:sz w:val="27"/>
        </w:rPr>
      </w:pPr>
    </w:p>
    <w:p>
      <w:pPr>
        <w:pStyle w:val="ListParagraph"/>
        <w:numPr>
          <w:ilvl w:val="0"/>
          <w:numId w:val="13"/>
        </w:numPr>
        <w:tabs>
          <w:tab w:pos="1180" w:val="left" w:leader="none"/>
        </w:tabs>
        <w:spacing w:line="254" w:lineRule="exact" w:before="0" w:after="0"/>
        <w:ind w:left="1180" w:right="262" w:hanging="360"/>
        <w:jc w:val="left"/>
        <w:rPr>
          <w:rFonts w:ascii="Arial"/>
          <w:sz w:val="24"/>
        </w:rPr>
      </w:pPr>
      <w:r>
        <w:rPr>
          <w:rFonts w:ascii="Arial"/>
          <w:sz w:val="22"/>
        </w:rPr>
        <w:t>During the period that this Licence remains in force, unless consent has otherwise been given by Ofcom, the Licensee shall compile and maintain accurate written records of the following details relating to the Radio</w:t>
      </w:r>
      <w:r>
        <w:rPr>
          <w:rFonts w:ascii="Arial"/>
          <w:spacing w:val="-24"/>
          <w:sz w:val="22"/>
        </w:rPr>
        <w:t> </w:t>
      </w:r>
      <w:r>
        <w:rPr>
          <w:rFonts w:ascii="Arial"/>
          <w:sz w:val="22"/>
        </w:rPr>
        <w:t>Equipment:</w:t>
      </w:r>
    </w:p>
    <w:p>
      <w:pPr>
        <w:pStyle w:val="BodyText"/>
        <w:rPr>
          <w:rFonts w:ascii="Arial"/>
          <w:sz w:val="27"/>
        </w:rPr>
      </w:pPr>
    </w:p>
    <w:p>
      <w:pPr>
        <w:pStyle w:val="ListParagraph"/>
        <w:numPr>
          <w:ilvl w:val="1"/>
          <w:numId w:val="13"/>
        </w:numPr>
        <w:tabs>
          <w:tab w:pos="1900" w:val="left" w:leader="none"/>
        </w:tabs>
        <w:spacing w:line="274" w:lineRule="exact" w:before="1" w:after="0"/>
        <w:ind w:left="1900" w:right="0" w:hanging="360"/>
        <w:jc w:val="left"/>
        <w:rPr>
          <w:rFonts w:ascii="Arial"/>
          <w:sz w:val="24"/>
        </w:rPr>
      </w:pPr>
      <w:r>
        <w:rPr>
          <w:rFonts w:ascii="Arial"/>
          <w:sz w:val="22"/>
        </w:rPr>
        <w:t>For all base stations</w:t>
      </w:r>
      <w:r>
        <w:rPr>
          <w:rFonts w:ascii="Arial"/>
          <w:spacing w:val="-5"/>
          <w:sz w:val="22"/>
        </w:rPr>
        <w:t> </w:t>
      </w:r>
      <w:r>
        <w:rPr>
          <w:rFonts w:ascii="Arial"/>
          <w:sz w:val="22"/>
        </w:rPr>
        <w:t>the:</w:t>
      </w:r>
    </w:p>
    <w:p>
      <w:pPr>
        <w:pStyle w:val="ListParagraph"/>
        <w:numPr>
          <w:ilvl w:val="2"/>
          <w:numId w:val="13"/>
        </w:numPr>
        <w:tabs>
          <w:tab w:pos="2620" w:val="left" w:leader="none"/>
        </w:tabs>
        <w:spacing w:line="272" w:lineRule="exact" w:before="0" w:after="0"/>
        <w:ind w:left="2620" w:right="0" w:hanging="300"/>
        <w:jc w:val="left"/>
        <w:rPr>
          <w:rFonts w:ascii="Arial"/>
          <w:sz w:val="22"/>
        </w:rPr>
      </w:pPr>
      <w:r>
        <w:rPr>
          <w:rFonts w:ascii="Arial"/>
          <w:sz w:val="22"/>
        </w:rPr>
        <w:t>Postal address (including post code);</w:t>
      </w:r>
      <w:r>
        <w:rPr>
          <w:rFonts w:ascii="Arial"/>
          <w:spacing w:val="-14"/>
          <w:sz w:val="22"/>
        </w:rPr>
        <w:t> </w:t>
      </w:r>
      <w:r>
        <w:rPr>
          <w:rFonts w:ascii="Arial"/>
          <w:sz w:val="22"/>
        </w:rPr>
        <w:t>and</w:t>
      </w:r>
    </w:p>
    <w:p>
      <w:pPr>
        <w:pStyle w:val="ListParagraph"/>
        <w:numPr>
          <w:ilvl w:val="2"/>
          <w:numId w:val="13"/>
        </w:numPr>
        <w:tabs>
          <w:tab w:pos="2620" w:val="left" w:leader="none"/>
        </w:tabs>
        <w:spacing w:line="272" w:lineRule="exact" w:before="0" w:after="0"/>
        <w:ind w:left="2620" w:right="0" w:hanging="353"/>
        <w:jc w:val="left"/>
        <w:rPr>
          <w:rFonts w:ascii="Arial"/>
          <w:sz w:val="22"/>
        </w:rPr>
      </w:pPr>
      <w:r>
        <w:rPr>
          <w:rFonts w:ascii="Arial"/>
          <w:sz w:val="22"/>
        </w:rPr>
        <w:t>Antenna height (above ground level) and type;</w:t>
      </w:r>
      <w:r>
        <w:rPr>
          <w:rFonts w:ascii="Arial"/>
          <w:spacing w:val="-14"/>
          <w:sz w:val="22"/>
        </w:rPr>
        <w:t> </w:t>
      </w:r>
      <w:r>
        <w:rPr>
          <w:rFonts w:ascii="Arial"/>
          <w:sz w:val="22"/>
        </w:rPr>
        <w:t>and</w:t>
      </w:r>
    </w:p>
    <w:p>
      <w:pPr>
        <w:pStyle w:val="ListParagraph"/>
        <w:numPr>
          <w:ilvl w:val="1"/>
          <w:numId w:val="13"/>
        </w:numPr>
        <w:tabs>
          <w:tab w:pos="1900" w:val="left" w:leader="none"/>
        </w:tabs>
        <w:spacing w:line="272" w:lineRule="exact" w:before="0" w:after="0"/>
        <w:ind w:left="1900" w:right="0" w:hanging="360"/>
        <w:jc w:val="left"/>
        <w:rPr>
          <w:rFonts w:ascii="Arial"/>
          <w:sz w:val="24"/>
        </w:rPr>
      </w:pPr>
      <w:r>
        <w:rPr>
          <w:rFonts w:ascii="Arial"/>
          <w:sz w:val="22"/>
        </w:rPr>
        <w:t>For all fixed/ installed terminals</w:t>
      </w:r>
      <w:r>
        <w:rPr>
          <w:rFonts w:ascii="Arial"/>
          <w:spacing w:val="-12"/>
          <w:sz w:val="22"/>
        </w:rPr>
        <w:t> </w:t>
      </w:r>
      <w:r>
        <w:rPr>
          <w:rFonts w:ascii="Arial"/>
          <w:sz w:val="22"/>
        </w:rPr>
        <w:t>the:</w:t>
      </w:r>
    </w:p>
    <w:p>
      <w:pPr>
        <w:pStyle w:val="ListParagraph"/>
        <w:numPr>
          <w:ilvl w:val="2"/>
          <w:numId w:val="13"/>
        </w:numPr>
        <w:tabs>
          <w:tab w:pos="2620" w:val="left" w:leader="none"/>
        </w:tabs>
        <w:spacing w:line="271" w:lineRule="exact" w:before="0" w:after="0"/>
        <w:ind w:left="2620" w:right="0" w:hanging="300"/>
        <w:jc w:val="left"/>
        <w:rPr>
          <w:rFonts w:ascii="Arial"/>
          <w:sz w:val="22"/>
        </w:rPr>
      </w:pPr>
      <w:r>
        <w:rPr>
          <w:rFonts w:ascii="Arial"/>
          <w:sz w:val="22"/>
        </w:rPr>
        <w:t>Postal address (including post</w:t>
      </w:r>
      <w:r>
        <w:rPr>
          <w:rFonts w:ascii="Arial"/>
          <w:spacing w:val="-14"/>
          <w:sz w:val="22"/>
        </w:rPr>
        <w:t> </w:t>
      </w:r>
      <w:r>
        <w:rPr>
          <w:rFonts w:ascii="Arial"/>
          <w:sz w:val="22"/>
        </w:rPr>
        <w:t>code);</w:t>
      </w:r>
    </w:p>
    <w:p>
      <w:pPr>
        <w:pStyle w:val="ListParagraph"/>
        <w:numPr>
          <w:ilvl w:val="2"/>
          <w:numId w:val="13"/>
        </w:numPr>
        <w:tabs>
          <w:tab w:pos="2620" w:val="left" w:leader="none"/>
        </w:tabs>
        <w:spacing w:line="272" w:lineRule="exact" w:before="0" w:after="0"/>
        <w:ind w:left="2620" w:right="0" w:hanging="353"/>
        <w:jc w:val="left"/>
        <w:rPr>
          <w:rFonts w:ascii="Arial"/>
          <w:sz w:val="22"/>
        </w:rPr>
      </w:pPr>
      <w:r>
        <w:rPr>
          <w:rFonts w:ascii="Arial"/>
          <w:sz w:val="22"/>
        </w:rPr>
        <w:t>National Grid Reference (to 1m resolution);</w:t>
      </w:r>
      <w:r>
        <w:rPr>
          <w:rFonts w:ascii="Arial"/>
          <w:spacing w:val="-11"/>
          <w:sz w:val="22"/>
        </w:rPr>
        <w:t> </w:t>
      </w:r>
      <w:r>
        <w:rPr>
          <w:rFonts w:ascii="Arial"/>
          <w:sz w:val="22"/>
        </w:rPr>
        <w:t>and</w:t>
      </w:r>
    </w:p>
    <w:p>
      <w:pPr>
        <w:pStyle w:val="ListParagraph"/>
        <w:numPr>
          <w:ilvl w:val="2"/>
          <w:numId w:val="13"/>
        </w:numPr>
        <w:tabs>
          <w:tab w:pos="2620" w:val="left" w:leader="none"/>
        </w:tabs>
        <w:spacing w:line="254" w:lineRule="exact" w:before="20" w:after="0"/>
        <w:ind w:left="2620" w:right="264" w:hanging="407"/>
        <w:jc w:val="left"/>
        <w:rPr>
          <w:rFonts w:ascii="Arial"/>
          <w:sz w:val="22"/>
        </w:rPr>
      </w:pPr>
      <w:r>
        <w:rPr>
          <w:rFonts w:ascii="Arial"/>
          <w:sz w:val="22"/>
        </w:rPr>
        <w:t>Antenna height (above ground level), type, and boresight bearing east of true north (if</w:t>
      </w:r>
      <w:r>
        <w:rPr>
          <w:rFonts w:ascii="Arial"/>
          <w:spacing w:val="-8"/>
          <w:sz w:val="22"/>
        </w:rPr>
        <w:t> </w:t>
      </w:r>
      <w:r>
        <w:rPr>
          <w:rFonts w:ascii="Arial"/>
          <w:sz w:val="22"/>
        </w:rPr>
        <w:t>applicable).</w:t>
      </w:r>
    </w:p>
    <w:p>
      <w:pPr>
        <w:pStyle w:val="BodyText"/>
        <w:spacing w:before="10"/>
        <w:rPr>
          <w:rFonts w:ascii="Arial"/>
          <w:sz w:val="35"/>
        </w:rPr>
      </w:pPr>
    </w:p>
    <w:p>
      <w:pPr>
        <w:pStyle w:val="ListParagraph"/>
        <w:numPr>
          <w:ilvl w:val="0"/>
          <w:numId w:val="13"/>
        </w:numPr>
        <w:tabs>
          <w:tab w:pos="1180" w:val="left" w:leader="none"/>
        </w:tabs>
        <w:spacing w:line="240" w:lineRule="auto" w:before="0" w:after="0"/>
        <w:ind w:left="1180" w:right="125" w:hanging="360"/>
        <w:jc w:val="left"/>
        <w:rPr>
          <w:rFonts w:ascii="Arial"/>
          <w:sz w:val="24"/>
        </w:rPr>
      </w:pPr>
      <w:r>
        <w:rPr>
          <w:rFonts w:ascii="Arial"/>
          <w:sz w:val="22"/>
        </w:rPr>
        <w:t>The Licensee shall submit to Ofcom in such manner and within such period as specified by Ofcom, such other information in relation to the Radio Equipment, or any wireless telegraphy station or wireless telegraphy apparatus, which the Licensee is planning to use, as Ofcom may from time to time request. Such information may include, but is not limited to, information in relation to the radio frequency, transmitted power and date of first use for wireless telegraphy</w:t>
      </w:r>
      <w:r>
        <w:rPr>
          <w:rFonts w:ascii="Arial"/>
          <w:spacing w:val="-22"/>
          <w:sz w:val="22"/>
        </w:rPr>
        <w:t> </w:t>
      </w:r>
      <w:r>
        <w:rPr>
          <w:rFonts w:ascii="Arial"/>
          <w:sz w:val="22"/>
        </w:rPr>
        <w:t>stations</w:t>
      </w:r>
    </w:p>
    <w:p>
      <w:pPr>
        <w:spacing w:after="0" w:line="240" w:lineRule="auto"/>
        <w:jc w:val="left"/>
        <w:rPr>
          <w:rFonts w:ascii="Arial"/>
          <w:sz w:val="24"/>
        </w:rPr>
        <w:sectPr>
          <w:pgSz w:w="11910" w:h="16840"/>
          <w:pgMar w:header="727" w:footer="1316" w:top="920" w:bottom="1520" w:left="1340" w:right="1340"/>
        </w:sectPr>
      </w:pPr>
    </w:p>
    <w:p>
      <w:pPr>
        <w:pStyle w:val="BodyText"/>
        <w:rPr>
          <w:rFonts w:ascii="Arial"/>
          <w:sz w:val="20"/>
        </w:rPr>
      </w:pPr>
    </w:p>
    <w:p>
      <w:pPr>
        <w:pStyle w:val="BodyText"/>
        <w:rPr>
          <w:rFonts w:ascii="Arial"/>
          <w:sz w:val="20"/>
        </w:rPr>
      </w:pPr>
    </w:p>
    <w:p>
      <w:pPr>
        <w:pStyle w:val="BodyText"/>
        <w:spacing w:before="2"/>
        <w:rPr>
          <w:rFonts w:ascii="Arial"/>
          <w:sz w:val="19"/>
        </w:rPr>
      </w:pPr>
    </w:p>
    <w:p>
      <w:pPr>
        <w:pStyle w:val="BodyText"/>
        <w:spacing w:before="93"/>
        <w:ind w:left="1180" w:right="252"/>
        <w:rPr>
          <w:rFonts w:ascii="Arial"/>
        </w:rPr>
      </w:pPr>
      <w:r>
        <w:rPr>
          <w:rFonts w:ascii="Arial"/>
        </w:rPr>
        <w:t>or wireless telegraphy apparatus to be established, installed or used within such timeframe and in such areas as Ofcom may reasonably request.</w:t>
      </w:r>
    </w:p>
    <w:p>
      <w:pPr>
        <w:pStyle w:val="BodyText"/>
        <w:rPr>
          <w:rFonts w:ascii="Arial"/>
          <w:sz w:val="24"/>
        </w:rPr>
      </w:pPr>
    </w:p>
    <w:p>
      <w:pPr>
        <w:pStyle w:val="ListParagraph"/>
        <w:numPr>
          <w:ilvl w:val="0"/>
          <w:numId w:val="13"/>
        </w:numPr>
        <w:tabs>
          <w:tab w:pos="1180" w:val="left" w:leader="none"/>
        </w:tabs>
        <w:spacing w:line="240" w:lineRule="auto" w:before="141" w:after="0"/>
        <w:ind w:left="1179" w:right="0" w:hanging="359"/>
        <w:jc w:val="left"/>
        <w:rPr>
          <w:rFonts w:ascii="Arial"/>
          <w:sz w:val="22"/>
        </w:rPr>
      </w:pPr>
      <w:r>
        <w:rPr>
          <w:rFonts w:ascii="Arial"/>
          <w:sz w:val="22"/>
        </w:rPr>
        <w:t>The use of the Radio Equipment is not permitted</w:t>
      </w:r>
      <w:r>
        <w:rPr>
          <w:rFonts w:ascii="Arial"/>
          <w:spacing w:val="-16"/>
          <w:sz w:val="22"/>
        </w:rPr>
        <w:t> </w:t>
      </w:r>
      <w:r>
        <w:rPr>
          <w:rFonts w:ascii="Arial"/>
          <w:sz w:val="22"/>
        </w:rPr>
        <w:t>airborne.</w:t>
      </w:r>
    </w:p>
    <w:p>
      <w:pPr>
        <w:pStyle w:val="BodyText"/>
        <w:rPr>
          <w:rFonts w:ascii="Arial"/>
          <w:sz w:val="24"/>
        </w:rPr>
      </w:pPr>
    </w:p>
    <w:p>
      <w:pPr>
        <w:pStyle w:val="Heading4"/>
        <w:spacing w:before="181"/>
      </w:pPr>
      <w:r>
        <w:rPr>
          <w:color w:val="CD0033"/>
        </w:rPr>
        <w:t>Coordination at frequency and geographical boundaries</w:t>
      </w:r>
    </w:p>
    <w:p>
      <w:pPr>
        <w:pStyle w:val="ListParagraph"/>
        <w:numPr>
          <w:ilvl w:val="0"/>
          <w:numId w:val="13"/>
        </w:numPr>
        <w:tabs>
          <w:tab w:pos="1180" w:val="left" w:leader="none"/>
        </w:tabs>
        <w:spacing w:line="237" w:lineRule="auto" w:before="142" w:after="0"/>
        <w:ind w:left="1180" w:right="298" w:hanging="360"/>
        <w:jc w:val="left"/>
        <w:rPr>
          <w:rFonts w:ascii="Arial"/>
          <w:sz w:val="24"/>
        </w:rPr>
      </w:pPr>
      <w:r>
        <w:rPr>
          <w:rFonts w:ascii="Arial"/>
          <w:sz w:val="22"/>
        </w:rPr>
        <w:t>The Licensee shall ensure that the Radio Equipment is operated in compliance with such coordination procedures as may be notified to the Licensee by Ofcom from time to</w:t>
      </w:r>
      <w:r>
        <w:rPr>
          <w:rFonts w:ascii="Arial"/>
          <w:spacing w:val="-5"/>
          <w:sz w:val="22"/>
        </w:rPr>
        <w:t> </w:t>
      </w:r>
      <w:r>
        <w:rPr>
          <w:rFonts w:ascii="Arial"/>
          <w:sz w:val="22"/>
        </w:rPr>
        <w:t>time.</w:t>
      </w:r>
    </w:p>
    <w:p>
      <w:pPr>
        <w:pStyle w:val="BodyText"/>
        <w:rPr>
          <w:rFonts w:ascii="Arial"/>
          <w:sz w:val="24"/>
        </w:rPr>
      </w:pPr>
    </w:p>
    <w:p>
      <w:pPr>
        <w:pStyle w:val="Heading4"/>
        <w:spacing w:before="142"/>
      </w:pPr>
      <w:r>
        <w:rPr>
          <w:color w:val="CD0033"/>
        </w:rPr>
        <w:t>Cooperation between Licensees</w:t>
      </w:r>
    </w:p>
    <w:p>
      <w:pPr>
        <w:pStyle w:val="ListParagraph"/>
        <w:numPr>
          <w:ilvl w:val="0"/>
          <w:numId w:val="13"/>
        </w:numPr>
        <w:tabs>
          <w:tab w:pos="1180" w:val="left" w:leader="none"/>
        </w:tabs>
        <w:spacing w:line="240" w:lineRule="auto" w:before="140" w:after="0"/>
        <w:ind w:left="1180" w:right="173" w:hanging="360"/>
        <w:jc w:val="left"/>
        <w:rPr>
          <w:rFonts w:ascii="Arial"/>
          <w:sz w:val="24"/>
        </w:rPr>
      </w:pPr>
      <w:r>
        <w:rPr>
          <w:rFonts w:ascii="Arial"/>
          <w:sz w:val="22"/>
        </w:rPr>
        <w:t>In addition to complying with the specific transmission terms, conditions and limitations set out in this Licence, the Licensee must liaise and co-operate with other holders of other Shared Access 26 GHz licences (if necessary adjusting transmission power and other technical parameters of transmission) in such a way that harmful interference is not caused by one network deployment to that of another Licensee within the</w:t>
      </w:r>
      <w:r>
        <w:rPr>
          <w:rFonts w:ascii="Arial"/>
          <w:spacing w:val="-9"/>
          <w:sz w:val="22"/>
        </w:rPr>
        <w:t> </w:t>
      </w:r>
      <w:r>
        <w:rPr>
          <w:rFonts w:ascii="Arial"/>
          <w:sz w:val="22"/>
        </w:rPr>
        <w:t>band.</w:t>
      </w:r>
    </w:p>
    <w:p>
      <w:pPr>
        <w:pStyle w:val="BodyText"/>
        <w:rPr>
          <w:rFonts w:ascii="Arial"/>
          <w:sz w:val="24"/>
        </w:rPr>
      </w:pPr>
    </w:p>
    <w:p>
      <w:pPr>
        <w:pStyle w:val="Heading4"/>
        <w:spacing w:before="143"/>
      </w:pPr>
      <w:r>
        <w:rPr>
          <w:color w:val="CD0033"/>
        </w:rPr>
        <w:t>Interpretation of terms in this schedule</w:t>
      </w:r>
    </w:p>
    <w:p>
      <w:pPr>
        <w:pStyle w:val="ListParagraph"/>
        <w:numPr>
          <w:ilvl w:val="0"/>
          <w:numId w:val="13"/>
        </w:numPr>
        <w:tabs>
          <w:tab w:pos="1180" w:val="left" w:leader="none"/>
        </w:tabs>
        <w:spacing w:line="240" w:lineRule="auto" w:before="141" w:after="0"/>
        <w:ind w:left="1179" w:right="0" w:hanging="359"/>
        <w:jc w:val="left"/>
        <w:rPr>
          <w:rFonts w:ascii="Arial"/>
          <w:sz w:val="22"/>
        </w:rPr>
      </w:pPr>
      <w:r>
        <w:rPr>
          <w:rFonts w:ascii="Arial"/>
          <w:sz w:val="22"/>
        </w:rPr>
        <w:t>In this</w:t>
      </w:r>
      <w:r>
        <w:rPr>
          <w:rFonts w:ascii="Arial"/>
          <w:spacing w:val="-5"/>
          <w:sz w:val="22"/>
        </w:rPr>
        <w:t> </w:t>
      </w:r>
      <w:r>
        <w:rPr>
          <w:rFonts w:ascii="Arial"/>
          <w:sz w:val="22"/>
        </w:rPr>
        <w:t>schedule:</w:t>
      </w:r>
    </w:p>
    <w:p>
      <w:pPr>
        <w:pStyle w:val="ListParagraph"/>
        <w:numPr>
          <w:ilvl w:val="1"/>
          <w:numId w:val="13"/>
        </w:numPr>
        <w:tabs>
          <w:tab w:pos="1900" w:val="left" w:leader="none"/>
        </w:tabs>
        <w:spacing w:line="240" w:lineRule="auto" w:before="19" w:after="0"/>
        <w:ind w:left="1900" w:right="240" w:hanging="361"/>
        <w:jc w:val="left"/>
        <w:rPr>
          <w:rFonts w:ascii="Arial"/>
          <w:sz w:val="22"/>
        </w:rPr>
      </w:pPr>
      <w:r>
        <w:rPr>
          <w:rFonts w:ascii="Arial"/>
          <w:sz w:val="22"/>
        </w:rPr>
        <w:t>"IR" means a United Kingdom Radio Interface Requirement published by Ofcom in accordance with the Radio Equipment Regulations 2017, as amended by the e Product Safety and Metrology etc. (Amendment etc.) (EU Exit) Regulations 2019);</w:t>
      </w:r>
      <w:r>
        <w:rPr>
          <w:rFonts w:ascii="Arial"/>
          <w:spacing w:val="-10"/>
          <w:sz w:val="22"/>
        </w:rPr>
        <w:t> </w:t>
      </w:r>
      <w:r>
        <w:rPr>
          <w:rFonts w:ascii="Arial"/>
          <w:sz w:val="22"/>
        </w:rPr>
        <w:t>and</w:t>
      </w:r>
    </w:p>
    <w:p>
      <w:pPr>
        <w:pStyle w:val="ListParagraph"/>
        <w:numPr>
          <w:ilvl w:val="1"/>
          <w:numId w:val="13"/>
        </w:numPr>
        <w:tabs>
          <w:tab w:pos="1900" w:val="left" w:leader="none"/>
        </w:tabs>
        <w:spacing w:line="254" w:lineRule="exact" w:before="21" w:after="0"/>
        <w:ind w:left="1900" w:right="593" w:hanging="360"/>
        <w:jc w:val="left"/>
        <w:rPr>
          <w:rFonts w:ascii="Arial" w:hAnsi="Arial"/>
          <w:sz w:val="24"/>
        </w:rPr>
      </w:pPr>
      <w:r>
        <w:rPr>
          <w:rFonts w:ascii="Arial" w:hAnsi="Arial"/>
          <w:sz w:val="22"/>
        </w:rPr>
        <w:t>“indoor” or “indoors” means inside premises which have a ceiling or a roof; and except for any doors, windows or passageways, are wholly enclosed.</w:t>
      </w:r>
    </w:p>
    <w:p>
      <w:pPr>
        <w:spacing w:after="0" w:line="254" w:lineRule="exact"/>
        <w:jc w:val="left"/>
        <w:rPr>
          <w:rFonts w:ascii="Arial" w:hAnsi="Arial"/>
          <w:sz w:val="24"/>
        </w:rPr>
        <w:sectPr>
          <w:pgSz w:w="11910" w:h="16840"/>
          <w:pgMar w:header="727" w:footer="1316" w:top="920" w:bottom="1520" w:left="1340" w:right="1340"/>
        </w:sectPr>
      </w:pPr>
    </w:p>
    <w:p>
      <w:pPr>
        <w:pStyle w:val="BodyText"/>
        <w:rPr>
          <w:rFonts w:ascii="Arial"/>
          <w:sz w:val="20"/>
        </w:rPr>
      </w:pPr>
    </w:p>
    <w:p>
      <w:pPr>
        <w:pStyle w:val="BodyText"/>
        <w:rPr>
          <w:rFonts w:ascii="Arial"/>
          <w:sz w:val="20"/>
        </w:rPr>
      </w:pPr>
    </w:p>
    <w:p>
      <w:pPr>
        <w:pStyle w:val="BodyText"/>
        <w:spacing w:before="4"/>
        <w:rPr>
          <w:rFonts w:ascii="Arial"/>
          <w:sz w:val="19"/>
        </w:rPr>
      </w:pPr>
    </w:p>
    <w:p>
      <w:pPr>
        <w:pStyle w:val="Heading4"/>
        <w:spacing w:before="92"/>
        <w:ind w:left="3560" w:right="1781"/>
        <w:jc w:val="center"/>
      </w:pPr>
      <w:r>
        <w:rPr>
          <w:color w:val="960031"/>
        </w:rPr>
        <w:t>Shared Access Low Power Indoor</w:t>
      </w:r>
    </w:p>
    <w:p>
      <w:pPr>
        <w:pStyle w:val="Heading5"/>
        <w:spacing w:before="159"/>
        <w:ind w:left="3559" w:right="1781"/>
        <w:jc w:val="center"/>
        <w:rPr>
          <w:rFonts w:ascii="Arial"/>
        </w:rPr>
      </w:pPr>
      <w:r>
        <w:rPr>
          <w:rFonts w:ascii="Arial"/>
          <w:color w:val="960031"/>
        </w:rPr>
        <w:t>SCHEDULE 2 TO LICENCE xxxxx</w:t>
      </w:r>
    </w:p>
    <w:p>
      <w:pPr>
        <w:pStyle w:val="BodyText"/>
        <w:rPr>
          <w:rFonts w:ascii="Arial"/>
          <w:b/>
          <w:sz w:val="20"/>
        </w:rPr>
      </w:pPr>
    </w:p>
    <w:p>
      <w:pPr>
        <w:pStyle w:val="BodyText"/>
        <w:rPr>
          <w:rFonts w:ascii="Arial"/>
          <w:b/>
          <w:sz w:val="20"/>
        </w:rPr>
      </w:pPr>
    </w:p>
    <w:p>
      <w:pPr>
        <w:pStyle w:val="BodyText"/>
        <w:rPr>
          <w:rFonts w:ascii="Arial"/>
          <w:b/>
          <w:sz w:val="10"/>
        </w:rPr>
      </w:pPr>
    </w:p>
    <w:tbl>
      <w:tblPr>
        <w:tblW w:w="0" w:type="auto"/>
        <w:jc w:val="left"/>
        <w:tblInd w:w="8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368"/>
        <w:gridCol w:w="4922"/>
      </w:tblGrid>
      <w:tr>
        <w:trPr>
          <w:trHeight w:val="476" w:hRule="exact"/>
        </w:trPr>
        <w:tc>
          <w:tcPr>
            <w:tcW w:w="8291" w:type="dxa"/>
            <w:gridSpan w:val="2"/>
          </w:tcPr>
          <w:p>
            <w:pPr>
              <w:pStyle w:val="TableParagraph"/>
              <w:rPr>
                <w:rFonts w:ascii="Arial"/>
                <w:b/>
                <w:sz w:val="28"/>
              </w:rPr>
            </w:pPr>
            <w:r>
              <w:rPr>
                <w:rFonts w:ascii="Arial"/>
                <w:b/>
                <w:color w:val="960031"/>
                <w:sz w:val="28"/>
              </w:rPr>
              <w:t>Transmitter(s)</w:t>
            </w:r>
          </w:p>
        </w:tc>
      </w:tr>
      <w:tr>
        <w:trPr>
          <w:trHeight w:val="746" w:hRule="exact"/>
        </w:trPr>
        <w:tc>
          <w:tcPr>
            <w:tcW w:w="3368" w:type="dxa"/>
          </w:tcPr>
          <w:p>
            <w:pPr>
              <w:pStyle w:val="TableParagraph"/>
              <w:spacing w:line="276" w:lineRule="auto"/>
              <w:ind w:right="875"/>
              <w:rPr>
                <w:rFonts w:ascii="Arial"/>
                <w:sz w:val="22"/>
              </w:rPr>
            </w:pPr>
            <w:r>
              <w:rPr>
                <w:rFonts w:ascii="Arial"/>
                <w:sz w:val="22"/>
              </w:rPr>
              <w:t>Authorised Base Station Deployment Area</w:t>
            </w:r>
          </w:p>
        </w:tc>
        <w:tc>
          <w:tcPr>
            <w:tcW w:w="4922" w:type="dxa"/>
          </w:tcPr>
          <w:p>
            <w:pPr>
              <w:pStyle w:val="TableParagraph"/>
              <w:spacing w:line="384" w:lineRule="auto" w:before="2"/>
              <w:ind w:right="621"/>
              <w:rPr>
                <w:rFonts w:ascii="Arial"/>
                <w:sz w:val="20"/>
              </w:rPr>
            </w:pPr>
            <w:r>
              <w:rPr>
                <w:rFonts w:ascii="Arial"/>
                <w:sz w:val="20"/>
              </w:rPr>
              <w:t>Area of 50 m radius from the following location: xxxxx</w:t>
            </w:r>
          </w:p>
        </w:tc>
      </w:tr>
      <w:tr>
        <w:trPr>
          <w:trHeight w:val="746" w:hRule="exact"/>
        </w:trPr>
        <w:tc>
          <w:tcPr>
            <w:tcW w:w="3368" w:type="dxa"/>
          </w:tcPr>
          <w:p>
            <w:pPr>
              <w:pStyle w:val="TableParagraph"/>
              <w:spacing w:before="2"/>
              <w:rPr>
                <w:rFonts w:ascii="Arial"/>
                <w:sz w:val="20"/>
              </w:rPr>
            </w:pPr>
            <w:r>
              <w:rPr>
                <w:rFonts w:ascii="Arial"/>
                <w:sz w:val="20"/>
              </w:rPr>
              <w:t>Station Name/Address</w:t>
            </w:r>
          </w:p>
        </w:tc>
        <w:tc>
          <w:tcPr>
            <w:tcW w:w="4922" w:type="dxa"/>
          </w:tcPr>
          <w:p>
            <w:pPr>
              <w:pStyle w:val="TableParagraph"/>
              <w:spacing w:line="384" w:lineRule="auto" w:before="2"/>
              <w:ind w:right="4056"/>
              <w:rPr>
                <w:rFonts w:ascii="Arial"/>
                <w:sz w:val="20"/>
              </w:rPr>
            </w:pPr>
            <w:r>
              <w:rPr>
                <w:rFonts w:ascii="Arial"/>
                <w:sz w:val="20"/>
              </w:rPr>
              <w:t>Ref Address</w:t>
            </w:r>
          </w:p>
        </w:tc>
      </w:tr>
      <w:tr>
        <w:trPr>
          <w:trHeight w:val="1027" w:hRule="exact"/>
        </w:trPr>
        <w:tc>
          <w:tcPr>
            <w:tcW w:w="3368" w:type="dxa"/>
          </w:tcPr>
          <w:p>
            <w:pPr>
              <w:pStyle w:val="TableParagraph"/>
              <w:rPr>
                <w:rFonts w:ascii="Arial"/>
                <w:sz w:val="22"/>
              </w:rPr>
            </w:pPr>
            <w:r>
              <w:rPr>
                <w:rFonts w:ascii="Arial"/>
                <w:sz w:val="22"/>
              </w:rPr>
              <w:t>Deployment Location</w:t>
            </w:r>
          </w:p>
        </w:tc>
        <w:tc>
          <w:tcPr>
            <w:tcW w:w="4922" w:type="dxa"/>
          </w:tcPr>
          <w:p>
            <w:pPr>
              <w:pStyle w:val="TableParagraph"/>
              <w:spacing w:before="2"/>
              <w:rPr>
                <w:rFonts w:ascii="Arial"/>
                <w:sz w:val="20"/>
              </w:rPr>
            </w:pPr>
            <w:r>
              <w:rPr>
                <w:rFonts w:ascii="Arial"/>
                <w:sz w:val="20"/>
              </w:rPr>
              <w:t>Indoor</w:t>
            </w:r>
          </w:p>
          <w:p>
            <w:pPr>
              <w:pStyle w:val="TableParagraph"/>
              <w:spacing w:line="276" w:lineRule="auto" w:before="137"/>
              <w:ind w:right="531"/>
              <w:rPr>
                <w:rFonts w:ascii="Arial"/>
                <w:sz w:val="20"/>
              </w:rPr>
            </w:pPr>
            <w:r>
              <w:rPr>
                <w:rFonts w:ascii="Arial"/>
                <w:sz w:val="20"/>
              </w:rPr>
              <w:t>Deployment or use of outdoor base stations and terminals is not permitted.</w:t>
            </w:r>
          </w:p>
        </w:tc>
      </w:tr>
      <w:tr>
        <w:trPr>
          <w:trHeight w:val="403" w:hRule="exact"/>
        </w:trPr>
        <w:tc>
          <w:tcPr>
            <w:tcW w:w="3368" w:type="dxa"/>
          </w:tcPr>
          <w:p>
            <w:pPr>
              <w:pStyle w:val="TableParagraph"/>
              <w:rPr>
                <w:rFonts w:ascii="Arial"/>
                <w:sz w:val="22"/>
              </w:rPr>
            </w:pPr>
            <w:r>
              <w:rPr>
                <w:rFonts w:ascii="Arial"/>
                <w:sz w:val="22"/>
              </w:rPr>
              <w:t>Permitted Frequency Band</w:t>
            </w:r>
          </w:p>
        </w:tc>
        <w:tc>
          <w:tcPr>
            <w:tcW w:w="4922" w:type="dxa"/>
          </w:tcPr>
          <w:p>
            <w:pPr>
              <w:pStyle w:val="TableParagraph"/>
              <w:spacing w:before="2"/>
              <w:rPr>
                <w:rFonts w:ascii="Arial" w:hAnsi="Arial"/>
                <w:sz w:val="20"/>
              </w:rPr>
            </w:pPr>
            <w:r>
              <w:rPr>
                <w:rFonts w:ascii="Arial" w:hAnsi="Arial"/>
                <w:sz w:val="20"/>
              </w:rPr>
              <w:t>6425 – 7070 MHz</w:t>
            </w:r>
          </w:p>
        </w:tc>
      </w:tr>
      <w:tr>
        <w:trPr>
          <w:trHeight w:val="712" w:hRule="exact"/>
        </w:trPr>
        <w:tc>
          <w:tcPr>
            <w:tcW w:w="3368" w:type="dxa"/>
          </w:tcPr>
          <w:p>
            <w:pPr>
              <w:pStyle w:val="TableParagraph"/>
              <w:spacing w:line="276" w:lineRule="auto"/>
              <w:ind w:right="692"/>
              <w:rPr>
                <w:rFonts w:ascii="Arial"/>
                <w:sz w:val="22"/>
              </w:rPr>
            </w:pPr>
            <w:r>
              <w:rPr>
                <w:rFonts w:ascii="Arial"/>
                <w:sz w:val="22"/>
              </w:rPr>
              <w:t>Permitted Channel Centre Frequency Tx</w:t>
            </w:r>
          </w:p>
        </w:tc>
        <w:tc>
          <w:tcPr>
            <w:tcW w:w="4922" w:type="dxa"/>
          </w:tcPr>
          <w:p>
            <w:pPr>
              <w:pStyle w:val="TableParagraph"/>
              <w:rPr>
                <w:rFonts w:ascii="Arial"/>
                <w:sz w:val="22"/>
              </w:rPr>
            </w:pPr>
            <w:r>
              <w:rPr>
                <w:rFonts w:ascii="Arial"/>
                <w:sz w:val="22"/>
              </w:rPr>
              <w:t>N/A</w:t>
            </w:r>
          </w:p>
        </w:tc>
      </w:tr>
      <w:tr>
        <w:trPr>
          <w:trHeight w:val="797" w:hRule="exact"/>
        </w:trPr>
        <w:tc>
          <w:tcPr>
            <w:tcW w:w="3368" w:type="dxa"/>
          </w:tcPr>
          <w:p>
            <w:pPr>
              <w:pStyle w:val="TableParagraph"/>
              <w:spacing w:line="372" w:lineRule="auto"/>
              <w:ind w:right="692"/>
              <w:rPr>
                <w:rFonts w:ascii="Arial"/>
                <w:sz w:val="22"/>
              </w:rPr>
            </w:pPr>
            <w:r>
              <w:rPr>
                <w:rFonts w:ascii="Arial"/>
                <w:sz w:val="22"/>
              </w:rPr>
              <w:t>Permitted Channel Centre Frequency Rx</w:t>
            </w:r>
          </w:p>
        </w:tc>
        <w:tc>
          <w:tcPr>
            <w:tcW w:w="4922" w:type="dxa"/>
          </w:tcPr>
          <w:p>
            <w:pPr>
              <w:pStyle w:val="TableParagraph"/>
              <w:rPr>
                <w:rFonts w:ascii="Arial"/>
                <w:sz w:val="22"/>
              </w:rPr>
            </w:pPr>
            <w:r>
              <w:rPr>
                <w:rFonts w:ascii="Arial"/>
                <w:sz w:val="22"/>
              </w:rPr>
              <w:t>N/A</w:t>
            </w:r>
          </w:p>
        </w:tc>
      </w:tr>
      <w:tr>
        <w:trPr>
          <w:trHeight w:val="796" w:hRule="exact"/>
        </w:trPr>
        <w:tc>
          <w:tcPr>
            <w:tcW w:w="3368" w:type="dxa"/>
          </w:tcPr>
          <w:p>
            <w:pPr>
              <w:pStyle w:val="TableParagraph"/>
              <w:spacing w:line="374" w:lineRule="auto" w:before="0"/>
              <w:ind w:right="313"/>
              <w:rPr>
                <w:rFonts w:ascii="Arial"/>
                <w:sz w:val="22"/>
              </w:rPr>
            </w:pPr>
            <w:r>
              <w:rPr>
                <w:rFonts w:ascii="Arial"/>
                <w:sz w:val="22"/>
              </w:rPr>
              <w:t>Permitted Channel Frequency Bandwidth</w:t>
            </w:r>
          </w:p>
        </w:tc>
        <w:tc>
          <w:tcPr>
            <w:tcW w:w="4922" w:type="dxa"/>
          </w:tcPr>
          <w:p>
            <w:pPr>
              <w:pStyle w:val="TableParagraph"/>
              <w:spacing w:before="0"/>
              <w:rPr>
                <w:rFonts w:ascii="Arial"/>
                <w:sz w:val="22"/>
              </w:rPr>
            </w:pPr>
            <w:r>
              <w:rPr>
                <w:rFonts w:ascii="Arial"/>
                <w:sz w:val="22"/>
              </w:rPr>
              <w:t>N/A</w:t>
            </w:r>
          </w:p>
        </w:tc>
      </w:tr>
    </w:tbl>
    <w:p>
      <w:pPr>
        <w:pStyle w:val="BodyText"/>
        <w:spacing w:before="5"/>
        <w:rPr>
          <w:rFonts w:ascii="Arial"/>
          <w:b/>
          <w:sz w:val="28"/>
        </w:rPr>
      </w:pPr>
    </w:p>
    <w:p>
      <w:pPr>
        <w:spacing w:line="276" w:lineRule="auto" w:before="92"/>
        <w:ind w:left="820" w:right="710" w:firstLine="0"/>
        <w:jc w:val="left"/>
        <w:rPr>
          <w:rFonts w:ascii="Arial"/>
          <w:b/>
          <w:sz w:val="26"/>
        </w:rPr>
      </w:pPr>
      <w:r>
        <w:rPr>
          <w:rFonts w:ascii="Arial"/>
          <w:b/>
          <w:color w:val="960031"/>
          <w:sz w:val="26"/>
        </w:rPr>
        <w:t>Maximum power (EIRP) / Maximum power within the Permitted Frequency Channel</w:t>
      </w:r>
    </w:p>
    <w:p>
      <w:pPr>
        <w:pStyle w:val="BodyText"/>
        <w:rPr>
          <w:rFonts w:ascii="Arial"/>
          <w:b/>
          <w:sz w:val="28"/>
        </w:rPr>
      </w:pPr>
    </w:p>
    <w:p>
      <w:pPr>
        <w:pStyle w:val="BodyText"/>
        <w:spacing w:before="9"/>
        <w:rPr>
          <w:rFonts w:ascii="Arial"/>
          <w:b/>
        </w:rPr>
      </w:pPr>
    </w:p>
    <w:p>
      <w:pPr>
        <w:spacing w:before="0"/>
        <w:ind w:left="820" w:right="0" w:firstLine="0"/>
        <w:jc w:val="left"/>
        <w:rPr>
          <w:rFonts w:ascii="Arial"/>
          <w:sz w:val="26"/>
        </w:rPr>
      </w:pPr>
      <w:r>
        <w:rPr>
          <w:rFonts w:ascii="Arial"/>
          <w:color w:val="960031"/>
          <w:sz w:val="26"/>
        </w:rPr>
        <w:t>Upper 6 GHz shared spectrum</w:t>
      </w:r>
    </w:p>
    <w:p>
      <w:pPr>
        <w:pStyle w:val="BodyText"/>
        <w:rPr>
          <w:rFonts w:ascii="Arial"/>
          <w:sz w:val="28"/>
        </w:rPr>
      </w:pPr>
    </w:p>
    <w:p>
      <w:pPr>
        <w:pStyle w:val="BodyText"/>
        <w:spacing w:before="7"/>
        <w:rPr>
          <w:rFonts w:ascii="Arial"/>
        </w:rPr>
      </w:pPr>
    </w:p>
    <w:p>
      <w:pPr>
        <w:pStyle w:val="ListParagraph"/>
        <w:numPr>
          <w:ilvl w:val="0"/>
          <w:numId w:val="14"/>
        </w:numPr>
        <w:tabs>
          <w:tab w:pos="1180" w:val="left" w:leader="none"/>
        </w:tabs>
        <w:spacing w:line="240" w:lineRule="auto" w:before="0" w:after="15"/>
        <w:ind w:left="1180" w:right="0" w:hanging="360"/>
        <w:jc w:val="left"/>
        <w:rPr>
          <w:rFonts w:ascii="Arial"/>
          <w:sz w:val="24"/>
        </w:rPr>
      </w:pPr>
      <w:r>
        <w:rPr>
          <w:rFonts w:ascii="Arial"/>
          <w:sz w:val="22"/>
        </w:rPr>
        <w:t>When transmitting, the licensee must transmit within the limits set out</w:t>
      </w:r>
      <w:r>
        <w:rPr>
          <w:rFonts w:ascii="Arial"/>
          <w:spacing w:val="-25"/>
          <w:sz w:val="22"/>
        </w:rPr>
        <w:t> </w:t>
      </w:r>
      <w:r>
        <w:rPr>
          <w:rFonts w:ascii="Arial"/>
          <w:sz w:val="22"/>
        </w:rPr>
        <w:t>below.</w:t>
      </w:r>
    </w:p>
    <w:tbl>
      <w:tblPr>
        <w:tblW w:w="0" w:type="auto"/>
        <w:jc w:val="left"/>
        <w:tblInd w:w="9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579"/>
        <w:gridCol w:w="3008"/>
        <w:gridCol w:w="2578"/>
      </w:tblGrid>
      <w:tr>
        <w:trPr>
          <w:trHeight w:val="712" w:hRule="exact"/>
        </w:trPr>
        <w:tc>
          <w:tcPr>
            <w:tcW w:w="2579" w:type="dxa"/>
          </w:tcPr>
          <w:p>
            <w:pPr>
              <w:pStyle w:val="TableParagraph"/>
              <w:rPr>
                <w:rFonts w:ascii="Arial"/>
                <w:b/>
                <w:sz w:val="20"/>
              </w:rPr>
            </w:pPr>
            <w:r>
              <w:rPr>
                <w:rFonts w:ascii="Arial"/>
                <w:b/>
                <w:sz w:val="20"/>
              </w:rPr>
              <w:t>Radio Equipment</w:t>
            </w:r>
          </w:p>
        </w:tc>
        <w:tc>
          <w:tcPr>
            <w:tcW w:w="3008" w:type="dxa"/>
          </w:tcPr>
          <w:p>
            <w:pPr>
              <w:pStyle w:val="TableParagraph"/>
              <w:spacing w:before="0"/>
              <w:ind w:left="101"/>
              <w:rPr>
                <w:rFonts w:ascii="Arial"/>
                <w:sz w:val="22"/>
              </w:rPr>
            </w:pPr>
            <w:r>
              <w:rPr>
                <w:rFonts w:ascii="Arial"/>
                <w:sz w:val="22"/>
              </w:rPr>
              <w:t>Maximum mean EIRP</w:t>
            </w:r>
          </w:p>
        </w:tc>
        <w:tc>
          <w:tcPr>
            <w:tcW w:w="2578" w:type="dxa"/>
          </w:tcPr>
          <w:p>
            <w:pPr>
              <w:pStyle w:val="TableParagraph"/>
              <w:spacing w:line="276" w:lineRule="auto" w:before="0"/>
              <w:ind w:right="305"/>
              <w:rPr>
                <w:rFonts w:ascii="Arial"/>
                <w:sz w:val="22"/>
              </w:rPr>
            </w:pPr>
            <w:r>
              <w:rPr>
                <w:rFonts w:ascii="Arial"/>
                <w:sz w:val="22"/>
              </w:rPr>
              <w:t>Maximum mean EIRP density</w:t>
            </w:r>
          </w:p>
        </w:tc>
      </w:tr>
      <w:tr>
        <w:trPr>
          <w:trHeight w:val="677" w:hRule="exact"/>
        </w:trPr>
        <w:tc>
          <w:tcPr>
            <w:tcW w:w="2579" w:type="dxa"/>
          </w:tcPr>
          <w:p>
            <w:pPr>
              <w:pStyle w:val="TableParagraph"/>
              <w:spacing w:before="2"/>
              <w:rPr>
                <w:rFonts w:ascii="Arial"/>
                <w:sz w:val="20"/>
              </w:rPr>
            </w:pPr>
            <w:r>
              <w:rPr>
                <w:rFonts w:ascii="Arial"/>
                <w:sz w:val="20"/>
              </w:rPr>
              <w:t>Base Station</w:t>
            </w:r>
          </w:p>
        </w:tc>
        <w:tc>
          <w:tcPr>
            <w:tcW w:w="3008" w:type="dxa"/>
          </w:tcPr>
          <w:p>
            <w:pPr>
              <w:pStyle w:val="TableParagraph"/>
              <w:ind w:left="101"/>
              <w:rPr>
                <w:rFonts w:ascii="Arial"/>
                <w:sz w:val="22"/>
              </w:rPr>
            </w:pPr>
            <w:r>
              <w:rPr>
                <w:rFonts w:ascii="Arial"/>
                <w:sz w:val="22"/>
              </w:rPr>
              <w:t>250 mW</w:t>
            </w:r>
          </w:p>
        </w:tc>
        <w:tc>
          <w:tcPr>
            <w:tcW w:w="2578" w:type="dxa"/>
          </w:tcPr>
          <w:p>
            <w:pPr>
              <w:pStyle w:val="TableParagraph"/>
              <w:spacing w:line="259" w:lineRule="auto"/>
              <w:ind w:right="403"/>
              <w:rPr>
                <w:rFonts w:ascii="Arial"/>
                <w:sz w:val="22"/>
              </w:rPr>
            </w:pPr>
            <w:r>
              <w:rPr>
                <w:rFonts w:ascii="Arial"/>
                <w:sz w:val="22"/>
              </w:rPr>
              <w:t>12.6 mW/MHz in any 1 MHz band</w:t>
            </w:r>
          </w:p>
        </w:tc>
      </w:tr>
      <w:tr>
        <w:trPr>
          <w:trHeight w:val="676" w:hRule="exact"/>
        </w:trPr>
        <w:tc>
          <w:tcPr>
            <w:tcW w:w="2579" w:type="dxa"/>
          </w:tcPr>
          <w:p>
            <w:pPr>
              <w:pStyle w:val="TableParagraph"/>
              <w:spacing w:line="276" w:lineRule="auto" w:before="0"/>
              <w:ind w:right="812"/>
              <w:rPr>
                <w:rFonts w:ascii="Arial"/>
                <w:sz w:val="20"/>
              </w:rPr>
            </w:pPr>
            <w:r>
              <w:rPr>
                <w:rFonts w:ascii="Arial"/>
                <w:sz w:val="20"/>
              </w:rPr>
              <w:t>Mobile or nomadic terminal station</w:t>
            </w:r>
          </w:p>
        </w:tc>
        <w:tc>
          <w:tcPr>
            <w:tcW w:w="3008" w:type="dxa"/>
          </w:tcPr>
          <w:p>
            <w:pPr>
              <w:pStyle w:val="TableParagraph"/>
              <w:spacing w:before="0"/>
              <w:ind w:left="101"/>
              <w:rPr>
                <w:rFonts w:ascii="Arial"/>
                <w:sz w:val="22"/>
              </w:rPr>
            </w:pPr>
            <w:r>
              <w:rPr>
                <w:rFonts w:ascii="Arial"/>
                <w:sz w:val="22"/>
              </w:rPr>
              <w:t>250 mW</w:t>
            </w:r>
          </w:p>
        </w:tc>
        <w:tc>
          <w:tcPr>
            <w:tcW w:w="2578" w:type="dxa"/>
          </w:tcPr>
          <w:p>
            <w:pPr>
              <w:pStyle w:val="TableParagraph"/>
              <w:spacing w:line="259" w:lineRule="auto" w:before="0"/>
              <w:ind w:right="403"/>
              <w:rPr>
                <w:rFonts w:ascii="Arial"/>
                <w:sz w:val="22"/>
              </w:rPr>
            </w:pPr>
            <w:r>
              <w:rPr>
                <w:rFonts w:ascii="Arial"/>
                <w:sz w:val="22"/>
              </w:rPr>
              <w:t>12.6 mW/MHz in any 1 MHz band</w:t>
            </w:r>
          </w:p>
        </w:tc>
      </w:tr>
      <w:tr>
        <w:trPr>
          <w:trHeight w:val="677" w:hRule="exact"/>
        </w:trPr>
        <w:tc>
          <w:tcPr>
            <w:tcW w:w="2579" w:type="dxa"/>
          </w:tcPr>
          <w:p>
            <w:pPr>
              <w:pStyle w:val="TableParagraph"/>
              <w:spacing w:line="276" w:lineRule="auto" w:before="0"/>
              <w:ind w:right="289"/>
              <w:rPr>
                <w:rFonts w:ascii="Arial"/>
                <w:sz w:val="20"/>
              </w:rPr>
            </w:pPr>
            <w:r>
              <w:rPr>
                <w:rFonts w:ascii="Arial"/>
                <w:sz w:val="20"/>
              </w:rPr>
              <w:t>Fixed / installed terminal station</w:t>
            </w:r>
          </w:p>
        </w:tc>
        <w:tc>
          <w:tcPr>
            <w:tcW w:w="3008" w:type="dxa"/>
          </w:tcPr>
          <w:p>
            <w:pPr>
              <w:pStyle w:val="TableParagraph"/>
              <w:spacing w:before="0"/>
              <w:ind w:left="101"/>
              <w:rPr>
                <w:rFonts w:ascii="Arial"/>
                <w:sz w:val="22"/>
              </w:rPr>
            </w:pPr>
            <w:r>
              <w:rPr>
                <w:rFonts w:ascii="Arial"/>
                <w:sz w:val="22"/>
              </w:rPr>
              <w:t>250 mW</w:t>
            </w:r>
          </w:p>
        </w:tc>
        <w:tc>
          <w:tcPr>
            <w:tcW w:w="2578" w:type="dxa"/>
          </w:tcPr>
          <w:p>
            <w:pPr>
              <w:pStyle w:val="TableParagraph"/>
              <w:spacing w:line="259" w:lineRule="auto" w:before="0"/>
              <w:ind w:right="403"/>
              <w:rPr>
                <w:rFonts w:ascii="Arial"/>
                <w:sz w:val="22"/>
              </w:rPr>
            </w:pPr>
            <w:r>
              <w:rPr>
                <w:rFonts w:ascii="Arial"/>
                <w:sz w:val="22"/>
              </w:rPr>
              <w:t>12.6 mW/MHz in any 1 MHz band</w:t>
            </w:r>
          </w:p>
        </w:tc>
      </w:tr>
    </w:tbl>
    <w:p>
      <w:pPr>
        <w:pStyle w:val="BodyText"/>
        <w:spacing w:before="5"/>
        <w:rPr>
          <w:rFonts w:ascii="Arial"/>
          <w:sz w:val="36"/>
        </w:rPr>
      </w:pPr>
    </w:p>
    <w:p>
      <w:pPr>
        <w:pStyle w:val="Heading3"/>
        <w:ind w:left="820"/>
        <w:rPr>
          <w:rFonts w:ascii="Arial"/>
        </w:rPr>
      </w:pPr>
      <w:r>
        <w:rPr>
          <w:rFonts w:ascii="Arial"/>
          <w:color w:val="960031"/>
        </w:rPr>
        <w:t>Interpretation of terms in this schedule</w:t>
      </w:r>
    </w:p>
    <w:p>
      <w:pPr>
        <w:spacing w:after="0"/>
        <w:rPr>
          <w:rFonts w:ascii="Arial"/>
        </w:rPr>
        <w:sectPr>
          <w:pgSz w:w="11910" w:h="16840"/>
          <w:pgMar w:header="727" w:footer="1316" w:top="920" w:bottom="1520" w:left="1340" w:right="1320"/>
        </w:sect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spacing w:before="10"/>
        <w:rPr>
          <w:rFonts w:ascii="Arial"/>
          <w:b/>
          <w:sz w:val="19"/>
        </w:rPr>
      </w:pPr>
    </w:p>
    <w:p>
      <w:pPr>
        <w:pStyle w:val="ListParagraph"/>
        <w:numPr>
          <w:ilvl w:val="0"/>
          <w:numId w:val="14"/>
        </w:numPr>
        <w:tabs>
          <w:tab w:pos="1180" w:val="left" w:leader="none"/>
        </w:tabs>
        <w:spacing w:line="240" w:lineRule="auto" w:before="93" w:after="0"/>
        <w:ind w:left="1179" w:right="0" w:hanging="359"/>
        <w:jc w:val="left"/>
        <w:rPr>
          <w:rFonts w:ascii="Arial"/>
          <w:sz w:val="22"/>
        </w:rPr>
      </w:pPr>
      <w:r>
        <w:rPr>
          <w:rFonts w:ascii="Arial"/>
          <w:sz w:val="22"/>
        </w:rPr>
        <w:t>In this</w:t>
      </w:r>
      <w:r>
        <w:rPr>
          <w:rFonts w:ascii="Arial"/>
          <w:spacing w:val="-5"/>
          <w:sz w:val="22"/>
        </w:rPr>
        <w:t> </w:t>
      </w:r>
      <w:r>
        <w:rPr>
          <w:rFonts w:ascii="Arial"/>
          <w:sz w:val="22"/>
        </w:rPr>
        <w:t>schedule:</w:t>
      </w:r>
    </w:p>
    <w:p>
      <w:pPr>
        <w:pStyle w:val="BodyText"/>
        <w:rPr>
          <w:rFonts w:ascii="Arial"/>
          <w:sz w:val="24"/>
        </w:rPr>
      </w:pPr>
    </w:p>
    <w:p>
      <w:pPr>
        <w:pStyle w:val="ListParagraph"/>
        <w:numPr>
          <w:ilvl w:val="1"/>
          <w:numId w:val="14"/>
        </w:numPr>
        <w:tabs>
          <w:tab w:pos="1540" w:val="left" w:leader="none"/>
        </w:tabs>
        <w:spacing w:line="254" w:lineRule="exact" w:before="183" w:after="0"/>
        <w:ind w:left="1540" w:right="757" w:hanging="360"/>
        <w:jc w:val="left"/>
        <w:rPr>
          <w:rFonts w:ascii="Arial" w:hAnsi="Arial"/>
          <w:sz w:val="22"/>
        </w:rPr>
      </w:pPr>
      <w:r>
        <w:rPr>
          <w:rFonts w:ascii="Arial" w:hAnsi="Arial"/>
          <w:sz w:val="22"/>
        </w:rPr>
        <w:t>“dBm” means the power level in decibels (logarithmic scale) referenced against 1milliwatt (i.e. a value of 0 dBm is 1</w:t>
      </w:r>
      <w:r>
        <w:rPr>
          <w:rFonts w:ascii="Arial" w:hAnsi="Arial"/>
          <w:spacing w:val="-18"/>
          <w:sz w:val="22"/>
        </w:rPr>
        <w:t> </w:t>
      </w:r>
      <w:r>
        <w:rPr>
          <w:rFonts w:ascii="Arial" w:hAnsi="Arial"/>
          <w:sz w:val="22"/>
        </w:rPr>
        <w:t>milliwatt);</w:t>
      </w:r>
    </w:p>
    <w:p>
      <w:pPr>
        <w:pStyle w:val="ListParagraph"/>
        <w:numPr>
          <w:ilvl w:val="1"/>
          <w:numId w:val="14"/>
        </w:numPr>
        <w:tabs>
          <w:tab w:pos="1540" w:val="left" w:leader="none"/>
        </w:tabs>
        <w:spacing w:line="254" w:lineRule="exact" w:before="17" w:after="0"/>
        <w:ind w:left="1540" w:right="217" w:hanging="360"/>
        <w:jc w:val="left"/>
        <w:rPr>
          <w:rFonts w:ascii="Arial" w:hAnsi="Arial"/>
          <w:sz w:val="22"/>
        </w:rPr>
      </w:pPr>
      <w:r>
        <w:rPr>
          <w:rFonts w:ascii="Arial" w:hAnsi="Arial"/>
          <w:sz w:val="22"/>
        </w:rPr>
        <w:t>“EIRP” means the equivalent isotropically radiated power. This is the product of the power supplied to the antenna and the antenna gain in a given direction relative to an isotropic antenna (absolute or isotropic gain), measured during the “on” part of the</w:t>
      </w:r>
      <w:r>
        <w:rPr>
          <w:rFonts w:ascii="Arial" w:hAnsi="Arial"/>
          <w:spacing w:val="-14"/>
          <w:sz w:val="22"/>
        </w:rPr>
        <w:t> </w:t>
      </w:r>
      <w:r>
        <w:rPr>
          <w:rFonts w:ascii="Arial" w:hAnsi="Arial"/>
          <w:sz w:val="22"/>
        </w:rPr>
        <w:t>transmission;</w:t>
      </w:r>
    </w:p>
    <w:p>
      <w:pPr>
        <w:pStyle w:val="ListParagraph"/>
        <w:numPr>
          <w:ilvl w:val="1"/>
          <w:numId w:val="14"/>
        </w:numPr>
        <w:tabs>
          <w:tab w:pos="1540" w:val="left" w:leader="none"/>
        </w:tabs>
        <w:spacing w:line="269" w:lineRule="exact" w:before="0" w:after="0"/>
        <w:ind w:left="1540" w:right="0" w:hanging="360"/>
        <w:jc w:val="left"/>
        <w:rPr>
          <w:rFonts w:ascii="Arial" w:hAnsi="Arial"/>
          <w:sz w:val="22"/>
        </w:rPr>
      </w:pPr>
      <w:r>
        <w:rPr>
          <w:rFonts w:ascii="Arial" w:hAnsi="Arial"/>
          <w:sz w:val="22"/>
        </w:rPr>
        <w:t>Fixed or installed” means used or installed at specific fixed</w:t>
      </w:r>
      <w:r>
        <w:rPr>
          <w:rFonts w:ascii="Arial" w:hAnsi="Arial"/>
          <w:spacing w:val="-19"/>
          <w:sz w:val="22"/>
        </w:rPr>
        <w:t> </w:t>
      </w:r>
      <w:r>
        <w:rPr>
          <w:rFonts w:ascii="Arial" w:hAnsi="Arial"/>
          <w:sz w:val="22"/>
        </w:rPr>
        <w:t>points;</w:t>
      </w:r>
    </w:p>
    <w:p>
      <w:pPr>
        <w:pStyle w:val="ListParagraph"/>
        <w:numPr>
          <w:ilvl w:val="1"/>
          <w:numId w:val="14"/>
        </w:numPr>
        <w:tabs>
          <w:tab w:pos="1540" w:val="left" w:leader="none"/>
        </w:tabs>
        <w:spacing w:line="254" w:lineRule="exact" w:before="19" w:after="0"/>
        <w:ind w:left="1540" w:right="440" w:hanging="360"/>
        <w:jc w:val="left"/>
        <w:rPr>
          <w:rFonts w:ascii="Arial" w:hAnsi="Arial"/>
          <w:sz w:val="22"/>
        </w:rPr>
      </w:pPr>
      <w:r>
        <w:rPr>
          <w:rFonts w:ascii="Arial" w:hAnsi="Arial"/>
          <w:sz w:val="22"/>
        </w:rPr>
        <w:t>“Indoor” or “indoors” means inside premises which have a ceiling or a roof; and except for any doors, windows or passageways, are wholly</w:t>
      </w:r>
      <w:r>
        <w:rPr>
          <w:rFonts w:ascii="Arial" w:hAnsi="Arial"/>
          <w:spacing w:val="-21"/>
          <w:sz w:val="22"/>
        </w:rPr>
        <w:t> </w:t>
      </w:r>
      <w:r>
        <w:rPr>
          <w:rFonts w:ascii="Arial" w:hAnsi="Arial"/>
          <w:sz w:val="22"/>
        </w:rPr>
        <w:t>enclosed;</w:t>
      </w:r>
    </w:p>
    <w:p>
      <w:pPr>
        <w:pStyle w:val="ListParagraph"/>
        <w:numPr>
          <w:ilvl w:val="1"/>
          <w:numId w:val="14"/>
        </w:numPr>
        <w:tabs>
          <w:tab w:pos="1540" w:val="left" w:leader="none"/>
        </w:tabs>
        <w:spacing w:line="254" w:lineRule="exact" w:before="17" w:after="0"/>
        <w:ind w:left="1540" w:right="573" w:hanging="360"/>
        <w:jc w:val="left"/>
        <w:rPr>
          <w:rFonts w:ascii="Arial" w:hAnsi="Arial"/>
          <w:sz w:val="22"/>
        </w:rPr>
      </w:pPr>
      <w:r>
        <w:rPr>
          <w:rFonts w:ascii="Arial" w:hAnsi="Arial"/>
          <w:sz w:val="22"/>
        </w:rPr>
        <w:t>“mobile or nomadic” means intended to be used while in motion or during halts at unspecified</w:t>
      </w:r>
      <w:r>
        <w:rPr>
          <w:rFonts w:ascii="Arial" w:hAnsi="Arial"/>
          <w:spacing w:val="-8"/>
          <w:sz w:val="22"/>
        </w:rPr>
        <w:t> </w:t>
      </w:r>
      <w:r>
        <w:rPr>
          <w:rFonts w:ascii="Arial" w:hAnsi="Arial"/>
          <w:sz w:val="22"/>
        </w:rPr>
        <w:t>points;</w:t>
      </w:r>
    </w:p>
    <w:p>
      <w:pPr>
        <w:pStyle w:val="ListParagraph"/>
        <w:numPr>
          <w:ilvl w:val="1"/>
          <w:numId w:val="14"/>
        </w:numPr>
        <w:tabs>
          <w:tab w:pos="1539" w:val="left" w:leader="none"/>
          <w:tab w:pos="1540" w:val="left" w:leader="none"/>
        </w:tabs>
        <w:spacing w:line="269" w:lineRule="exact" w:before="0" w:after="0"/>
        <w:ind w:left="1540" w:right="0" w:hanging="360"/>
        <w:jc w:val="left"/>
        <w:rPr>
          <w:rFonts w:ascii="Arial" w:hAnsi="Arial"/>
          <w:sz w:val="22"/>
        </w:rPr>
      </w:pPr>
      <w:r>
        <w:rPr>
          <w:rFonts w:ascii="Arial" w:hAnsi="Arial"/>
          <w:sz w:val="22"/>
        </w:rPr>
        <w:t>“NGR” means National Grid</w:t>
      </w:r>
      <w:r>
        <w:rPr>
          <w:rFonts w:ascii="Arial" w:hAnsi="Arial"/>
          <w:spacing w:val="-12"/>
          <w:sz w:val="22"/>
        </w:rPr>
        <w:t> </w:t>
      </w:r>
      <w:r>
        <w:rPr>
          <w:rFonts w:ascii="Arial" w:hAnsi="Arial"/>
          <w:sz w:val="22"/>
        </w:rPr>
        <w:t>Reference;</w:t>
      </w:r>
    </w:p>
    <w:p>
      <w:pPr>
        <w:pStyle w:val="ListParagraph"/>
        <w:numPr>
          <w:ilvl w:val="1"/>
          <w:numId w:val="14"/>
        </w:numPr>
        <w:tabs>
          <w:tab w:pos="1540" w:val="left" w:leader="none"/>
        </w:tabs>
        <w:spacing w:line="272" w:lineRule="exact" w:before="0" w:after="0"/>
        <w:ind w:left="1540" w:right="0" w:hanging="360"/>
        <w:jc w:val="left"/>
        <w:rPr>
          <w:rFonts w:ascii="Arial" w:hAnsi="Arial"/>
          <w:sz w:val="22"/>
        </w:rPr>
      </w:pPr>
      <w:r>
        <w:rPr>
          <w:rFonts w:ascii="Arial" w:hAnsi="Arial"/>
          <w:sz w:val="22"/>
        </w:rPr>
        <w:t>“outdoor” or “outdoors” means anywhere that is not</w:t>
      </w:r>
      <w:r>
        <w:rPr>
          <w:rFonts w:ascii="Arial" w:hAnsi="Arial"/>
          <w:spacing w:val="-14"/>
          <w:sz w:val="22"/>
        </w:rPr>
        <w:t> </w:t>
      </w:r>
      <w:r>
        <w:rPr>
          <w:rFonts w:ascii="Arial" w:hAnsi="Arial"/>
          <w:sz w:val="22"/>
        </w:rPr>
        <w:t>indoor;</w:t>
      </w:r>
    </w:p>
    <w:p>
      <w:pPr>
        <w:pStyle w:val="ListParagraph"/>
        <w:numPr>
          <w:ilvl w:val="1"/>
          <w:numId w:val="14"/>
        </w:numPr>
        <w:tabs>
          <w:tab w:pos="1540" w:val="left" w:leader="none"/>
        </w:tabs>
        <w:spacing w:line="254" w:lineRule="exact" w:before="20" w:after="0"/>
        <w:ind w:left="1540" w:right="540" w:hanging="360"/>
        <w:jc w:val="left"/>
        <w:rPr>
          <w:rFonts w:ascii="Arial" w:hAnsi="Arial"/>
          <w:sz w:val="22"/>
        </w:rPr>
      </w:pPr>
      <w:r>
        <w:rPr>
          <w:rFonts w:ascii="Arial" w:hAnsi="Arial"/>
          <w:sz w:val="22"/>
        </w:rPr>
        <w:t>“Permitted Channel Centre Frequency” means the </w:t>
      </w:r>
      <w:r>
        <w:rPr>
          <w:rFonts w:ascii="Arial" w:hAnsi="Arial"/>
          <w:color w:val="212121"/>
          <w:sz w:val="22"/>
        </w:rPr>
        <w:t>frequency assigned by Ofcom that is the midpoint between the upper and lower </w:t>
      </w:r>
      <w:r>
        <w:rPr>
          <w:rFonts w:ascii="Arial" w:hAnsi="Arial"/>
          <w:sz w:val="22"/>
        </w:rPr>
        <w:t>channel edge frequencies</w:t>
      </w:r>
      <w:r>
        <w:rPr>
          <w:rFonts w:ascii="Arial" w:hAnsi="Arial"/>
          <w:color w:val="212121"/>
          <w:sz w:val="22"/>
        </w:rPr>
        <w:t>;</w:t>
      </w:r>
    </w:p>
    <w:p>
      <w:pPr>
        <w:pStyle w:val="ListParagraph"/>
        <w:numPr>
          <w:ilvl w:val="1"/>
          <w:numId w:val="14"/>
        </w:numPr>
        <w:tabs>
          <w:tab w:pos="1539" w:val="left" w:leader="none"/>
          <w:tab w:pos="1540" w:val="left" w:leader="none"/>
        </w:tabs>
        <w:spacing w:line="254" w:lineRule="exact" w:before="17" w:after="0"/>
        <w:ind w:left="1540" w:right="917" w:hanging="360"/>
        <w:jc w:val="left"/>
        <w:rPr>
          <w:rFonts w:ascii="Arial" w:hAnsi="Arial"/>
          <w:sz w:val="22"/>
        </w:rPr>
      </w:pPr>
      <w:r>
        <w:rPr>
          <w:rFonts w:ascii="Arial" w:hAnsi="Arial"/>
          <w:sz w:val="22"/>
        </w:rPr>
        <w:t>“Permitted Channel Frequency Bandwidth” means the total amount of spectrum assigned to the</w:t>
      </w:r>
      <w:r>
        <w:rPr>
          <w:rFonts w:ascii="Arial" w:hAnsi="Arial"/>
          <w:spacing w:val="-9"/>
          <w:sz w:val="22"/>
        </w:rPr>
        <w:t> </w:t>
      </w:r>
      <w:r>
        <w:rPr>
          <w:rFonts w:ascii="Arial" w:hAnsi="Arial"/>
          <w:sz w:val="22"/>
        </w:rPr>
        <w:t>channel;</w:t>
      </w:r>
    </w:p>
    <w:p>
      <w:pPr>
        <w:pStyle w:val="ListParagraph"/>
        <w:numPr>
          <w:ilvl w:val="1"/>
          <w:numId w:val="14"/>
        </w:numPr>
        <w:tabs>
          <w:tab w:pos="1539" w:val="left" w:leader="none"/>
          <w:tab w:pos="1540" w:val="left" w:leader="none"/>
        </w:tabs>
        <w:spacing w:line="254" w:lineRule="exact" w:before="17" w:after="0"/>
        <w:ind w:left="1540" w:right="223" w:hanging="360"/>
        <w:jc w:val="left"/>
        <w:rPr>
          <w:rFonts w:ascii="Arial" w:hAnsi="Arial"/>
          <w:sz w:val="22"/>
        </w:rPr>
      </w:pPr>
      <w:r>
        <w:rPr>
          <w:rFonts w:ascii="Arial" w:hAnsi="Arial"/>
          <w:sz w:val="22"/>
        </w:rPr>
        <w:t>“Permitted Frequency Band” means the frequency range within which Ofcom will assign the Permitted Channel Centre Frequency;</w:t>
      </w:r>
      <w:r>
        <w:rPr>
          <w:rFonts w:ascii="Arial" w:hAnsi="Arial"/>
          <w:spacing w:val="-16"/>
          <w:sz w:val="22"/>
        </w:rPr>
        <w:t> </w:t>
      </w:r>
      <w:r>
        <w:rPr>
          <w:rFonts w:ascii="Arial" w:hAnsi="Arial"/>
          <w:sz w:val="22"/>
        </w:rPr>
        <w:t>and</w:t>
      </w:r>
    </w:p>
    <w:p>
      <w:pPr>
        <w:spacing w:after="0" w:line="254" w:lineRule="exact"/>
        <w:jc w:val="left"/>
        <w:rPr>
          <w:rFonts w:ascii="Arial" w:hAnsi="Arial"/>
          <w:sz w:val="22"/>
        </w:rPr>
        <w:sectPr>
          <w:pgSz w:w="11910" w:h="16840"/>
          <w:pgMar w:header="727" w:footer="1316" w:top="920" w:bottom="1520" w:left="1340" w:right="1340"/>
        </w:sectPr>
      </w:pPr>
    </w:p>
    <w:p>
      <w:pPr>
        <w:pStyle w:val="BodyText"/>
        <w:rPr>
          <w:rFonts w:ascii="Arial"/>
          <w:sz w:val="20"/>
        </w:rPr>
      </w:pPr>
    </w:p>
    <w:p>
      <w:pPr>
        <w:pStyle w:val="BodyText"/>
        <w:rPr>
          <w:rFonts w:ascii="Arial"/>
          <w:sz w:val="20"/>
        </w:rPr>
      </w:pPr>
    </w:p>
    <w:p>
      <w:pPr>
        <w:pStyle w:val="BodyText"/>
        <w:spacing w:before="1"/>
        <w:rPr>
          <w:rFonts w:ascii="Arial"/>
          <w:sz w:val="27"/>
        </w:rPr>
      </w:pPr>
    </w:p>
    <w:p>
      <w:pPr>
        <w:pStyle w:val="Heading1"/>
        <w:ind w:left="240"/>
      </w:pPr>
      <w:bookmarkStart w:name="A8. Draft amendment to IR 2103" w:id="140"/>
      <w:bookmarkEnd w:id="140"/>
      <w:r>
        <w:rPr/>
      </w:r>
      <w:bookmarkStart w:name="_bookmark51" w:id="141"/>
      <w:bookmarkEnd w:id="141"/>
      <w:r>
        <w:rPr/>
      </w:r>
      <w:r>
        <w:rPr>
          <w:color w:val="CC0044"/>
        </w:rPr>
        <w:t>A8. Draft amendment to IR 2103</w:t>
      </w:r>
    </w:p>
    <w:p>
      <w:pPr>
        <w:pStyle w:val="Heading5"/>
        <w:spacing w:line="276" w:lineRule="auto" w:before="239"/>
        <w:ind w:left="240" w:right="395"/>
      </w:pPr>
      <w:r>
        <w:rPr/>
        <w:t>Table 3.4: Minimum requirements for the use of: Low Power Shared Access equipment operating in the 6.425-7.070 GHz band</w:t>
      </w:r>
    </w:p>
    <w:p>
      <w:pPr>
        <w:pStyle w:val="BodyText"/>
        <w:spacing w:before="9"/>
        <w:rPr>
          <w:b/>
          <w:sz w:val="9"/>
        </w:rPr>
      </w:pPr>
    </w:p>
    <w:tbl>
      <w:tblPr>
        <w:tblW w:w="0" w:type="auto"/>
        <w:jc w:val="left"/>
        <w:tblInd w:w="2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46"/>
        <w:gridCol w:w="3515"/>
        <w:gridCol w:w="4495"/>
      </w:tblGrid>
      <w:tr>
        <w:trPr>
          <w:trHeight w:val="438" w:hRule="exact"/>
        </w:trPr>
        <w:tc>
          <w:tcPr>
            <w:tcW w:w="8856" w:type="dxa"/>
            <w:gridSpan w:val="3"/>
          </w:tcPr>
          <w:p>
            <w:pPr>
              <w:pStyle w:val="TableParagraph"/>
              <w:spacing w:before="0"/>
              <w:rPr>
                <w:b/>
                <w:sz w:val="22"/>
              </w:rPr>
            </w:pPr>
            <w:r>
              <w:rPr>
                <w:b/>
                <w:sz w:val="22"/>
              </w:rPr>
              <w:t>Mandatory (1-10)</w:t>
            </w:r>
          </w:p>
        </w:tc>
      </w:tr>
      <w:tr>
        <w:trPr>
          <w:trHeight w:val="425" w:hRule="exact"/>
        </w:trPr>
        <w:tc>
          <w:tcPr>
            <w:tcW w:w="846" w:type="dxa"/>
          </w:tcPr>
          <w:p>
            <w:pPr>
              <w:pStyle w:val="TableParagraph"/>
              <w:ind w:left="364"/>
              <w:rPr>
                <w:sz w:val="21"/>
              </w:rPr>
            </w:pPr>
            <w:r>
              <w:rPr>
                <w:sz w:val="21"/>
              </w:rPr>
              <w:t>1</w:t>
            </w:r>
          </w:p>
        </w:tc>
        <w:tc>
          <w:tcPr>
            <w:tcW w:w="3515" w:type="dxa"/>
          </w:tcPr>
          <w:p>
            <w:pPr>
              <w:pStyle w:val="TableParagraph"/>
              <w:rPr>
                <w:sz w:val="21"/>
              </w:rPr>
            </w:pPr>
            <w:r>
              <w:rPr>
                <w:sz w:val="21"/>
              </w:rPr>
              <w:t>Radiocommunication Service</w:t>
            </w:r>
          </w:p>
        </w:tc>
        <w:tc>
          <w:tcPr>
            <w:tcW w:w="4495" w:type="dxa"/>
          </w:tcPr>
          <w:p>
            <w:pPr>
              <w:pStyle w:val="TableParagraph"/>
              <w:rPr>
                <w:sz w:val="21"/>
              </w:rPr>
            </w:pPr>
            <w:r>
              <w:rPr>
                <w:sz w:val="21"/>
              </w:rPr>
              <w:t>Fixed or Mobile Service</w:t>
            </w:r>
          </w:p>
        </w:tc>
      </w:tr>
      <w:tr>
        <w:trPr>
          <w:trHeight w:val="720" w:hRule="exact"/>
        </w:trPr>
        <w:tc>
          <w:tcPr>
            <w:tcW w:w="846" w:type="dxa"/>
          </w:tcPr>
          <w:p>
            <w:pPr>
              <w:pStyle w:val="TableParagraph"/>
              <w:ind w:left="364"/>
              <w:rPr>
                <w:sz w:val="21"/>
              </w:rPr>
            </w:pPr>
            <w:r>
              <w:rPr>
                <w:sz w:val="21"/>
              </w:rPr>
              <w:t>2</w:t>
            </w:r>
          </w:p>
        </w:tc>
        <w:tc>
          <w:tcPr>
            <w:tcW w:w="3515" w:type="dxa"/>
          </w:tcPr>
          <w:p>
            <w:pPr>
              <w:pStyle w:val="TableParagraph"/>
              <w:rPr>
                <w:sz w:val="21"/>
              </w:rPr>
            </w:pPr>
            <w:r>
              <w:rPr>
                <w:sz w:val="21"/>
              </w:rPr>
              <w:t>Application</w:t>
            </w:r>
          </w:p>
        </w:tc>
        <w:tc>
          <w:tcPr>
            <w:tcW w:w="4495" w:type="dxa"/>
          </w:tcPr>
          <w:p>
            <w:pPr>
              <w:pStyle w:val="TableParagraph"/>
              <w:spacing w:line="276" w:lineRule="auto"/>
              <w:ind w:right="158"/>
              <w:rPr>
                <w:sz w:val="21"/>
              </w:rPr>
            </w:pPr>
            <w:r>
              <w:rPr>
                <w:sz w:val="21"/>
              </w:rPr>
              <w:t>TRA-ECS (Terrestrial radio applications capable of providing electronic communication services)</w:t>
            </w:r>
          </w:p>
        </w:tc>
      </w:tr>
      <w:tr>
        <w:trPr>
          <w:trHeight w:val="425" w:hRule="exact"/>
        </w:trPr>
        <w:tc>
          <w:tcPr>
            <w:tcW w:w="846" w:type="dxa"/>
          </w:tcPr>
          <w:p>
            <w:pPr>
              <w:pStyle w:val="TableParagraph"/>
              <w:spacing w:before="0"/>
              <w:ind w:left="364"/>
              <w:rPr>
                <w:sz w:val="21"/>
              </w:rPr>
            </w:pPr>
            <w:r>
              <w:rPr>
                <w:sz w:val="21"/>
              </w:rPr>
              <w:t>3</w:t>
            </w:r>
          </w:p>
        </w:tc>
        <w:tc>
          <w:tcPr>
            <w:tcW w:w="3515" w:type="dxa"/>
          </w:tcPr>
          <w:p>
            <w:pPr>
              <w:pStyle w:val="TableParagraph"/>
              <w:spacing w:before="0"/>
              <w:rPr>
                <w:sz w:val="21"/>
              </w:rPr>
            </w:pPr>
            <w:r>
              <w:rPr>
                <w:sz w:val="21"/>
              </w:rPr>
              <w:t>Frequency band(s)</w:t>
            </w:r>
          </w:p>
        </w:tc>
        <w:tc>
          <w:tcPr>
            <w:tcW w:w="4495" w:type="dxa"/>
          </w:tcPr>
          <w:p>
            <w:pPr>
              <w:pStyle w:val="TableParagraph"/>
              <w:spacing w:before="0"/>
              <w:rPr>
                <w:sz w:val="21"/>
              </w:rPr>
            </w:pPr>
            <w:r>
              <w:rPr>
                <w:sz w:val="21"/>
              </w:rPr>
              <w:t>6.425-7.070 GHz</w:t>
            </w:r>
          </w:p>
        </w:tc>
      </w:tr>
      <w:tr>
        <w:trPr>
          <w:trHeight w:val="425" w:hRule="exact"/>
        </w:trPr>
        <w:tc>
          <w:tcPr>
            <w:tcW w:w="846" w:type="dxa"/>
          </w:tcPr>
          <w:p>
            <w:pPr>
              <w:pStyle w:val="TableParagraph"/>
              <w:spacing w:before="0"/>
              <w:ind w:left="364"/>
              <w:rPr>
                <w:sz w:val="21"/>
              </w:rPr>
            </w:pPr>
            <w:r>
              <w:rPr>
                <w:sz w:val="21"/>
              </w:rPr>
              <w:t>4</w:t>
            </w:r>
          </w:p>
        </w:tc>
        <w:tc>
          <w:tcPr>
            <w:tcW w:w="3515" w:type="dxa"/>
          </w:tcPr>
          <w:p>
            <w:pPr>
              <w:pStyle w:val="TableParagraph"/>
              <w:spacing w:before="0"/>
              <w:rPr>
                <w:sz w:val="21"/>
              </w:rPr>
            </w:pPr>
            <w:r>
              <w:rPr>
                <w:sz w:val="21"/>
              </w:rPr>
              <w:t>Channelling</w:t>
            </w:r>
          </w:p>
        </w:tc>
        <w:tc>
          <w:tcPr>
            <w:tcW w:w="4495" w:type="dxa"/>
          </w:tcPr>
          <w:p>
            <w:pPr/>
          </w:p>
        </w:tc>
      </w:tr>
      <w:tr>
        <w:trPr>
          <w:trHeight w:val="425" w:hRule="exact"/>
        </w:trPr>
        <w:tc>
          <w:tcPr>
            <w:tcW w:w="846" w:type="dxa"/>
          </w:tcPr>
          <w:p>
            <w:pPr>
              <w:pStyle w:val="TableParagraph"/>
              <w:spacing w:before="0"/>
              <w:ind w:left="364"/>
              <w:rPr>
                <w:sz w:val="21"/>
              </w:rPr>
            </w:pPr>
            <w:r>
              <w:rPr>
                <w:sz w:val="21"/>
              </w:rPr>
              <w:t>5</w:t>
            </w:r>
          </w:p>
        </w:tc>
        <w:tc>
          <w:tcPr>
            <w:tcW w:w="3515" w:type="dxa"/>
          </w:tcPr>
          <w:p>
            <w:pPr>
              <w:pStyle w:val="TableParagraph"/>
              <w:spacing w:before="0"/>
              <w:rPr>
                <w:sz w:val="21"/>
              </w:rPr>
            </w:pPr>
            <w:r>
              <w:rPr>
                <w:sz w:val="21"/>
              </w:rPr>
              <w:t>Modulation / Occupied bandwidth</w:t>
            </w:r>
          </w:p>
        </w:tc>
        <w:tc>
          <w:tcPr>
            <w:tcW w:w="4495" w:type="dxa"/>
          </w:tcPr>
          <w:p>
            <w:pPr/>
          </w:p>
        </w:tc>
      </w:tr>
      <w:tr>
        <w:trPr>
          <w:trHeight w:val="425" w:hRule="exact"/>
        </w:trPr>
        <w:tc>
          <w:tcPr>
            <w:tcW w:w="846" w:type="dxa"/>
          </w:tcPr>
          <w:p>
            <w:pPr>
              <w:pStyle w:val="TableParagraph"/>
              <w:spacing w:before="0"/>
              <w:ind w:left="364"/>
              <w:rPr>
                <w:sz w:val="21"/>
              </w:rPr>
            </w:pPr>
            <w:r>
              <w:rPr>
                <w:sz w:val="21"/>
              </w:rPr>
              <w:t>6</w:t>
            </w:r>
          </w:p>
        </w:tc>
        <w:tc>
          <w:tcPr>
            <w:tcW w:w="3515" w:type="dxa"/>
          </w:tcPr>
          <w:p>
            <w:pPr>
              <w:pStyle w:val="TableParagraph"/>
              <w:spacing w:before="0"/>
              <w:rPr>
                <w:sz w:val="21"/>
              </w:rPr>
            </w:pPr>
            <w:r>
              <w:rPr>
                <w:sz w:val="21"/>
              </w:rPr>
              <w:t>Direction / Separation</w:t>
            </w:r>
          </w:p>
        </w:tc>
        <w:tc>
          <w:tcPr>
            <w:tcW w:w="4495" w:type="dxa"/>
          </w:tcPr>
          <w:p>
            <w:pPr>
              <w:pStyle w:val="TableParagraph"/>
              <w:spacing w:before="0"/>
              <w:rPr>
                <w:sz w:val="21"/>
              </w:rPr>
            </w:pPr>
            <w:r>
              <w:rPr>
                <w:sz w:val="21"/>
              </w:rPr>
              <w:t>Time-division duplex (TDD)</w:t>
            </w:r>
          </w:p>
        </w:tc>
      </w:tr>
      <w:tr>
        <w:trPr>
          <w:trHeight w:val="1240" w:hRule="exact"/>
        </w:trPr>
        <w:tc>
          <w:tcPr>
            <w:tcW w:w="846" w:type="dxa"/>
          </w:tcPr>
          <w:p>
            <w:pPr>
              <w:pStyle w:val="TableParagraph"/>
              <w:spacing w:before="0"/>
              <w:ind w:left="364"/>
              <w:rPr>
                <w:sz w:val="21"/>
              </w:rPr>
            </w:pPr>
            <w:r>
              <w:rPr>
                <w:sz w:val="21"/>
              </w:rPr>
              <w:t>7</w:t>
            </w:r>
          </w:p>
        </w:tc>
        <w:tc>
          <w:tcPr>
            <w:tcW w:w="3515" w:type="dxa"/>
          </w:tcPr>
          <w:p>
            <w:pPr>
              <w:pStyle w:val="TableParagraph"/>
              <w:spacing w:line="276" w:lineRule="auto" w:before="0"/>
              <w:ind w:right="397"/>
              <w:rPr>
                <w:sz w:val="21"/>
              </w:rPr>
            </w:pPr>
            <w:r>
              <w:rPr>
                <w:sz w:val="21"/>
              </w:rPr>
              <w:t>Maximum Transmit Power / Power Density</w:t>
            </w:r>
          </w:p>
        </w:tc>
        <w:tc>
          <w:tcPr>
            <w:tcW w:w="4495" w:type="dxa"/>
          </w:tcPr>
          <w:p>
            <w:pPr>
              <w:pStyle w:val="TableParagraph"/>
              <w:spacing w:before="0"/>
              <w:rPr>
                <w:sz w:val="21"/>
              </w:rPr>
            </w:pPr>
            <w:r>
              <w:rPr>
                <w:sz w:val="21"/>
              </w:rPr>
              <w:t>Maximum mean EIRP of 250mW</w:t>
            </w:r>
          </w:p>
          <w:p>
            <w:pPr>
              <w:pStyle w:val="TableParagraph"/>
              <w:spacing w:line="276" w:lineRule="auto" w:before="158"/>
              <w:ind w:right="195"/>
              <w:rPr>
                <w:sz w:val="21"/>
              </w:rPr>
            </w:pPr>
            <w:r>
              <w:rPr>
                <w:sz w:val="21"/>
              </w:rPr>
              <w:t>Maximum mean EIRP density of 12.6mW/MHz in any 1 MHz band</w:t>
            </w:r>
          </w:p>
        </w:tc>
      </w:tr>
      <w:tr>
        <w:trPr>
          <w:trHeight w:val="425" w:hRule="exact"/>
        </w:trPr>
        <w:tc>
          <w:tcPr>
            <w:tcW w:w="846" w:type="dxa"/>
          </w:tcPr>
          <w:p>
            <w:pPr>
              <w:pStyle w:val="TableParagraph"/>
              <w:ind w:left="364"/>
              <w:rPr>
                <w:sz w:val="21"/>
              </w:rPr>
            </w:pPr>
            <w:r>
              <w:rPr>
                <w:sz w:val="21"/>
              </w:rPr>
              <w:t>8</w:t>
            </w:r>
          </w:p>
        </w:tc>
        <w:tc>
          <w:tcPr>
            <w:tcW w:w="3515" w:type="dxa"/>
          </w:tcPr>
          <w:p>
            <w:pPr>
              <w:pStyle w:val="TableParagraph"/>
              <w:rPr>
                <w:sz w:val="21"/>
              </w:rPr>
            </w:pPr>
            <w:r>
              <w:rPr>
                <w:sz w:val="21"/>
              </w:rPr>
              <w:t>Channel access and occupation rules</w:t>
            </w:r>
          </w:p>
        </w:tc>
        <w:tc>
          <w:tcPr>
            <w:tcW w:w="4495" w:type="dxa"/>
          </w:tcPr>
          <w:p>
            <w:pPr/>
          </w:p>
        </w:tc>
      </w:tr>
      <w:tr>
        <w:trPr>
          <w:trHeight w:val="425" w:hRule="exact"/>
        </w:trPr>
        <w:tc>
          <w:tcPr>
            <w:tcW w:w="846" w:type="dxa"/>
          </w:tcPr>
          <w:p>
            <w:pPr>
              <w:pStyle w:val="TableParagraph"/>
              <w:ind w:left="364"/>
              <w:rPr>
                <w:sz w:val="21"/>
              </w:rPr>
            </w:pPr>
            <w:r>
              <w:rPr>
                <w:sz w:val="21"/>
              </w:rPr>
              <w:t>9</w:t>
            </w:r>
          </w:p>
        </w:tc>
        <w:tc>
          <w:tcPr>
            <w:tcW w:w="3515" w:type="dxa"/>
          </w:tcPr>
          <w:p>
            <w:pPr>
              <w:pStyle w:val="TableParagraph"/>
              <w:rPr>
                <w:sz w:val="21"/>
              </w:rPr>
            </w:pPr>
            <w:r>
              <w:rPr>
                <w:sz w:val="21"/>
              </w:rPr>
              <w:t>Authorisation regime</w:t>
            </w:r>
          </w:p>
        </w:tc>
        <w:tc>
          <w:tcPr>
            <w:tcW w:w="4495" w:type="dxa"/>
          </w:tcPr>
          <w:p>
            <w:pPr>
              <w:pStyle w:val="TableParagraph"/>
              <w:rPr>
                <w:sz w:val="21"/>
              </w:rPr>
            </w:pPr>
            <w:r>
              <w:rPr>
                <w:sz w:val="21"/>
              </w:rPr>
              <w:t>WT Act licence for all equipment.</w:t>
            </w:r>
          </w:p>
        </w:tc>
      </w:tr>
      <w:tr>
        <w:trPr>
          <w:trHeight w:val="425" w:hRule="exact"/>
        </w:trPr>
        <w:tc>
          <w:tcPr>
            <w:tcW w:w="846" w:type="dxa"/>
          </w:tcPr>
          <w:p>
            <w:pPr>
              <w:pStyle w:val="TableParagraph"/>
              <w:ind w:left="311"/>
              <w:rPr>
                <w:sz w:val="21"/>
              </w:rPr>
            </w:pPr>
            <w:r>
              <w:rPr>
                <w:sz w:val="21"/>
              </w:rPr>
              <w:t>10</w:t>
            </w:r>
          </w:p>
        </w:tc>
        <w:tc>
          <w:tcPr>
            <w:tcW w:w="3515" w:type="dxa"/>
          </w:tcPr>
          <w:p>
            <w:pPr>
              <w:pStyle w:val="TableParagraph"/>
              <w:rPr>
                <w:sz w:val="21"/>
              </w:rPr>
            </w:pPr>
            <w:r>
              <w:rPr>
                <w:sz w:val="21"/>
              </w:rPr>
              <w:t>Additional essential requirements</w:t>
            </w:r>
          </w:p>
        </w:tc>
        <w:tc>
          <w:tcPr>
            <w:tcW w:w="4495" w:type="dxa"/>
          </w:tcPr>
          <w:p>
            <w:pPr>
              <w:pStyle w:val="TableParagraph"/>
              <w:rPr>
                <w:sz w:val="21"/>
              </w:rPr>
            </w:pPr>
            <w:r>
              <w:rPr>
                <w:sz w:val="21"/>
              </w:rPr>
              <w:t>None</w:t>
            </w:r>
          </w:p>
        </w:tc>
      </w:tr>
      <w:tr>
        <w:trPr>
          <w:trHeight w:val="425" w:hRule="exact"/>
        </w:trPr>
        <w:tc>
          <w:tcPr>
            <w:tcW w:w="8856" w:type="dxa"/>
            <w:gridSpan w:val="3"/>
          </w:tcPr>
          <w:p>
            <w:pPr>
              <w:pStyle w:val="TableParagraph"/>
              <w:rPr>
                <w:sz w:val="21"/>
              </w:rPr>
            </w:pPr>
            <w:r>
              <w:rPr>
                <w:sz w:val="21"/>
              </w:rPr>
              <w:t>Informative (11-13)</w:t>
            </w:r>
          </w:p>
        </w:tc>
      </w:tr>
      <w:tr>
        <w:trPr>
          <w:trHeight w:val="1706" w:hRule="exact"/>
        </w:trPr>
        <w:tc>
          <w:tcPr>
            <w:tcW w:w="846" w:type="dxa"/>
          </w:tcPr>
          <w:p>
            <w:pPr>
              <w:pStyle w:val="TableParagraph"/>
              <w:ind w:left="311"/>
              <w:rPr>
                <w:sz w:val="21"/>
              </w:rPr>
            </w:pPr>
            <w:r>
              <w:rPr>
                <w:sz w:val="21"/>
              </w:rPr>
              <w:t>11</w:t>
            </w:r>
          </w:p>
        </w:tc>
        <w:tc>
          <w:tcPr>
            <w:tcW w:w="3515" w:type="dxa"/>
          </w:tcPr>
          <w:p>
            <w:pPr>
              <w:pStyle w:val="TableParagraph"/>
              <w:rPr>
                <w:sz w:val="21"/>
              </w:rPr>
            </w:pPr>
            <w:r>
              <w:rPr>
                <w:sz w:val="21"/>
              </w:rPr>
              <w:t>Frequency Planning</w:t>
            </w:r>
          </w:p>
        </w:tc>
        <w:tc>
          <w:tcPr>
            <w:tcW w:w="4495" w:type="dxa"/>
          </w:tcPr>
          <w:p>
            <w:pPr>
              <w:pStyle w:val="TableParagraph"/>
              <w:rPr>
                <w:sz w:val="21"/>
              </w:rPr>
            </w:pPr>
            <w:r>
              <w:rPr>
                <w:sz w:val="21"/>
              </w:rPr>
              <w:t>Indoor use only</w:t>
            </w:r>
          </w:p>
          <w:p>
            <w:pPr>
              <w:pStyle w:val="TableParagraph"/>
              <w:spacing w:before="157"/>
              <w:ind w:left="102" w:right="179"/>
              <w:rPr>
                <w:sz w:val="21"/>
              </w:rPr>
            </w:pPr>
            <w:r>
              <w:rPr>
                <w:sz w:val="21"/>
              </w:rPr>
              <w:t>“Indoor” or “indoors” means inside premises which have a ceiling or a roof; and except for any doors, windows or passageways, are wholly enclosed.</w:t>
            </w:r>
          </w:p>
        </w:tc>
      </w:tr>
      <w:tr>
        <w:trPr>
          <w:trHeight w:val="425" w:hRule="exact"/>
        </w:trPr>
        <w:tc>
          <w:tcPr>
            <w:tcW w:w="846" w:type="dxa"/>
          </w:tcPr>
          <w:p>
            <w:pPr>
              <w:pStyle w:val="TableParagraph"/>
              <w:ind w:left="311"/>
              <w:rPr>
                <w:sz w:val="21"/>
              </w:rPr>
            </w:pPr>
            <w:r>
              <w:rPr>
                <w:sz w:val="21"/>
              </w:rPr>
              <w:t>12</w:t>
            </w:r>
          </w:p>
        </w:tc>
        <w:tc>
          <w:tcPr>
            <w:tcW w:w="3515" w:type="dxa"/>
          </w:tcPr>
          <w:p>
            <w:pPr>
              <w:pStyle w:val="TableParagraph"/>
              <w:rPr>
                <w:sz w:val="21"/>
              </w:rPr>
            </w:pPr>
            <w:r>
              <w:rPr>
                <w:sz w:val="21"/>
              </w:rPr>
              <w:t>Planned changes</w:t>
            </w:r>
          </w:p>
        </w:tc>
        <w:tc>
          <w:tcPr>
            <w:tcW w:w="4495" w:type="dxa"/>
          </w:tcPr>
          <w:p>
            <w:pPr>
              <w:pStyle w:val="TableParagraph"/>
              <w:rPr>
                <w:sz w:val="21"/>
              </w:rPr>
            </w:pPr>
            <w:r>
              <w:rPr>
                <w:sz w:val="21"/>
              </w:rPr>
              <w:t>-</w:t>
            </w:r>
          </w:p>
        </w:tc>
      </w:tr>
      <w:tr>
        <w:trPr>
          <w:trHeight w:val="425" w:hRule="exact"/>
        </w:trPr>
        <w:tc>
          <w:tcPr>
            <w:tcW w:w="846" w:type="dxa"/>
          </w:tcPr>
          <w:p>
            <w:pPr>
              <w:pStyle w:val="TableParagraph"/>
              <w:ind w:left="311"/>
              <w:rPr>
                <w:sz w:val="21"/>
              </w:rPr>
            </w:pPr>
            <w:r>
              <w:rPr>
                <w:sz w:val="21"/>
              </w:rPr>
              <w:t>13</w:t>
            </w:r>
          </w:p>
        </w:tc>
        <w:tc>
          <w:tcPr>
            <w:tcW w:w="3515" w:type="dxa"/>
          </w:tcPr>
          <w:p>
            <w:pPr>
              <w:pStyle w:val="TableParagraph"/>
              <w:rPr>
                <w:sz w:val="21"/>
              </w:rPr>
            </w:pPr>
            <w:r>
              <w:rPr>
                <w:sz w:val="21"/>
              </w:rPr>
              <w:t>Reference</w:t>
            </w:r>
          </w:p>
        </w:tc>
        <w:tc>
          <w:tcPr>
            <w:tcW w:w="4495" w:type="dxa"/>
          </w:tcPr>
          <w:p>
            <w:pPr>
              <w:pStyle w:val="TableParagraph"/>
              <w:rPr>
                <w:sz w:val="21"/>
              </w:rPr>
            </w:pPr>
            <w:r>
              <w:rPr>
                <w:sz w:val="21"/>
              </w:rPr>
              <w:t>-</w:t>
            </w:r>
          </w:p>
        </w:tc>
      </w:tr>
      <w:tr>
        <w:trPr>
          <w:trHeight w:val="425" w:hRule="exact"/>
        </w:trPr>
        <w:tc>
          <w:tcPr>
            <w:tcW w:w="846" w:type="dxa"/>
          </w:tcPr>
          <w:p>
            <w:pPr>
              <w:pStyle w:val="TableParagraph"/>
              <w:ind w:left="311"/>
              <w:rPr>
                <w:sz w:val="21"/>
              </w:rPr>
            </w:pPr>
            <w:r>
              <w:rPr>
                <w:sz w:val="21"/>
              </w:rPr>
              <w:t>14</w:t>
            </w:r>
          </w:p>
        </w:tc>
        <w:tc>
          <w:tcPr>
            <w:tcW w:w="3515" w:type="dxa"/>
          </w:tcPr>
          <w:p>
            <w:pPr>
              <w:pStyle w:val="TableParagraph"/>
              <w:rPr>
                <w:sz w:val="21"/>
              </w:rPr>
            </w:pPr>
            <w:r>
              <w:rPr>
                <w:sz w:val="21"/>
              </w:rPr>
              <w:t>Notification</w:t>
            </w:r>
          </w:p>
        </w:tc>
        <w:tc>
          <w:tcPr>
            <w:tcW w:w="4495" w:type="dxa"/>
          </w:tcPr>
          <w:p>
            <w:pPr/>
          </w:p>
        </w:tc>
      </w:tr>
      <w:tr>
        <w:trPr>
          <w:trHeight w:val="426" w:hRule="exact"/>
        </w:trPr>
        <w:tc>
          <w:tcPr>
            <w:tcW w:w="846" w:type="dxa"/>
          </w:tcPr>
          <w:p>
            <w:pPr>
              <w:pStyle w:val="TableParagraph"/>
              <w:ind w:left="311"/>
              <w:rPr>
                <w:sz w:val="21"/>
              </w:rPr>
            </w:pPr>
            <w:r>
              <w:rPr>
                <w:sz w:val="21"/>
              </w:rPr>
              <w:t>15</w:t>
            </w:r>
          </w:p>
        </w:tc>
        <w:tc>
          <w:tcPr>
            <w:tcW w:w="3515" w:type="dxa"/>
          </w:tcPr>
          <w:p>
            <w:pPr>
              <w:pStyle w:val="TableParagraph"/>
              <w:rPr>
                <w:sz w:val="21"/>
              </w:rPr>
            </w:pPr>
            <w:r>
              <w:rPr>
                <w:sz w:val="21"/>
              </w:rPr>
              <w:t>Remarks</w:t>
            </w:r>
          </w:p>
        </w:tc>
        <w:tc>
          <w:tcPr>
            <w:tcW w:w="4495" w:type="dxa"/>
          </w:tcPr>
          <w:p>
            <w:pPr/>
          </w:p>
        </w:tc>
      </w:tr>
    </w:tbl>
    <w:p>
      <w:pPr>
        <w:pStyle w:val="BodyText"/>
        <w:rPr>
          <w:b/>
          <w:sz w:val="20"/>
        </w:rPr>
      </w:pPr>
    </w:p>
    <w:p>
      <w:pPr>
        <w:pStyle w:val="BodyText"/>
        <w:spacing w:before="11"/>
        <w:rPr>
          <w:b/>
          <w:sz w:val="11"/>
        </w:rPr>
      </w:pPr>
      <w:r>
        <w:rPr/>
        <w:pict>
          <v:shape style="position:absolute;margin-left:65.279999pt;margin-top:9.512468pt;width:464.5pt;height:41.35pt;mso-position-horizontal-relative:page;mso-position-vertical-relative:paragraph;z-index:1720;mso-wrap-distance-left:0;mso-wrap-distance-right:0" type="#_x0000_t202" filled="true" fillcolor="#f1f1f1" stroked="true" strokeweight=".481pt" strokecolor="#d9d9d9">
            <v:textbox inset="0,0,0,0">
              <w:txbxContent>
                <w:p>
                  <w:pPr>
                    <w:pStyle w:val="BodyText"/>
                    <w:spacing w:line="276" w:lineRule="auto" w:before="100"/>
                    <w:ind w:left="129" w:right="178"/>
                  </w:pPr>
                  <w:r>
                    <w:rPr/>
                    <w:t>The overview section in this document is a simplified high-level summary only. The proposals we are consulting on and our reasoning are set out in the full document.</w:t>
                  </w:r>
                </w:p>
              </w:txbxContent>
            </v:textbox>
            <v:fill type="solid"/>
            <v:stroke dashstyle="solid"/>
            <w10:wrap type="topAndBottom"/>
          </v:shape>
        </w:pict>
      </w:r>
    </w:p>
    <w:sectPr>
      <w:footerReference w:type="default" r:id="rId61"/>
      <w:pgSz w:w="11910" w:h="16840"/>
      <w:pgMar w:footer="1321" w:header="727" w:top="920" w:bottom="1520" w:left="1200" w:right="12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alibri">
    <w:altName w:val="Calibri"/>
    <w:charset w:val="0"/>
    <w:family w:val="swiss"/>
    <w:pitch w:val="variable"/>
  </w:font>
  <w:font w:name="Wingdings">
    <w:altName w:val="Wingdings"/>
    <w:charset w:val="2"/>
    <w:family w:val="auto"/>
    <w:pitch w:val="variable"/>
  </w:font>
  <w:font w:name="Symbol">
    <w:altName w:val="Symbol"/>
    <w:charset w:val="2"/>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5.440002pt;margin-top:764.945007pt;width:9.6pt;height:13pt;mso-position-horizontal-relative:page;mso-position-vertical-relative:page;z-index:-45760" type="#_x0000_t202" filled="false" stroked="false">
          <v:textbox inset="0,0,0,0">
            <w:txbxContent>
              <w:p>
                <w:pPr>
                  <w:pStyle w:val="BodyText"/>
                  <w:spacing w:line="244" w:lineRule="exact"/>
                  <w:ind w:left="40"/>
                </w:pPr>
                <w:r>
                  <w:rPr/>
                  <w:fldChar w:fldCharType="begin"/>
                </w:r>
                <w:r>
                  <w:rPr>
                    <w:w w:val="99"/>
                  </w:rPr>
                  <w:instrText> PAGE </w:instrText>
                </w:r>
                <w:r>
                  <w:rPr/>
                  <w:fldChar w:fldCharType="separate"/>
                </w:r>
                <w:r>
                  <w:rPr/>
                  <w:t>7</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5.440002pt;margin-top:764.945007pt;width:9.6pt;height:13pt;mso-position-horizontal-relative:page;mso-position-vertical-relative:page;z-index:-45736" type="#_x0000_t202" filled="false" stroked="false">
          <v:textbox inset="0,0,0,0">
            <w:txbxContent>
              <w:p>
                <w:pPr>
                  <w:pStyle w:val="BodyText"/>
                  <w:spacing w:line="244" w:lineRule="exact"/>
                  <w:ind w:left="40"/>
                </w:pPr>
                <w:r>
                  <w:rPr/>
                  <w:fldChar w:fldCharType="begin"/>
                </w:r>
                <w:r>
                  <w:rPr>
                    <w:w w:val="99"/>
                  </w:rPr>
                  <w:instrText> PAGE </w:instrText>
                </w:r>
                <w:r>
                  <w:rPr/>
                  <w:fldChar w:fldCharType="separate"/>
                </w:r>
                <w:r>
                  <w:rPr/>
                  <w:t>8</w:t>
                </w:r>
                <w:r>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0.859985pt;margin-top:764.945007pt;width:13.2pt;height:13pt;mso-position-horizontal-relative:page;mso-position-vertical-relative:page;z-index:-45712" type="#_x0000_t202" filled="false" stroked="false">
          <v:textbox inset="0,0,0,0">
            <w:txbxContent>
              <w:p>
                <w:pPr>
                  <w:pStyle w:val="BodyText"/>
                  <w:spacing w:line="244" w:lineRule="exact"/>
                  <w:ind w:left="20"/>
                </w:pPr>
                <w:r>
                  <w:rPr/>
                  <w:t>10</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859985pt;margin-top:764.945007pt;width:15.2pt;height:13pt;mso-position-horizontal-relative:page;mso-position-vertical-relative:page;z-index:-45688"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11</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859985pt;margin-top:764.945007pt;width:15.2pt;height:13pt;mso-position-horizontal-relative:page;mso-position-vertical-relative:page;z-index:-45664"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13</w:t>
                </w:r>
                <w:r>
                  <w:rPr/>
                  <w:fldChar w:fldCharType="end"/>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0.859985pt;margin-top:764.945007pt;width:13.2pt;height:13pt;mso-position-horizontal-relative:page;mso-position-vertical-relative:page;z-index:-45640" type="#_x0000_t202" filled="false" stroked="false">
          <v:textbox inset="0,0,0,0">
            <w:txbxContent>
              <w:p>
                <w:pPr>
                  <w:pStyle w:val="BodyText"/>
                  <w:spacing w:line="244" w:lineRule="exact"/>
                  <w:ind w:left="20"/>
                </w:pPr>
                <w:r>
                  <w:rPr/>
                  <w:t>20</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859985pt;margin-top:764.945007pt;width:15.2pt;height:13pt;mso-position-horizontal-relative:page;mso-position-vertical-relative:page;z-index:-45616"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27</w:t>
                </w:r>
                <w:r>
                  <w:rPr/>
                  <w:fldChar w:fldCharType="end"/>
                </w:r>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859985pt;margin-top:764.945007pt;width:15.2pt;height:13pt;mso-position-horizontal-relative:page;mso-position-vertical-relative:page;z-index:-45592"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28</w:t>
                </w:r>
                <w:r>
                  <w:rPr/>
                  <w:fldChar w:fldCharType="end"/>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0.859985pt;margin-top:764.945007pt;width:13.2pt;height:13pt;mso-position-horizontal-relative:page;mso-position-vertical-relative:page;z-index:-45568" type="#_x0000_t202" filled="false" stroked="false">
          <v:textbox inset="0,0,0,0">
            <w:txbxContent>
              <w:p>
                <w:pPr>
                  <w:pStyle w:val="BodyText"/>
                  <w:spacing w:line="244" w:lineRule="exact"/>
                  <w:ind w:left="20"/>
                </w:pPr>
                <w:r>
                  <w:rPr/>
                  <w:t>30</w:t>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859985pt;margin-top:764.945007pt;width:15.2pt;height:13pt;mso-position-horizontal-relative:page;mso-position-vertical-relative:page;z-index:-45544"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31</w:t>
                </w:r>
                <w:r>
                  <w:rPr/>
                  <w:fldChar w:fldCharType="end"/>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45520" from="72pt,697.079956pt" to="216pt,697.079956pt" stroked="true" strokeweight=".72pt" strokecolor="#000000">
          <v:stroke dashstyle="solid"/>
          <w10:wrap type="none"/>
        </v:line>
      </w:pict>
    </w:r>
    <w:r>
      <w:rPr/>
      <w:pict>
        <v:shape style="position:absolute;margin-left:510.859985pt;margin-top:764.945007pt;width:13.2pt;height:13pt;mso-position-horizontal-relative:page;mso-position-vertical-relative:page;z-index:-45496" type="#_x0000_t202" filled="false" stroked="false">
          <v:textbox inset="0,0,0,0">
            <w:txbxContent>
              <w:p>
                <w:pPr>
                  <w:pStyle w:val="BodyText"/>
                  <w:spacing w:line="244" w:lineRule="exact"/>
                  <w:ind w:left="20"/>
                </w:pPr>
                <w:r>
                  <w:rPr/>
                  <w:t>35</w:t>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0.859985pt;margin-top:764.945007pt;width:13.2pt;height:13pt;mso-position-horizontal-relative:page;mso-position-vertical-relative:page;z-index:-45472" type="#_x0000_t202" filled="false" stroked="false">
          <v:textbox inset="0,0,0,0">
            <w:txbxContent>
              <w:p>
                <w:pPr>
                  <w:pStyle w:val="BodyText"/>
                  <w:spacing w:line="244" w:lineRule="exact"/>
                  <w:ind w:left="20"/>
                </w:pPr>
                <w:r>
                  <w:rPr/>
                  <w:t>36</w:t>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859985pt;margin-top:764.945007pt;width:15.2pt;height:13pt;mso-position-horizontal-relative:page;mso-position-vertical-relative:page;z-index:-45448"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37</w:t>
                </w:r>
                <w:r>
                  <w:rPr/>
                  <w:fldChar w:fldCharType="end"/>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0.859985pt;margin-top:764.945007pt;width:13.2pt;height:13pt;mso-position-horizontal-relative:page;mso-position-vertical-relative:page;z-index:-45424" type="#_x0000_t202" filled="false" stroked="false">
          <v:textbox inset="0,0,0,0">
            <w:txbxContent>
              <w:p>
                <w:pPr>
                  <w:pStyle w:val="BodyText"/>
                  <w:spacing w:line="244" w:lineRule="exact"/>
                  <w:ind w:left="20"/>
                </w:pPr>
                <w:r>
                  <w:rPr/>
                  <w:t>40</w:t>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859985pt;margin-top:764.945007pt;width:15.2pt;height:13pt;mso-position-horizontal-relative:page;mso-position-vertical-relative:page;z-index:-45400"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43</w:t>
                </w:r>
                <w:r>
                  <w:rPr/>
                  <w:fldChar w:fldCharType="end"/>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10.859985pt;margin-top:764.945007pt;width:13.2pt;height:13pt;mso-position-horizontal-relative:page;mso-position-vertical-relative:page;z-index:-45376" type="#_x0000_t202" filled="false" stroked="false">
          <v:textbox inset="0,0,0,0">
            <w:txbxContent>
              <w:p>
                <w:pPr>
                  <w:pStyle w:val="BodyText"/>
                  <w:spacing w:line="244" w:lineRule="exact"/>
                  <w:ind w:left="20"/>
                </w:pPr>
                <w:r>
                  <w:rPr/>
                  <w:t>50</w:t>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71pt;margin-top:36.349979pt;width:168.9pt;height:11pt;mso-position-horizontal-relative:page;mso-position-vertical-relative:page;z-index:-45784" type="#_x0000_t202" filled="false" stroked="false">
          <v:textbox inset="0,0,0,0">
            <w:txbxContent>
              <w:p>
                <w:pPr>
                  <w:spacing w:line="203" w:lineRule="exact" w:before="0"/>
                  <w:ind w:left="20" w:right="0" w:firstLine="0"/>
                  <w:jc w:val="left"/>
                  <w:rPr>
                    <w:b/>
                    <w:sz w:val="18"/>
                  </w:rPr>
                </w:pPr>
                <w:r>
                  <w:rPr>
                    <w:b/>
                    <w:sz w:val="18"/>
                  </w:rPr>
                  <w:t>Enabling spectrum sharing in the 6 GHz band</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6">
    <w:multiLevelType w:val="hybridMultilevel"/>
    <w:lvl w:ilvl="0">
      <w:start w:val="0"/>
      <w:numFmt w:val="bullet"/>
      <w:lvlText w:val=""/>
      <w:lvlJc w:val="left"/>
      <w:pPr>
        <w:ind w:left="1690" w:hanging="360"/>
      </w:pPr>
      <w:rPr>
        <w:rFonts w:hint="default" w:ascii="Symbol" w:hAnsi="Symbol" w:eastAsia="Symbol" w:cs="Symbol"/>
        <w:w w:val="99"/>
        <w:sz w:val="22"/>
        <w:szCs w:val="22"/>
      </w:rPr>
    </w:lvl>
    <w:lvl w:ilvl="1">
      <w:start w:val="0"/>
      <w:numFmt w:val="bullet"/>
      <w:lvlText w:val="•"/>
      <w:lvlJc w:val="left"/>
      <w:pPr>
        <w:ind w:left="2454" w:hanging="360"/>
      </w:pPr>
      <w:rPr>
        <w:rFonts w:hint="default"/>
      </w:rPr>
    </w:lvl>
    <w:lvl w:ilvl="2">
      <w:start w:val="0"/>
      <w:numFmt w:val="bullet"/>
      <w:lvlText w:val="•"/>
      <w:lvlJc w:val="left"/>
      <w:pPr>
        <w:ind w:left="3208" w:hanging="360"/>
      </w:pPr>
      <w:rPr>
        <w:rFonts w:hint="default"/>
      </w:rPr>
    </w:lvl>
    <w:lvl w:ilvl="3">
      <w:start w:val="0"/>
      <w:numFmt w:val="bullet"/>
      <w:lvlText w:val="•"/>
      <w:lvlJc w:val="left"/>
      <w:pPr>
        <w:ind w:left="3962" w:hanging="360"/>
      </w:pPr>
      <w:rPr>
        <w:rFonts w:hint="default"/>
      </w:rPr>
    </w:lvl>
    <w:lvl w:ilvl="4">
      <w:start w:val="0"/>
      <w:numFmt w:val="bullet"/>
      <w:lvlText w:val="•"/>
      <w:lvlJc w:val="left"/>
      <w:pPr>
        <w:ind w:left="4716" w:hanging="360"/>
      </w:pPr>
      <w:rPr>
        <w:rFonts w:hint="default"/>
      </w:rPr>
    </w:lvl>
    <w:lvl w:ilvl="5">
      <w:start w:val="0"/>
      <w:numFmt w:val="bullet"/>
      <w:lvlText w:val="•"/>
      <w:lvlJc w:val="left"/>
      <w:pPr>
        <w:ind w:left="5470" w:hanging="360"/>
      </w:pPr>
      <w:rPr>
        <w:rFonts w:hint="default"/>
      </w:rPr>
    </w:lvl>
    <w:lvl w:ilvl="6">
      <w:start w:val="0"/>
      <w:numFmt w:val="bullet"/>
      <w:lvlText w:val="•"/>
      <w:lvlJc w:val="left"/>
      <w:pPr>
        <w:ind w:left="6224" w:hanging="360"/>
      </w:pPr>
      <w:rPr>
        <w:rFonts w:hint="default"/>
      </w:rPr>
    </w:lvl>
    <w:lvl w:ilvl="7">
      <w:start w:val="0"/>
      <w:numFmt w:val="bullet"/>
      <w:lvlText w:val="•"/>
      <w:lvlJc w:val="left"/>
      <w:pPr>
        <w:ind w:left="6978" w:hanging="360"/>
      </w:pPr>
      <w:rPr>
        <w:rFonts w:hint="default"/>
      </w:rPr>
    </w:lvl>
    <w:lvl w:ilvl="8">
      <w:start w:val="0"/>
      <w:numFmt w:val="bullet"/>
      <w:lvlText w:val="•"/>
      <w:lvlJc w:val="left"/>
      <w:pPr>
        <w:ind w:left="7732" w:hanging="360"/>
      </w:pPr>
      <w:rPr>
        <w:rFonts w:hint="default"/>
      </w:rPr>
    </w:lvl>
  </w:abstractNum>
  <w:abstractNum w:abstractNumId="10">
    <w:multiLevelType w:val="hybridMultilevel"/>
    <w:lvl w:ilvl="0">
      <w:start w:val="0"/>
      <w:numFmt w:val="bullet"/>
      <w:lvlText w:val=""/>
      <w:lvlJc w:val="left"/>
      <w:pPr>
        <w:ind w:left="1291" w:hanging="341"/>
      </w:pPr>
      <w:rPr>
        <w:rFonts w:hint="default" w:ascii="Symbol" w:hAnsi="Symbol" w:eastAsia="Symbol" w:cs="Symbol"/>
        <w:w w:val="100"/>
        <w:sz w:val="20"/>
        <w:szCs w:val="20"/>
      </w:rPr>
    </w:lvl>
    <w:lvl w:ilvl="1">
      <w:start w:val="0"/>
      <w:numFmt w:val="bullet"/>
      <w:lvlText w:val="•"/>
      <w:lvlJc w:val="left"/>
      <w:pPr>
        <w:ind w:left="2092" w:hanging="341"/>
      </w:pPr>
      <w:rPr>
        <w:rFonts w:hint="default"/>
      </w:rPr>
    </w:lvl>
    <w:lvl w:ilvl="2">
      <w:start w:val="0"/>
      <w:numFmt w:val="bullet"/>
      <w:lvlText w:val="•"/>
      <w:lvlJc w:val="left"/>
      <w:pPr>
        <w:ind w:left="2884" w:hanging="341"/>
      </w:pPr>
      <w:rPr>
        <w:rFonts w:hint="default"/>
      </w:rPr>
    </w:lvl>
    <w:lvl w:ilvl="3">
      <w:start w:val="0"/>
      <w:numFmt w:val="bullet"/>
      <w:lvlText w:val="•"/>
      <w:lvlJc w:val="left"/>
      <w:pPr>
        <w:ind w:left="3676" w:hanging="341"/>
      </w:pPr>
      <w:rPr>
        <w:rFonts w:hint="default"/>
      </w:rPr>
    </w:lvl>
    <w:lvl w:ilvl="4">
      <w:start w:val="0"/>
      <w:numFmt w:val="bullet"/>
      <w:lvlText w:val="•"/>
      <w:lvlJc w:val="left"/>
      <w:pPr>
        <w:ind w:left="4468" w:hanging="341"/>
      </w:pPr>
      <w:rPr>
        <w:rFonts w:hint="default"/>
      </w:rPr>
    </w:lvl>
    <w:lvl w:ilvl="5">
      <w:start w:val="0"/>
      <w:numFmt w:val="bullet"/>
      <w:lvlText w:val="•"/>
      <w:lvlJc w:val="left"/>
      <w:pPr>
        <w:ind w:left="5260" w:hanging="341"/>
      </w:pPr>
      <w:rPr>
        <w:rFonts w:hint="default"/>
      </w:rPr>
    </w:lvl>
    <w:lvl w:ilvl="6">
      <w:start w:val="0"/>
      <w:numFmt w:val="bullet"/>
      <w:lvlText w:val="•"/>
      <w:lvlJc w:val="left"/>
      <w:pPr>
        <w:ind w:left="6052" w:hanging="341"/>
      </w:pPr>
      <w:rPr>
        <w:rFonts w:hint="default"/>
      </w:rPr>
    </w:lvl>
    <w:lvl w:ilvl="7">
      <w:start w:val="0"/>
      <w:numFmt w:val="bullet"/>
      <w:lvlText w:val="•"/>
      <w:lvlJc w:val="left"/>
      <w:pPr>
        <w:ind w:left="6844" w:hanging="341"/>
      </w:pPr>
      <w:rPr>
        <w:rFonts w:hint="default"/>
      </w:rPr>
    </w:lvl>
    <w:lvl w:ilvl="8">
      <w:start w:val="0"/>
      <w:numFmt w:val="bullet"/>
      <w:lvlText w:val="•"/>
      <w:lvlJc w:val="left"/>
      <w:pPr>
        <w:ind w:left="7636" w:hanging="341"/>
      </w:pPr>
      <w:rPr>
        <w:rFonts w:hint="default"/>
      </w:rPr>
    </w:lvl>
  </w:abstractNum>
  <w:abstractNum w:abstractNumId="13">
    <w:multiLevelType w:val="hybridMultilevel"/>
    <w:lvl w:ilvl="0">
      <w:start w:val="1"/>
      <w:numFmt w:val="decimal"/>
      <w:lvlText w:val="%1."/>
      <w:lvlJc w:val="left"/>
      <w:pPr>
        <w:ind w:left="1180" w:hanging="360"/>
        <w:jc w:val="left"/>
      </w:pPr>
      <w:rPr>
        <w:rFonts w:hint="default"/>
        <w:spacing w:val="-1"/>
        <w:w w:val="99"/>
      </w:rPr>
    </w:lvl>
    <w:lvl w:ilvl="1">
      <w:start w:val="1"/>
      <w:numFmt w:val="lowerLetter"/>
      <w:lvlText w:val="%2)"/>
      <w:lvlJc w:val="left"/>
      <w:pPr>
        <w:ind w:left="1540" w:hanging="360"/>
        <w:jc w:val="left"/>
      </w:pPr>
      <w:rPr>
        <w:rFonts w:hint="default" w:ascii="Arial" w:hAnsi="Arial" w:eastAsia="Arial" w:cs="Arial"/>
        <w:spacing w:val="-2"/>
        <w:w w:val="99"/>
        <w:sz w:val="24"/>
        <w:szCs w:val="24"/>
      </w:rPr>
    </w:lvl>
    <w:lvl w:ilvl="2">
      <w:start w:val="0"/>
      <w:numFmt w:val="bullet"/>
      <w:lvlText w:val="•"/>
      <w:lvlJc w:val="left"/>
      <w:pPr>
        <w:ind w:left="2393" w:hanging="360"/>
      </w:pPr>
      <w:rPr>
        <w:rFonts w:hint="default"/>
      </w:rPr>
    </w:lvl>
    <w:lvl w:ilvl="3">
      <w:start w:val="0"/>
      <w:numFmt w:val="bullet"/>
      <w:lvlText w:val="•"/>
      <w:lvlJc w:val="left"/>
      <w:pPr>
        <w:ind w:left="3246" w:hanging="360"/>
      </w:pPr>
      <w:rPr>
        <w:rFonts w:hint="default"/>
      </w:rPr>
    </w:lvl>
    <w:lvl w:ilvl="4">
      <w:start w:val="0"/>
      <w:numFmt w:val="bullet"/>
      <w:lvlText w:val="•"/>
      <w:lvlJc w:val="left"/>
      <w:pPr>
        <w:ind w:left="4100" w:hanging="360"/>
      </w:pPr>
      <w:rPr>
        <w:rFonts w:hint="default"/>
      </w:rPr>
    </w:lvl>
    <w:lvl w:ilvl="5">
      <w:start w:val="0"/>
      <w:numFmt w:val="bullet"/>
      <w:lvlText w:val="•"/>
      <w:lvlJc w:val="left"/>
      <w:pPr>
        <w:ind w:left="4953" w:hanging="360"/>
      </w:pPr>
      <w:rPr>
        <w:rFonts w:hint="default"/>
      </w:rPr>
    </w:lvl>
    <w:lvl w:ilvl="6">
      <w:start w:val="0"/>
      <w:numFmt w:val="bullet"/>
      <w:lvlText w:val="•"/>
      <w:lvlJc w:val="left"/>
      <w:pPr>
        <w:ind w:left="5806" w:hanging="360"/>
      </w:pPr>
      <w:rPr>
        <w:rFonts w:hint="default"/>
      </w:rPr>
    </w:lvl>
    <w:lvl w:ilvl="7">
      <w:start w:val="0"/>
      <w:numFmt w:val="bullet"/>
      <w:lvlText w:val="•"/>
      <w:lvlJc w:val="left"/>
      <w:pPr>
        <w:ind w:left="6660" w:hanging="360"/>
      </w:pPr>
      <w:rPr>
        <w:rFonts w:hint="default"/>
      </w:rPr>
    </w:lvl>
    <w:lvl w:ilvl="8">
      <w:start w:val="0"/>
      <w:numFmt w:val="bullet"/>
      <w:lvlText w:val="•"/>
      <w:lvlJc w:val="left"/>
      <w:pPr>
        <w:ind w:left="7513" w:hanging="360"/>
      </w:pPr>
      <w:rPr>
        <w:rFonts w:hint="default"/>
      </w:rPr>
    </w:lvl>
  </w:abstractNum>
  <w:abstractNum w:abstractNumId="12">
    <w:multiLevelType w:val="hybridMultilevel"/>
    <w:lvl w:ilvl="0">
      <w:start w:val="1"/>
      <w:numFmt w:val="decimal"/>
      <w:lvlText w:val="%1."/>
      <w:lvlJc w:val="left"/>
      <w:pPr>
        <w:ind w:left="1179" w:hanging="360"/>
        <w:jc w:val="left"/>
      </w:pPr>
      <w:rPr>
        <w:rFonts w:hint="default"/>
        <w:w w:val="99"/>
      </w:rPr>
    </w:lvl>
    <w:lvl w:ilvl="1">
      <w:start w:val="1"/>
      <w:numFmt w:val="lowerLetter"/>
      <w:lvlText w:val="%2)"/>
      <w:lvlJc w:val="left"/>
      <w:pPr>
        <w:ind w:left="1900" w:hanging="361"/>
        <w:jc w:val="left"/>
      </w:pPr>
      <w:rPr>
        <w:rFonts w:hint="default"/>
        <w:w w:val="99"/>
      </w:rPr>
    </w:lvl>
    <w:lvl w:ilvl="2">
      <w:start w:val="1"/>
      <w:numFmt w:val="lowerRoman"/>
      <w:lvlText w:val="%3."/>
      <w:lvlJc w:val="left"/>
      <w:pPr>
        <w:ind w:left="2620" w:hanging="361"/>
        <w:jc w:val="left"/>
      </w:pPr>
      <w:rPr>
        <w:rFonts w:hint="default" w:ascii="Arial" w:hAnsi="Arial" w:eastAsia="Arial" w:cs="Arial"/>
        <w:spacing w:val="-20"/>
        <w:w w:val="99"/>
        <w:sz w:val="24"/>
        <w:szCs w:val="24"/>
      </w:rPr>
    </w:lvl>
    <w:lvl w:ilvl="3">
      <w:start w:val="0"/>
      <w:numFmt w:val="bullet"/>
      <w:lvlText w:val="•"/>
      <w:lvlJc w:val="left"/>
      <w:pPr>
        <w:ind w:left="3445" w:hanging="361"/>
      </w:pPr>
      <w:rPr>
        <w:rFonts w:hint="default"/>
      </w:rPr>
    </w:lvl>
    <w:lvl w:ilvl="4">
      <w:start w:val="0"/>
      <w:numFmt w:val="bullet"/>
      <w:lvlText w:val="•"/>
      <w:lvlJc w:val="left"/>
      <w:pPr>
        <w:ind w:left="4270" w:hanging="361"/>
      </w:pPr>
      <w:rPr>
        <w:rFonts w:hint="default"/>
      </w:rPr>
    </w:lvl>
    <w:lvl w:ilvl="5">
      <w:start w:val="0"/>
      <w:numFmt w:val="bullet"/>
      <w:lvlText w:val="•"/>
      <w:lvlJc w:val="left"/>
      <w:pPr>
        <w:ind w:left="5095" w:hanging="361"/>
      </w:pPr>
      <w:rPr>
        <w:rFonts w:hint="default"/>
      </w:rPr>
    </w:lvl>
    <w:lvl w:ilvl="6">
      <w:start w:val="0"/>
      <w:numFmt w:val="bullet"/>
      <w:lvlText w:val="•"/>
      <w:lvlJc w:val="left"/>
      <w:pPr>
        <w:ind w:left="5920" w:hanging="361"/>
      </w:pPr>
      <w:rPr>
        <w:rFonts w:hint="default"/>
      </w:rPr>
    </w:lvl>
    <w:lvl w:ilvl="7">
      <w:start w:val="0"/>
      <w:numFmt w:val="bullet"/>
      <w:lvlText w:val="•"/>
      <w:lvlJc w:val="left"/>
      <w:pPr>
        <w:ind w:left="6745" w:hanging="361"/>
      </w:pPr>
      <w:rPr>
        <w:rFonts w:hint="default"/>
      </w:rPr>
    </w:lvl>
    <w:lvl w:ilvl="8">
      <w:start w:val="0"/>
      <w:numFmt w:val="bullet"/>
      <w:lvlText w:val="•"/>
      <w:lvlJc w:val="left"/>
      <w:pPr>
        <w:ind w:left="7570" w:hanging="361"/>
      </w:pPr>
      <w:rPr>
        <w:rFonts w:hint="default"/>
      </w:rPr>
    </w:lvl>
  </w:abstractNum>
  <w:abstractNum w:abstractNumId="11">
    <w:multiLevelType w:val="hybridMultilevel"/>
    <w:lvl w:ilvl="0">
      <w:start w:val="1"/>
      <w:numFmt w:val="decimal"/>
      <w:lvlText w:val="%1."/>
      <w:lvlJc w:val="left"/>
      <w:pPr>
        <w:ind w:left="1180" w:hanging="360"/>
        <w:jc w:val="left"/>
      </w:pPr>
      <w:rPr>
        <w:rFonts w:hint="default"/>
        <w:w w:val="99"/>
      </w:rPr>
    </w:lvl>
    <w:lvl w:ilvl="1">
      <w:start w:val="1"/>
      <w:numFmt w:val="lowerLetter"/>
      <w:lvlText w:val="%2)"/>
      <w:lvlJc w:val="left"/>
      <w:pPr>
        <w:ind w:left="1900" w:hanging="360"/>
        <w:jc w:val="left"/>
      </w:pPr>
      <w:rPr>
        <w:rFonts w:hint="default"/>
        <w:spacing w:val="-2"/>
        <w:w w:val="99"/>
      </w:rPr>
    </w:lvl>
    <w:lvl w:ilvl="2">
      <w:start w:val="0"/>
      <w:numFmt w:val="bullet"/>
      <w:lvlText w:val="•"/>
      <w:lvlJc w:val="left"/>
      <w:pPr>
        <w:ind w:left="1900" w:hanging="360"/>
      </w:pPr>
      <w:rPr>
        <w:rFonts w:hint="default"/>
      </w:rPr>
    </w:lvl>
    <w:lvl w:ilvl="3">
      <w:start w:val="0"/>
      <w:numFmt w:val="bullet"/>
      <w:lvlText w:val="•"/>
      <w:lvlJc w:val="left"/>
      <w:pPr>
        <w:ind w:left="2815" w:hanging="360"/>
      </w:pPr>
      <w:rPr>
        <w:rFonts w:hint="default"/>
      </w:rPr>
    </w:lvl>
    <w:lvl w:ilvl="4">
      <w:start w:val="0"/>
      <w:numFmt w:val="bullet"/>
      <w:lvlText w:val="•"/>
      <w:lvlJc w:val="left"/>
      <w:pPr>
        <w:ind w:left="3730" w:hanging="360"/>
      </w:pPr>
      <w:rPr>
        <w:rFonts w:hint="default"/>
      </w:rPr>
    </w:lvl>
    <w:lvl w:ilvl="5">
      <w:start w:val="0"/>
      <w:numFmt w:val="bullet"/>
      <w:lvlText w:val="•"/>
      <w:lvlJc w:val="left"/>
      <w:pPr>
        <w:ind w:left="4645" w:hanging="360"/>
      </w:pPr>
      <w:rPr>
        <w:rFonts w:hint="default"/>
      </w:rPr>
    </w:lvl>
    <w:lvl w:ilvl="6">
      <w:start w:val="0"/>
      <w:numFmt w:val="bullet"/>
      <w:lvlText w:val="•"/>
      <w:lvlJc w:val="left"/>
      <w:pPr>
        <w:ind w:left="5560" w:hanging="360"/>
      </w:pPr>
      <w:rPr>
        <w:rFonts w:hint="default"/>
      </w:rPr>
    </w:lvl>
    <w:lvl w:ilvl="7">
      <w:start w:val="0"/>
      <w:numFmt w:val="bullet"/>
      <w:lvlText w:val="•"/>
      <w:lvlJc w:val="left"/>
      <w:pPr>
        <w:ind w:left="6475" w:hanging="360"/>
      </w:pPr>
      <w:rPr>
        <w:rFonts w:hint="default"/>
      </w:rPr>
    </w:lvl>
    <w:lvl w:ilvl="8">
      <w:start w:val="0"/>
      <w:numFmt w:val="bullet"/>
      <w:lvlText w:val="•"/>
      <w:lvlJc w:val="left"/>
      <w:pPr>
        <w:ind w:left="7390" w:hanging="360"/>
      </w:pPr>
      <w:rPr>
        <w:rFonts w:hint="default"/>
      </w:rPr>
    </w:lvl>
  </w:abstractNum>
  <w:abstractNum w:abstractNumId="9">
    <w:multiLevelType w:val="hybridMultilevel"/>
    <w:lvl w:ilvl="0">
      <w:start w:val="1"/>
      <w:numFmt w:val="lowerLetter"/>
      <w:lvlText w:val="%1)"/>
      <w:lvlJc w:val="left"/>
      <w:pPr>
        <w:ind w:left="1310" w:hanging="341"/>
        <w:jc w:val="left"/>
      </w:pPr>
      <w:rPr>
        <w:rFonts w:hint="default" w:ascii="Calibri" w:hAnsi="Calibri" w:eastAsia="Calibri" w:cs="Calibri"/>
        <w:w w:val="99"/>
        <w:sz w:val="22"/>
        <w:szCs w:val="22"/>
      </w:rPr>
    </w:lvl>
    <w:lvl w:ilvl="1">
      <w:start w:val="0"/>
      <w:numFmt w:val="bullet"/>
      <w:lvlText w:val="•"/>
      <w:lvlJc w:val="left"/>
      <w:pPr>
        <w:ind w:left="2112" w:hanging="341"/>
      </w:pPr>
      <w:rPr>
        <w:rFonts w:hint="default"/>
      </w:rPr>
    </w:lvl>
    <w:lvl w:ilvl="2">
      <w:start w:val="0"/>
      <w:numFmt w:val="bullet"/>
      <w:lvlText w:val="•"/>
      <w:lvlJc w:val="left"/>
      <w:pPr>
        <w:ind w:left="2904" w:hanging="341"/>
      </w:pPr>
      <w:rPr>
        <w:rFonts w:hint="default"/>
      </w:rPr>
    </w:lvl>
    <w:lvl w:ilvl="3">
      <w:start w:val="0"/>
      <w:numFmt w:val="bullet"/>
      <w:lvlText w:val="•"/>
      <w:lvlJc w:val="left"/>
      <w:pPr>
        <w:ind w:left="3696" w:hanging="341"/>
      </w:pPr>
      <w:rPr>
        <w:rFonts w:hint="default"/>
      </w:rPr>
    </w:lvl>
    <w:lvl w:ilvl="4">
      <w:start w:val="0"/>
      <w:numFmt w:val="bullet"/>
      <w:lvlText w:val="•"/>
      <w:lvlJc w:val="left"/>
      <w:pPr>
        <w:ind w:left="4488" w:hanging="341"/>
      </w:pPr>
      <w:rPr>
        <w:rFonts w:hint="default"/>
      </w:rPr>
    </w:lvl>
    <w:lvl w:ilvl="5">
      <w:start w:val="0"/>
      <w:numFmt w:val="bullet"/>
      <w:lvlText w:val="•"/>
      <w:lvlJc w:val="left"/>
      <w:pPr>
        <w:ind w:left="5280" w:hanging="341"/>
      </w:pPr>
      <w:rPr>
        <w:rFonts w:hint="default"/>
      </w:rPr>
    </w:lvl>
    <w:lvl w:ilvl="6">
      <w:start w:val="0"/>
      <w:numFmt w:val="bullet"/>
      <w:lvlText w:val="•"/>
      <w:lvlJc w:val="left"/>
      <w:pPr>
        <w:ind w:left="6072" w:hanging="341"/>
      </w:pPr>
      <w:rPr>
        <w:rFonts w:hint="default"/>
      </w:rPr>
    </w:lvl>
    <w:lvl w:ilvl="7">
      <w:start w:val="0"/>
      <w:numFmt w:val="bullet"/>
      <w:lvlText w:val="•"/>
      <w:lvlJc w:val="left"/>
      <w:pPr>
        <w:ind w:left="6864" w:hanging="341"/>
      </w:pPr>
      <w:rPr>
        <w:rFonts w:hint="default"/>
      </w:rPr>
    </w:lvl>
    <w:lvl w:ilvl="8">
      <w:start w:val="0"/>
      <w:numFmt w:val="bullet"/>
      <w:lvlText w:val="•"/>
      <w:lvlJc w:val="left"/>
      <w:pPr>
        <w:ind w:left="7656" w:hanging="341"/>
      </w:pPr>
      <w:rPr>
        <w:rFonts w:hint="default"/>
      </w:rPr>
    </w:lvl>
  </w:abstractNum>
  <w:abstractNum w:abstractNumId="8">
    <w:multiLevelType w:val="hybridMultilevel"/>
    <w:lvl w:ilvl="0">
      <w:start w:val="1"/>
      <w:numFmt w:val="lowerLetter"/>
      <w:lvlText w:val="%1)"/>
      <w:lvlJc w:val="left"/>
      <w:pPr>
        <w:ind w:left="1310" w:hanging="341"/>
        <w:jc w:val="left"/>
      </w:pPr>
      <w:rPr>
        <w:rFonts w:hint="default" w:ascii="Calibri" w:hAnsi="Calibri" w:eastAsia="Calibri" w:cs="Calibri"/>
        <w:w w:val="99"/>
        <w:sz w:val="22"/>
        <w:szCs w:val="22"/>
      </w:rPr>
    </w:lvl>
    <w:lvl w:ilvl="1">
      <w:start w:val="0"/>
      <w:numFmt w:val="bullet"/>
      <w:lvlText w:val="•"/>
      <w:lvlJc w:val="left"/>
      <w:pPr>
        <w:ind w:left="2112" w:hanging="341"/>
      </w:pPr>
      <w:rPr>
        <w:rFonts w:hint="default"/>
      </w:rPr>
    </w:lvl>
    <w:lvl w:ilvl="2">
      <w:start w:val="0"/>
      <w:numFmt w:val="bullet"/>
      <w:lvlText w:val="•"/>
      <w:lvlJc w:val="left"/>
      <w:pPr>
        <w:ind w:left="2904" w:hanging="341"/>
      </w:pPr>
      <w:rPr>
        <w:rFonts w:hint="default"/>
      </w:rPr>
    </w:lvl>
    <w:lvl w:ilvl="3">
      <w:start w:val="0"/>
      <w:numFmt w:val="bullet"/>
      <w:lvlText w:val="•"/>
      <w:lvlJc w:val="left"/>
      <w:pPr>
        <w:ind w:left="3696" w:hanging="341"/>
      </w:pPr>
      <w:rPr>
        <w:rFonts w:hint="default"/>
      </w:rPr>
    </w:lvl>
    <w:lvl w:ilvl="4">
      <w:start w:val="0"/>
      <w:numFmt w:val="bullet"/>
      <w:lvlText w:val="•"/>
      <w:lvlJc w:val="left"/>
      <w:pPr>
        <w:ind w:left="4488" w:hanging="341"/>
      </w:pPr>
      <w:rPr>
        <w:rFonts w:hint="default"/>
      </w:rPr>
    </w:lvl>
    <w:lvl w:ilvl="5">
      <w:start w:val="0"/>
      <w:numFmt w:val="bullet"/>
      <w:lvlText w:val="•"/>
      <w:lvlJc w:val="left"/>
      <w:pPr>
        <w:ind w:left="5280" w:hanging="341"/>
      </w:pPr>
      <w:rPr>
        <w:rFonts w:hint="default"/>
      </w:rPr>
    </w:lvl>
    <w:lvl w:ilvl="6">
      <w:start w:val="0"/>
      <w:numFmt w:val="bullet"/>
      <w:lvlText w:val="•"/>
      <w:lvlJc w:val="left"/>
      <w:pPr>
        <w:ind w:left="6072" w:hanging="341"/>
      </w:pPr>
      <w:rPr>
        <w:rFonts w:hint="default"/>
      </w:rPr>
    </w:lvl>
    <w:lvl w:ilvl="7">
      <w:start w:val="0"/>
      <w:numFmt w:val="bullet"/>
      <w:lvlText w:val="•"/>
      <w:lvlJc w:val="left"/>
      <w:pPr>
        <w:ind w:left="6864" w:hanging="341"/>
      </w:pPr>
      <w:rPr>
        <w:rFonts w:hint="default"/>
      </w:rPr>
    </w:lvl>
    <w:lvl w:ilvl="8">
      <w:start w:val="0"/>
      <w:numFmt w:val="bullet"/>
      <w:lvlText w:val="•"/>
      <w:lvlJc w:val="left"/>
      <w:pPr>
        <w:ind w:left="7656" w:hanging="341"/>
      </w:pPr>
      <w:rPr>
        <w:rFonts w:hint="default"/>
      </w:rPr>
    </w:lvl>
  </w:abstractNum>
  <w:abstractNum w:abstractNumId="7">
    <w:multiLevelType w:val="hybridMultilevel"/>
    <w:lvl w:ilvl="0">
      <w:start w:val="3"/>
      <w:numFmt w:val="lowerRoman"/>
      <w:lvlText w:val="(%1)"/>
      <w:lvlJc w:val="left"/>
      <w:pPr>
        <w:ind w:left="970" w:hanging="335"/>
        <w:jc w:val="left"/>
      </w:pPr>
      <w:rPr>
        <w:rFonts w:hint="default" w:ascii="Calibri" w:hAnsi="Calibri" w:eastAsia="Calibri" w:cs="Calibri"/>
        <w:spacing w:val="-1"/>
        <w:w w:val="99"/>
        <w:sz w:val="22"/>
        <w:szCs w:val="22"/>
      </w:rPr>
    </w:lvl>
    <w:lvl w:ilvl="1">
      <w:start w:val="0"/>
      <w:numFmt w:val="bullet"/>
      <w:lvlText w:val="•"/>
      <w:lvlJc w:val="left"/>
      <w:pPr>
        <w:ind w:left="1806" w:hanging="335"/>
      </w:pPr>
      <w:rPr>
        <w:rFonts w:hint="default"/>
      </w:rPr>
    </w:lvl>
    <w:lvl w:ilvl="2">
      <w:start w:val="0"/>
      <w:numFmt w:val="bullet"/>
      <w:lvlText w:val="•"/>
      <w:lvlJc w:val="left"/>
      <w:pPr>
        <w:ind w:left="2632" w:hanging="335"/>
      </w:pPr>
      <w:rPr>
        <w:rFonts w:hint="default"/>
      </w:rPr>
    </w:lvl>
    <w:lvl w:ilvl="3">
      <w:start w:val="0"/>
      <w:numFmt w:val="bullet"/>
      <w:lvlText w:val="•"/>
      <w:lvlJc w:val="left"/>
      <w:pPr>
        <w:ind w:left="3458" w:hanging="335"/>
      </w:pPr>
      <w:rPr>
        <w:rFonts w:hint="default"/>
      </w:rPr>
    </w:lvl>
    <w:lvl w:ilvl="4">
      <w:start w:val="0"/>
      <w:numFmt w:val="bullet"/>
      <w:lvlText w:val="•"/>
      <w:lvlJc w:val="left"/>
      <w:pPr>
        <w:ind w:left="4284" w:hanging="335"/>
      </w:pPr>
      <w:rPr>
        <w:rFonts w:hint="default"/>
      </w:rPr>
    </w:lvl>
    <w:lvl w:ilvl="5">
      <w:start w:val="0"/>
      <w:numFmt w:val="bullet"/>
      <w:lvlText w:val="•"/>
      <w:lvlJc w:val="left"/>
      <w:pPr>
        <w:ind w:left="5110" w:hanging="335"/>
      </w:pPr>
      <w:rPr>
        <w:rFonts w:hint="default"/>
      </w:rPr>
    </w:lvl>
    <w:lvl w:ilvl="6">
      <w:start w:val="0"/>
      <w:numFmt w:val="bullet"/>
      <w:lvlText w:val="•"/>
      <w:lvlJc w:val="left"/>
      <w:pPr>
        <w:ind w:left="5936" w:hanging="335"/>
      </w:pPr>
      <w:rPr>
        <w:rFonts w:hint="default"/>
      </w:rPr>
    </w:lvl>
    <w:lvl w:ilvl="7">
      <w:start w:val="0"/>
      <w:numFmt w:val="bullet"/>
      <w:lvlText w:val="•"/>
      <w:lvlJc w:val="left"/>
      <w:pPr>
        <w:ind w:left="6762" w:hanging="335"/>
      </w:pPr>
      <w:rPr>
        <w:rFonts w:hint="default"/>
      </w:rPr>
    </w:lvl>
    <w:lvl w:ilvl="8">
      <w:start w:val="0"/>
      <w:numFmt w:val="bullet"/>
      <w:lvlText w:val="•"/>
      <w:lvlJc w:val="left"/>
      <w:pPr>
        <w:ind w:left="7588" w:hanging="335"/>
      </w:pPr>
      <w:rPr>
        <w:rFonts w:hint="default"/>
      </w:rPr>
    </w:lvl>
  </w:abstractNum>
  <w:abstractNum w:abstractNumId="5">
    <w:multiLevelType w:val="hybridMultilevel"/>
    <w:lvl w:ilvl="0">
      <w:start w:val="1"/>
      <w:numFmt w:val="decimal"/>
      <w:lvlText w:val="%1."/>
      <w:lvlJc w:val="left"/>
      <w:pPr>
        <w:ind w:left="489" w:hanging="361"/>
        <w:jc w:val="left"/>
      </w:pPr>
      <w:rPr>
        <w:rFonts w:hint="default" w:ascii="Calibri" w:hAnsi="Calibri" w:eastAsia="Calibri" w:cs="Calibri"/>
        <w:w w:val="99"/>
        <w:sz w:val="22"/>
        <w:szCs w:val="22"/>
      </w:rPr>
    </w:lvl>
    <w:lvl w:ilvl="1">
      <w:start w:val="0"/>
      <w:numFmt w:val="bullet"/>
      <w:lvlText w:val="•"/>
      <w:lvlJc w:val="left"/>
      <w:pPr>
        <w:ind w:left="1263" w:hanging="361"/>
      </w:pPr>
      <w:rPr>
        <w:rFonts w:hint="default"/>
      </w:rPr>
    </w:lvl>
    <w:lvl w:ilvl="2">
      <w:start w:val="0"/>
      <w:numFmt w:val="bullet"/>
      <w:lvlText w:val="•"/>
      <w:lvlJc w:val="left"/>
      <w:pPr>
        <w:ind w:left="2047" w:hanging="361"/>
      </w:pPr>
      <w:rPr>
        <w:rFonts w:hint="default"/>
      </w:rPr>
    </w:lvl>
    <w:lvl w:ilvl="3">
      <w:start w:val="0"/>
      <w:numFmt w:val="bullet"/>
      <w:lvlText w:val="•"/>
      <w:lvlJc w:val="left"/>
      <w:pPr>
        <w:ind w:left="2830" w:hanging="361"/>
      </w:pPr>
      <w:rPr>
        <w:rFonts w:hint="default"/>
      </w:rPr>
    </w:lvl>
    <w:lvl w:ilvl="4">
      <w:start w:val="0"/>
      <w:numFmt w:val="bullet"/>
      <w:lvlText w:val="•"/>
      <w:lvlJc w:val="left"/>
      <w:pPr>
        <w:ind w:left="3614" w:hanging="361"/>
      </w:pPr>
      <w:rPr>
        <w:rFonts w:hint="default"/>
      </w:rPr>
    </w:lvl>
    <w:lvl w:ilvl="5">
      <w:start w:val="0"/>
      <w:numFmt w:val="bullet"/>
      <w:lvlText w:val="•"/>
      <w:lvlJc w:val="left"/>
      <w:pPr>
        <w:ind w:left="4398" w:hanging="361"/>
      </w:pPr>
      <w:rPr>
        <w:rFonts w:hint="default"/>
      </w:rPr>
    </w:lvl>
    <w:lvl w:ilvl="6">
      <w:start w:val="0"/>
      <w:numFmt w:val="bullet"/>
      <w:lvlText w:val="•"/>
      <w:lvlJc w:val="left"/>
      <w:pPr>
        <w:ind w:left="5181" w:hanging="361"/>
      </w:pPr>
      <w:rPr>
        <w:rFonts w:hint="default"/>
      </w:rPr>
    </w:lvl>
    <w:lvl w:ilvl="7">
      <w:start w:val="0"/>
      <w:numFmt w:val="bullet"/>
      <w:lvlText w:val="•"/>
      <w:lvlJc w:val="left"/>
      <w:pPr>
        <w:ind w:left="5965" w:hanging="361"/>
      </w:pPr>
      <w:rPr>
        <w:rFonts w:hint="default"/>
      </w:rPr>
    </w:lvl>
    <w:lvl w:ilvl="8">
      <w:start w:val="0"/>
      <w:numFmt w:val="bullet"/>
      <w:lvlText w:val="•"/>
      <w:lvlJc w:val="left"/>
      <w:pPr>
        <w:ind w:left="6748" w:hanging="361"/>
      </w:pPr>
      <w:rPr>
        <w:rFonts w:hint="default"/>
      </w:rPr>
    </w:lvl>
  </w:abstractNum>
  <w:abstractNum w:abstractNumId="4">
    <w:multiLevelType w:val="hybridMultilevel"/>
    <w:lvl w:ilvl="0">
      <w:start w:val="0"/>
      <w:numFmt w:val="bullet"/>
      <w:lvlText w:val=""/>
      <w:lvlJc w:val="left"/>
      <w:pPr>
        <w:ind w:left="1311" w:hanging="341"/>
      </w:pPr>
      <w:rPr>
        <w:rFonts w:hint="default" w:ascii="Symbol" w:hAnsi="Symbol" w:eastAsia="Symbol" w:cs="Symbol"/>
        <w:w w:val="100"/>
        <w:sz w:val="20"/>
        <w:szCs w:val="20"/>
      </w:rPr>
    </w:lvl>
    <w:lvl w:ilvl="1">
      <w:start w:val="0"/>
      <w:numFmt w:val="bullet"/>
      <w:lvlText w:val="•"/>
      <w:lvlJc w:val="left"/>
      <w:pPr>
        <w:ind w:left="2112" w:hanging="341"/>
      </w:pPr>
      <w:rPr>
        <w:rFonts w:hint="default"/>
      </w:rPr>
    </w:lvl>
    <w:lvl w:ilvl="2">
      <w:start w:val="0"/>
      <w:numFmt w:val="bullet"/>
      <w:lvlText w:val="•"/>
      <w:lvlJc w:val="left"/>
      <w:pPr>
        <w:ind w:left="2904" w:hanging="341"/>
      </w:pPr>
      <w:rPr>
        <w:rFonts w:hint="default"/>
      </w:rPr>
    </w:lvl>
    <w:lvl w:ilvl="3">
      <w:start w:val="0"/>
      <w:numFmt w:val="bullet"/>
      <w:lvlText w:val="•"/>
      <w:lvlJc w:val="left"/>
      <w:pPr>
        <w:ind w:left="3696" w:hanging="341"/>
      </w:pPr>
      <w:rPr>
        <w:rFonts w:hint="default"/>
      </w:rPr>
    </w:lvl>
    <w:lvl w:ilvl="4">
      <w:start w:val="0"/>
      <w:numFmt w:val="bullet"/>
      <w:lvlText w:val="•"/>
      <w:lvlJc w:val="left"/>
      <w:pPr>
        <w:ind w:left="4488" w:hanging="341"/>
      </w:pPr>
      <w:rPr>
        <w:rFonts w:hint="default"/>
      </w:rPr>
    </w:lvl>
    <w:lvl w:ilvl="5">
      <w:start w:val="0"/>
      <w:numFmt w:val="bullet"/>
      <w:lvlText w:val="•"/>
      <w:lvlJc w:val="left"/>
      <w:pPr>
        <w:ind w:left="5280" w:hanging="341"/>
      </w:pPr>
      <w:rPr>
        <w:rFonts w:hint="default"/>
      </w:rPr>
    </w:lvl>
    <w:lvl w:ilvl="6">
      <w:start w:val="0"/>
      <w:numFmt w:val="bullet"/>
      <w:lvlText w:val="•"/>
      <w:lvlJc w:val="left"/>
      <w:pPr>
        <w:ind w:left="6072" w:hanging="341"/>
      </w:pPr>
      <w:rPr>
        <w:rFonts w:hint="default"/>
      </w:rPr>
    </w:lvl>
    <w:lvl w:ilvl="7">
      <w:start w:val="0"/>
      <w:numFmt w:val="bullet"/>
      <w:lvlText w:val="•"/>
      <w:lvlJc w:val="left"/>
      <w:pPr>
        <w:ind w:left="6864" w:hanging="341"/>
      </w:pPr>
      <w:rPr>
        <w:rFonts w:hint="default"/>
      </w:rPr>
    </w:lvl>
    <w:lvl w:ilvl="8">
      <w:start w:val="0"/>
      <w:numFmt w:val="bullet"/>
      <w:lvlText w:val="•"/>
      <w:lvlJc w:val="left"/>
      <w:pPr>
        <w:ind w:left="7656" w:hanging="341"/>
      </w:pPr>
      <w:rPr>
        <w:rFonts w:hint="default"/>
      </w:rPr>
    </w:lvl>
  </w:abstractNum>
  <w:abstractNum w:abstractNumId="3">
    <w:multiLevelType w:val="hybridMultilevel"/>
    <w:lvl w:ilvl="0">
      <w:start w:val="1"/>
      <w:numFmt w:val="decimal"/>
      <w:lvlText w:val="%1."/>
      <w:lvlJc w:val="left"/>
      <w:pPr>
        <w:ind w:left="489" w:hanging="361"/>
        <w:jc w:val="left"/>
      </w:pPr>
      <w:rPr>
        <w:rFonts w:hint="default" w:ascii="Calibri" w:hAnsi="Calibri" w:eastAsia="Calibri" w:cs="Calibri"/>
        <w:w w:val="99"/>
        <w:sz w:val="22"/>
        <w:szCs w:val="22"/>
      </w:rPr>
    </w:lvl>
    <w:lvl w:ilvl="1">
      <w:start w:val="0"/>
      <w:numFmt w:val="bullet"/>
      <w:lvlText w:val="•"/>
      <w:lvlJc w:val="left"/>
      <w:pPr>
        <w:ind w:left="1263" w:hanging="361"/>
      </w:pPr>
      <w:rPr>
        <w:rFonts w:hint="default"/>
      </w:rPr>
    </w:lvl>
    <w:lvl w:ilvl="2">
      <w:start w:val="0"/>
      <w:numFmt w:val="bullet"/>
      <w:lvlText w:val="•"/>
      <w:lvlJc w:val="left"/>
      <w:pPr>
        <w:ind w:left="2047" w:hanging="361"/>
      </w:pPr>
      <w:rPr>
        <w:rFonts w:hint="default"/>
      </w:rPr>
    </w:lvl>
    <w:lvl w:ilvl="3">
      <w:start w:val="0"/>
      <w:numFmt w:val="bullet"/>
      <w:lvlText w:val="•"/>
      <w:lvlJc w:val="left"/>
      <w:pPr>
        <w:ind w:left="2830" w:hanging="361"/>
      </w:pPr>
      <w:rPr>
        <w:rFonts w:hint="default"/>
      </w:rPr>
    </w:lvl>
    <w:lvl w:ilvl="4">
      <w:start w:val="0"/>
      <w:numFmt w:val="bullet"/>
      <w:lvlText w:val="•"/>
      <w:lvlJc w:val="left"/>
      <w:pPr>
        <w:ind w:left="3614" w:hanging="361"/>
      </w:pPr>
      <w:rPr>
        <w:rFonts w:hint="default"/>
      </w:rPr>
    </w:lvl>
    <w:lvl w:ilvl="5">
      <w:start w:val="0"/>
      <w:numFmt w:val="bullet"/>
      <w:lvlText w:val="•"/>
      <w:lvlJc w:val="left"/>
      <w:pPr>
        <w:ind w:left="4398" w:hanging="361"/>
      </w:pPr>
      <w:rPr>
        <w:rFonts w:hint="default"/>
      </w:rPr>
    </w:lvl>
    <w:lvl w:ilvl="6">
      <w:start w:val="0"/>
      <w:numFmt w:val="bullet"/>
      <w:lvlText w:val="•"/>
      <w:lvlJc w:val="left"/>
      <w:pPr>
        <w:ind w:left="5181" w:hanging="361"/>
      </w:pPr>
      <w:rPr>
        <w:rFonts w:hint="default"/>
      </w:rPr>
    </w:lvl>
    <w:lvl w:ilvl="7">
      <w:start w:val="0"/>
      <w:numFmt w:val="bullet"/>
      <w:lvlText w:val="•"/>
      <w:lvlJc w:val="left"/>
      <w:pPr>
        <w:ind w:left="5965" w:hanging="361"/>
      </w:pPr>
      <w:rPr>
        <w:rFonts w:hint="default"/>
      </w:rPr>
    </w:lvl>
    <w:lvl w:ilvl="8">
      <w:start w:val="0"/>
      <w:numFmt w:val="bullet"/>
      <w:lvlText w:val="•"/>
      <w:lvlJc w:val="left"/>
      <w:pPr>
        <w:ind w:left="6748" w:hanging="361"/>
      </w:pPr>
      <w:rPr>
        <w:rFonts w:hint="default"/>
      </w:rPr>
    </w:lvl>
  </w:abstractNum>
  <w:abstractNum w:abstractNumId="2">
    <w:multiLevelType w:val="hybridMultilevel"/>
    <w:lvl w:ilvl="0">
      <w:start w:val="7"/>
      <w:numFmt w:val="lowerLetter"/>
      <w:lvlText w:val="%1)"/>
      <w:lvlJc w:val="left"/>
      <w:pPr>
        <w:ind w:left="1311" w:hanging="341"/>
        <w:jc w:val="left"/>
      </w:pPr>
      <w:rPr>
        <w:rFonts w:hint="default" w:ascii="Calibri" w:hAnsi="Calibri" w:eastAsia="Calibri" w:cs="Calibri"/>
        <w:spacing w:val="-1"/>
        <w:w w:val="99"/>
        <w:sz w:val="22"/>
        <w:szCs w:val="22"/>
      </w:rPr>
    </w:lvl>
    <w:lvl w:ilvl="1">
      <w:start w:val="0"/>
      <w:numFmt w:val="bullet"/>
      <w:lvlText w:val="•"/>
      <w:lvlJc w:val="left"/>
      <w:pPr>
        <w:ind w:left="2112" w:hanging="341"/>
      </w:pPr>
      <w:rPr>
        <w:rFonts w:hint="default"/>
      </w:rPr>
    </w:lvl>
    <w:lvl w:ilvl="2">
      <w:start w:val="0"/>
      <w:numFmt w:val="bullet"/>
      <w:lvlText w:val="•"/>
      <w:lvlJc w:val="left"/>
      <w:pPr>
        <w:ind w:left="2904" w:hanging="341"/>
      </w:pPr>
      <w:rPr>
        <w:rFonts w:hint="default"/>
      </w:rPr>
    </w:lvl>
    <w:lvl w:ilvl="3">
      <w:start w:val="0"/>
      <w:numFmt w:val="bullet"/>
      <w:lvlText w:val="•"/>
      <w:lvlJc w:val="left"/>
      <w:pPr>
        <w:ind w:left="3696" w:hanging="341"/>
      </w:pPr>
      <w:rPr>
        <w:rFonts w:hint="default"/>
      </w:rPr>
    </w:lvl>
    <w:lvl w:ilvl="4">
      <w:start w:val="0"/>
      <w:numFmt w:val="bullet"/>
      <w:lvlText w:val="•"/>
      <w:lvlJc w:val="left"/>
      <w:pPr>
        <w:ind w:left="4488" w:hanging="341"/>
      </w:pPr>
      <w:rPr>
        <w:rFonts w:hint="default"/>
      </w:rPr>
    </w:lvl>
    <w:lvl w:ilvl="5">
      <w:start w:val="0"/>
      <w:numFmt w:val="bullet"/>
      <w:lvlText w:val="•"/>
      <w:lvlJc w:val="left"/>
      <w:pPr>
        <w:ind w:left="5280" w:hanging="341"/>
      </w:pPr>
      <w:rPr>
        <w:rFonts w:hint="default"/>
      </w:rPr>
    </w:lvl>
    <w:lvl w:ilvl="6">
      <w:start w:val="0"/>
      <w:numFmt w:val="bullet"/>
      <w:lvlText w:val="•"/>
      <w:lvlJc w:val="left"/>
      <w:pPr>
        <w:ind w:left="6072" w:hanging="341"/>
      </w:pPr>
      <w:rPr>
        <w:rFonts w:hint="default"/>
      </w:rPr>
    </w:lvl>
    <w:lvl w:ilvl="7">
      <w:start w:val="0"/>
      <w:numFmt w:val="bullet"/>
      <w:lvlText w:val="•"/>
      <w:lvlJc w:val="left"/>
      <w:pPr>
        <w:ind w:left="6864" w:hanging="341"/>
      </w:pPr>
      <w:rPr>
        <w:rFonts w:hint="default"/>
      </w:rPr>
    </w:lvl>
    <w:lvl w:ilvl="8">
      <w:start w:val="0"/>
      <w:numFmt w:val="bullet"/>
      <w:lvlText w:val="•"/>
      <w:lvlJc w:val="left"/>
      <w:pPr>
        <w:ind w:left="7656" w:hanging="341"/>
      </w:pPr>
      <w:rPr>
        <w:rFonts w:hint="default"/>
      </w:rPr>
    </w:lvl>
  </w:abstractNum>
  <w:abstractNum w:abstractNumId="1">
    <w:multiLevelType w:val="hybridMultilevel"/>
    <w:lvl w:ilvl="0">
      <w:start w:val="0"/>
      <w:numFmt w:val="bullet"/>
      <w:lvlText w:val=""/>
      <w:lvlJc w:val="left"/>
      <w:pPr>
        <w:ind w:left="414" w:hanging="285"/>
      </w:pPr>
      <w:rPr>
        <w:rFonts w:hint="default" w:ascii="Symbol" w:hAnsi="Symbol" w:eastAsia="Symbol" w:cs="Symbol"/>
        <w:w w:val="99"/>
        <w:sz w:val="22"/>
        <w:szCs w:val="22"/>
      </w:rPr>
    </w:lvl>
    <w:lvl w:ilvl="1">
      <w:start w:val="0"/>
      <w:numFmt w:val="bullet"/>
      <w:lvlText w:val="•"/>
      <w:lvlJc w:val="left"/>
      <w:pPr>
        <w:ind w:left="1305" w:hanging="285"/>
      </w:pPr>
      <w:rPr>
        <w:rFonts w:hint="default"/>
      </w:rPr>
    </w:lvl>
    <w:lvl w:ilvl="2">
      <w:start w:val="0"/>
      <w:numFmt w:val="bullet"/>
      <w:lvlText w:val="•"/>
      <w:lvlJc w:val="left"/>
      <w:pPr>
        <w:ind w:left="2191" w:hanging="285"/>
      </w:pPr>
      <w:rPr>
        <w:rFonts w:hint="default"/>
      </w:rPr>
    </w:lvl>
    <w:lvl w:ilvl="3">
      <w:start w:val="0"/>
      <w:numFmt w:val="bullet"/>
      <w:lvlText w:val="•"/>
      <w:lvlJc w:val="left"/>
      <w:pPr>
        <w:ind w:left="3077" w:hanging="285"/>
      </w:pPr>
      <w:rPr>
        <w:rFonts w:hint="default"/>
      </w:rPr>
    </w:lvl>
    <w:lvl w:ilvl="4">
      <w:start w:val="0"/>
      <w:numFmt w:val="bullet"/>
      <w:lvlText w:val="•"/>
      <w:lvlJc w:val="left"/>
      <w:pPr>
        <w:ind w:left="3963" w:hanging="285"/>
      </w:pPr>
      <w:rPr>
        <w:rFonts w:hint="default"/>
      </w:rPr>
    </w:lvl>
    <w:lvl w:ilvl="5">
      <w:start w:val="0"/>
      <w:numFmt w:val="bullet"/>
      <w:lvlText w:val="•"/>
      <w:lvlJc w:val="left"/>
      <w:pPr>
        <w:ind w:left="4849" w:hanging="285"/>
      </w:pPr>
      <w:rPr>
        <w:rFonts w:hint="default"/>
      </w:rPr>
    </w:lvl>
    <w:lvl w:ilvl="6">
      <w:start w:val="0"/>
      <w:numFmt w:val="bullet"/>
      <w:lvlText w:val="•"/>
      <w:lvlJc w:val="left"/>
      <w:pPr>
        <w:ind w:left="5735" w:hanging="285"/>
      </w:pPr>
      <w:rPr>
        <w:rFonts w:hint="default"/>
      </w:rPr>
    </w:lvl>
    <w:lvl w:ilvl="7">
      <w:start w:val="0"/>
      <w:numFmt w:val="bullet"/>
      <w:lvlText w:val="•"/>
      <w:lvlJc w:val="left"/>
      <w:pPr>
        <w:ind w:left="6621" w:hanging="285"/>
      </w:pPr>
      <w:rPr>
        <w:rFonts w:hint="default"/>
      </w:rPr>
    </w:lvl>
    <w:lvl w:ilvl="8">
      <w:start w:val="0"/>
      <w:numFmt w:val="bullet"/>
      <w:lvlText w:val="•"/>
      <w:lvlJc w:val="left"/>
      <w:pPr>
        <w:ind w:left="7507" w:hanging="285"/>
      </w:pPr>
      <w:rPr>
        <w:rFonts w:hint="default"/>
      </w:rPr>
    </w:lvl>
  </w:abstractNum>
  <w:abstractNum w:abstractNumId="0">
    <w:multiLevelType w:val="hybridMultilevel"/>
    <w:lvl w:ilvl="0">
      <w:start w:val="1"/>
      <w:numFmt w:val="decimal"/>
      <w:lvlText w:val="%1."/>
      <w:lvlJc w:val="left"/>
      <w:pPr>
        <w:ind w:left="376" w:hanging="237"/>
        <w:jc w:val="left"/>
      </w:pPr>
      <w:rPr>
        <w:rFonts w:hint="default" w:ascii="Calibri" w:hAnsi="Calibri" w:eastAsia="Calibri" w:cs="Calibri"/>
        <w:spacing w:val="-1"/>
        <w:w w:val="100"/>
        <w:sz w:val="24"/>
        <w:szCs w:val="24"/>
      </w:rPr>
    </w:lvl>
    <w:lvl w:ilvl="1">
      <w:start w:val="1"/>
      <w:numFmt w:val="decimal"/>
      <w:lvlText w:val="%2."/>
      <w:lvlJc w:val="left"/>
      <w:pPr>
        <w:ind w:left="120" w:hanging="499"/>
        <w:jc w:val="right"/>
      </w:pPr>
      <w:rPr>
        <w:rFonts w:hint="default" w:ascii="Calibri" w:hAnsi="Calibri" w:eastAsia="Calibri" w:cs="Calibri"/>
        <w:color w:val="CC0044"/>
        <w:w w:val="100"/>
        <w:sz w:val="48"/>
        <w:szCs w:val="48"/>
      </w:rPr>
    </w:lvl>
    <w:lvl w:ilvl="2">
      <w:start w:val="1"/>
      <w:numFmt w:val="decimal"/>
      <w:lvlText w:val="%2.%3"/>
      <w:lvlJc w:val="left"/>
      <w:pPr>
        <w:ind w:left="1090" w:hanging="851"/>
        <w:jc w:val="right"/>
      </w:pPr>
      <w:rPr>
        <w:rFonts w:hint="default" w:ascii="Calibri" w:hAnsi="Calibri" w:eastAsia="Calibri" w:cs="Calibri"/>
        <w:spacing w:val="-1"/>
        <w:w w:val="99"/>
        <w:sz w:val="22"/>
        <w:szCs w:val="22"/>
      </w:rPr>
    </w:lvl>
    <w:lvl w:ilvl="3">
      <w:start w:val="1"/>
      <w:numFmt w:val="lowerLetter"/>
      <w:lvlText w:val="%4)"/>
      <w:lvlJc w:val="left"/>
      <w:pPr>
        <w:ind w:left="1311" w:hanging="341"/>
        <w:jc w:val="left"/>
      </w:pPr>
      <w:rPr>
        <w:rFonts w:hint="default" w:ascii="Calibri" w:hAnsi="Calibri" w:eastAsia="Calibri" w:cs="Calibri"/>
        <w:w w:val="99"/>
        <w:sz w:val="22"/>
        <w:szCs w:val="22"/>
      </w:rPr>
    </w:lvl>
    <w:lvl w:ilvl="4">
      <w:start w:val="1"/>
      <w:numFmt w:val="lowerRoman"/>
      <w:lvlText w:val="%5)"/>
      <w:lvlJc w:val="left"/>
      <w:pPr>
        <w:ind w:left="1651" w:hanging="340"/>
        <w:jc w:val="left"/>
      </w:pPr>
      <w:rPr>
        <w:rFonts w:hint="default" w:ascii="Calibri" w:hAnsi="Calibri" w:eastAsia="Calibri" w:cs="Calibri"/>
        <w:spacing w:val="-1"/>
        <w:w w:val="99"/>
        <w:sz w:val="22"/>
        <w:szCs w:val="22"/>
      </w:rPr>
    </w:lvl>
    <w:lvl w:ilvl="5">
      <w:start w:val="0"/>
      <w:numFmt w:val="bullet"/>
      <w:lvlText w:val="•"/>
      <w:lvlJc w:val="left"/>
      <w:pPr>
        <w:ind w:left="1320" w:hanging="340"/>
      </w:pPr>
      <w:rPr>
        <w:rFonts w:hint="default"/>
      </w:rPr>
    </w:lvl>
    <w:lvl w:ilvl="6">
      <w:start w:val="0"/>
      <w:numFmt w:val="bullet"/>
      <w:lvlText w:val="•"/>
      <w:lvlJc w:val="left"/>
      <w:pPr>
        <w:ind w:left="1660" w:hanging="340"/>
      </w:pPr>
      <w:rPr>
        <w:rFonts w:hint="default"/>
      </w:rPr>
    </w:lvl>
    <w:lvl w:ilvl="7">
      <w:start w:val="0"/>
      <w:numFmt w:val="bullet"/>
      <w:lvlText w:val="•"/>
      <w:lvlJc w:val="left"/>
      <w:pPr>
        <w:ind w:left="3550" w:hanging="340"/>
      </w:pPr>
      <w:rPr>
        <w:rFonts w:hint="default"/>
      </w:rPr>
    </w:lvl>
    <w:lvl w:ilvl="8">
      <w:start w:val="0"/>
      <w:numFmt w:val="bullet"/>
      <w:lvlText w:val="•"/>
      <w:lvlJc w:val="left"/>
      <w:pPr>
        <w:ind w:left="5440" w:hanging="340"/>
      </w:pPr>
      <w:rPr>
        <w:rFonts w:hint="default"/>
      </w:rPr>
    </w:lvl>
  </w:abstractNum>
  <w:num w:numId="7">
    <w:abstractNumId w:val="6"/>
  </w:num>
  <w:num w:numId="11">
    <w:abstractNumId w:val="10"/>
  </w:num>
  <w:num w:numId="14">
    <w:abstractNumId w:val="13"/>
  </w:num>
  <w:num w:numId="13">
    <w:abstractNumId w:val="12"/>
  </w:num>
  <w:num w:numId="12">
    <w:abstractNumId w:val="11"/>
  </w:num>
  <w:num w:numId="10">
    <w:abstractNumId w:val="9"/>
  </w:num>
  <w:num w:numId="9">
    <w:abstractNumId w:val="8"/>
  </w:num>
  <w:num w:numId="8">
    <w:abstractNumId w:val="7"/>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Calibri" w:hAnsi="Calibri" w:eastAsia="Calibri" w:cs="Calibri"/>
    </w:rPr>
  </w:style>
  <w:style w:styleId="TOC1" w:type="paragraph">
    <w:name w:val="TOC 1"/>
    <w:basedOn w:val="Normal"/>
    <w:uiPriority w:val="1"/>
    <w:qFormat/>
    <w:pPr>
      <w:spacing w:before="772"/>
      <w:ind w:left="140"/>
    </w:pPr>
    <w:rPr>
      <w:rFonts w:ascii="Calibri" w:hAnsi="Calibri" w:eastAsia="Calibri" w:cs="Calibri"/>
      <w:b/>
      <w:bCs/>
      <w:sz w:val="28"/>
      <w:szCs w:val="28"/>
    </w:rPr>
  </w:style>
  <w:style w:styleId="TOC2" w:type="paragraph">
    <w:name w:val="TOC 2"/>
    <w:basedOn w:val="Normal"/>
    <w:uiPriority w:val="1"/>
    <w:qFormat/>
    <w:pPr>
      <w:spacing w:before="119"/>
      <w:ind w:left="140"/>
    </w:pPr>
    <w:rPr>
      <w:rFonts w:ascii="Calibri" w:hAnsi="Calibri" w:eastAsia="Calibri" w:cs="Calibri"/>
      <w:sz w:val="24"/>
      <w:szCs w:val="24"/>
    </w:rPr>
  </w:style>
  <w:style w:styleId="BodyText" w:type="paragraph">
    <w:name w:val="Body Text"/>
    <w:basedOn w:val="Normal"/>
    <w:uiPriority w:val="1"/>
    <w:qFormat/>
    <w:pPr/>
    <w:rPr>
      <w:rFonts w:ascii="Calibri" w:hAnsi="Calibri" w:eastAsia="Calibri" w:cs="Calibri"/>
      <w:sz w:val="22"/>
      <w:szCs w:val="22"/>
    </w:rPr>
  </w:style>
  <w:style w:styleId="Heading1" w:type="paragraph">
    <w:name w:val="Heading 1"/>
    <w:basedOn w:val="Normal"/>
    <w:uiPriority w:val="1"/>
    <w:qFormat/>
    <w:pPr>
      <w:spacing w:before="3"/>
      <w:ind w:left="120"/>
      <w:outlineLvl w:val="1"/>
    </w:pPr>
    <w:rPr>
      <w:rFonts w:ascii="Calibri" w:hAnsi="Calibri" w:eastAsia="Calibri" w:cs="Calibri"/>
      <w:sz w:val="48"/>
      <w:szCs w:val="48"/>
    </w:rPr>
  </w:style>
  <w:style w:styleId="Heading2" w:type="paragraph">
    <w:name w:val="Heading 2"/>
    <w:basedOn w:val="Normal"/>
    <w:uiPriority w:val="1"/>
    <w:qFormat/>
    <w:pPr>
      <w:ind w:left="120"/>
      <w:outlineLvl w:val="2"/>
    </w:pPr>
    <w:rPr>
      <w:rFonts w:ascii="Calibri" w:hAnsi="Calibri" w:eastAsia="Calibri" w:cs="Calibri"/>
      <w:b/>
      <w:bCs/>
      <w:sz w:val="32"/>
      <w:szCs w:val="32"/>
    </w:rPr>
  </w:style>
  <w:style w:styleId="Heading3" w:type="paragraph">
    <w:name w:val="Heading 3"/>
    <w:basedOn w:val="Normal"/>
    <w:uiPriority w:val="1"/>
    <w:qFormat/>
    <w:pPr>
      <w:ind w:left="120"/>
      <w:outlineLvl w:val="3"/>
    </w:pPr>
    <w:rPr>
      <w:rFonts w:ascii="Calibri" w:hAnsi="Calibri" w:eastAsia="Calibri" w:cs="Calibri"/>
      <w:b/>
      <w:bCs/>
      <w:sz w:val="28"/>
      <w:szCs w:val="28"/>
    </w:rPr>
  </w:style>
  <w:style w:styleId="Heading4" w:type="paragraph">
    <w:name w:val="Heading 4"/>
    <w:basedOn w:val="Normal"/>
    <w:uiPriority w:val="1"/>
    <w:qFormat/>
    <w:pPr>
      <w:ind w:left="820"/>
      <w:outlineLvl w:val="4"/>
    </w:pPr>
    <w:rPr>
      <w:rFonts w:ascii="Arial" w:hAnsi="Arial" w:eastAsia="Arial" w:cs="Arial"/>
      <w:b/>
      <w:bCs/>
      <w:sz w:val="24"/>
      <w:szCs w:val="24"/>
    </w:rPr>
  </w:style>
  <w:style w:styleId="Heading5" w:type="paragraph">
    <w:name w:val="Heading 5"/>
    <w:basedOn w:val="Normal"/>
    <w:uiPriority w:val="1"/>
    <w:qFormat/>
    <w:pPr>
      <w:ind w:left="120"/>
      <w:outlineLvl w:val="5"/>
    </w:pPr>
    <w:rPr>
      <w:rFonts w:ascii="Calibri" w:hAnsi="Calibri" w:eastAsia="Calibri" w:cs="Calibri"/>
      <w:b/>
      <w:bCs/>
      <w:sz w:val="22"/>
      <w:szCs w:val="22"/>
    </w:rPr>
  </w:style>
  <w:style w:styleId="ListParagraph" w:type="paragraph">
    <w:name w:val="List Paragraph"/>
    <w:basedOn w:val="Normal"/>
    <w:uiPriority w:val="1"/>
    <w:qFormat/>
    <w:pPr>
      <w:spacing w:before="119"/>
      <w:ind w:left="970" w:hanging="360"/>
    </w:pPr>
    <w:rPr>
      <w:rFonts w:ascii="Calibri" w:hAnsi="Calibri" w:eastAsia="Calibri" w:cs="Calibri"/>
    </w:rPr>
  </w:style>
  <w:style w:styleId="TableParagraph" w:type="paragraph">
    <w:name w:val="Table Paragraph"/>
    <w:basedOn w:val="Normal"/>
    <w:uiPriority w:val="1"/>
    <w:qFormat/>
    <w:pPr>
      <w:spacing w:before="1"/>
      <w:ind w:left="103"/>
    </w:pPr>
    <w:rPr>
      <w:rFonts w:ascii="Calibri" w:hAnsi="Calibri" w:eastAsia="Calibri" w:cs="Calibri"/>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hyperlink" Target="https://www.ofcom.org.uk/manage-your-licence/radiocommunication-licences/shared-access" TargetMode="External"/><Relationship Id="rId10" Type="http://schemas.openxmlformats.org/officeDocument/2006/relationships/hyperlink" Target="https://www.ofcom.org.uk/__data/assets/pdf_file/0017/222173/spectrum-strategy-statement.pdf" TargetMode="External"/><Relationship Id="rId11" Type="http://schemas.openxmlformats.org/officeDocument/2006/relationships/image" Target="media/image3.jpeg"/><Relationship Id="rId12" Type="http://schemas.openxmlformats.org/officeDocument/2006/relationships/hyperlink" Target="https://www.ofcom.org.uk/__data/assets/pdf_file/0010/103303/space-science-meteorology.pdf" TargetMode="External"/><Relationship Id="rId13" Type="http://schemas.openxmlformats.org/officeDocument/2006/relationships/footer" Target="footer2.xml"/><Relationship Id="rId14" Type="http://schemas.openxmlformats.org/officeDocument/2006/relationships/hyperlink" Target="https://www.ofcom.org.uk/consultations-and-statements/category-2/improving-spectrum-access-for-wi-fi" TargetMode="External"/><Relationship Id="rId15" Type="http://schemas.openxmlformats.org/officeDocument/2006/relationships/hyperlink" Target="https://www.wi-fi.org/countries-enabling-wi-fi-6e" TargetMode="External"/><Relationship Id="rId16" Type="http://schemas.openxmlformats.org/officeDocument/2006/relationships/hyperlink" Target="https://eur-lex.europa.eu/legal-content/EN/ALL/?uri=celex%3A32006D0771%2801%29" TargetMode="External"/><Relationship Id="rId17" Type="http://schemas.openxmlformats.org/officeDocument/2006/relationships/hyperlink" Target="https://eur-lex.europa.eu/legal-content/en/ALL/?uri=CELEX%3A32008D0432" TargetMode="External"/><Relationship Id="rId18" Type="http://schemas.openxmlformats.org/officeDocument/2006/relationships/hyperlink" Target="https://eur-lex.europa.eu/legal-content/EN/ALL/?uri=CELEX%3A32009D0381" TargetMode="External"/><Relationship Id="rId19" Type="http://schemas.openxmlformats.org/officeDocument/2006/relationships/hyperlink" Target="https://eur-lex.europa.eu/legal-content/EN/ALL/?uri=CELEX%3A32010D0368" TargetMode="External"/><Relationship Id="rId20" Type="http://schemas.openxmlformats.org/officeDocument/2006/relationships/hyperlink" Target="https://eur-lex.europa.eu/legal-content/EN/TXT/?uri=CELEX%3A32011D0829" TargetMode="External"/><Relationship Id="rId21" Type="http://schemas.openxmlformats.org/officeDocument/2006/relationships/hyperlink" Target="https://eur-lex.europa.eu/legal-content/EN/TXT/?uri=CELEX%3A32013D0752" TargetMode="External"/><Relationship Id="rId22" Type="http://schemas.openxmlformats.org/officeDocument/2006/relationships/hyperlink" Target="https://www.ofcom.org.uk/__data/assets/pdf_file/0028/84970/ir-2030.pdf" TargetMode="External"/><Relationship Id="rId23" Type="http://schemas.openxmlformats.org/officeDocument/2006/relationships/image" Target="media/image4.png"/><Relationship Id="rId24" Type="http://schemas.openxmlformats.org/officeDocument/2006/relationships/footer" Target="footer3.xml"/><Relationship Id="rId25" Type="http://schemas.openxmlformats.org/officeDocument/2006/relationships/footer" Target="footer4.xml"/><Relationship Id="rId26" Type="http://schemas.openxmlformats.org/officeDocument/2006/relationships/hyperlink" Target="https://docdb.cept.org/document/10170" TargetMode="External"/><Relationship Id="rId27" Type="http://schemas.openxmlformats.org/officeDocument/2006/relationships/hyperlink" Target="https://www.ofcom.org.uk/consultations-and-statements/category-1/enabling-opportunities-for-innovation" TargetMode="External"/><Relationship Id="rId28" Type="http://schemas.openxmlformats.org/officeDocument/2006/relationships/hyperlink" Target="https://www.ofcom.org.uk/__data/assets/pdf_file/0022/130747/Enabling-opportunities-for-innovation.pdf" TargetMode="External"/><Relationship Id="rId29" Type="http://schemas.openxmlformats.org/officeDocument/2006/relationships/hyperlink" Target="https://www.ofcom.org.uk/__data/assets/pdf_file/0029/228836/protecting-passive-services-at-23.6-24-ghz-from-future-26-ghz-uses.pdf" TargetMode="External"/><Relationship Id="rId30" Type="http://schemas.openxmlformats.org/officeDocument/2006/relationships/footer" Target="footer5.xml"/><Relationship Id="rId31" Type="http://schemas.openxmlformats.org/officeDocument/2006/relationships/hyperlink" Target="https://www.ofcom.org.uk/__data/assets/pdf_file/0035/157886/shared-access-licence-guidance.pdf" TargetMode="External"/><Relationship Id="rId32" Type="http://schemas.openxmlformats.org/officeDocument/2006/relationships/footer" Target="footer6.xml"/><Relationship Id="rId33" Type="http://schemas.openxmlformats.org/officeDocument/2006/relationships/footer" Target="footer7.xml"/><Relationship Id="rId34" Type="http://schemas.openxmlformats.org/officeDocument/2006/relationships/hyperlink" Target="https://www.ofcom.org.uk/consultations-and-statements/category-2/spectrum-sharing-upper-6-ghz-band" TargetMode="External"/><Relationship Id="rId35" Type="http://schemas.openxmlformats.org/officeDocument/2006/relationships/hyperlink" Target="mailto:SharedAccess6GHz@ofcom.org.uk" TargetMode="External"/><Relationship Id="rId36" Type="http://schemas.openxmlformats.org/officeDocument/2006/relationships/hyperlink" Target="https://www.ofcom.org.uk/consultations-and-statements/consultation-response-coversheet" TargetMode="External"/><Relationship Id="rId37" Type="http://schemas.openxmlformats.org/officeDocument/2006/relationships/hyperlink" Target="http://www.ofcom.org.uk/" TargetMode="External"/><Relationship Id="rId38" Type="http://schemas.openxmlformats.org/officeDocument/2006/relationships/hyperlink" Target="https://www.ofcom.org.uk/about-ofcom/website/terms-of-use" TargetMode="External"/><Relationship Id="rId39" Type="http://schemas.openxmlformats.org/officeDocument/2006/relationships/hyperlink" Target="https://www.ofcom.org.uk/about-ofcom/latest/email-updates" TargetMode="External"/><Relationship Id="rId40" Type="http://schemas.openxmlformats.org/officeDocument/2006/relationships/hyperlink" Target="mailto:consult@ofcom.org.uk" TargetMode="External"/><Relationship Id="rId41" Type="http://schemas.openxmlformats.org/officeDocument/2006/relationships/hyperlink" Target="mailto:corporationsecretary@ofcom.org.uk" TargetMode="External"/><Relationship Id="rId42" Type="http://schemas.openxmlformats.org/officeDocument/2006/relationships/footer" Target="footer8.xml"/><Relationship Id="rId43" Type="http://schemas.openxmlformats.org/officeDocument/2006/relationships/hyperlink" Target="https://www.ofcom.org.uk/__data/assets/pdf_file/0038/189848/consultation-spectrum-access-wifi.pdf" TargetMode="External"/><Relationship Id="rId44" Type="http://schemas.openxmlformats.org/officeDocument/2006/relationships/hyperlink" Target="https://docdb.cept.org/download/cc03c766-35f8/ECC%20Report%20302.pdf" TargetMode="External"/><Relationship Id="rId45" Type="http://schemas.openxmlformats.org/officeDocument/2006/relationships/hyperlink" Target="https://www.ofcom.org.uk/__data/assets/pdf_file/0017/92204/ofw446.pdf" TargetMode="External"/><Relationship Id="rId46" Type="http://schemas.openxmlformats.org/officeDocument/2006/relationships/footer" Target="footer9.xml"/><Relationship Id="rId47" Type="http://schemas.openxmlformats.org/officeDocument/2006/relationships/image" Target="media/image5.jpeg"/><Relationship Id="rId48" Type="http://schemas.openxmlformats.org/officeDocument/2006/relationships/footer" Target="footer10.xml"/><Relationship Id="rId49" Type="http://schemas.openxmlformats.org/officeDocument/2006/relationships/image" Target="media/image6.jpeg"/><Relationship Id="rId50" Type="http://schemas.openxmlformats.org/officeDocument/2006/relationships/image" Target="media/image7.jpeg"/><Relationship Id="rId51" Type="http://schemas.openxmlformats.org/officeDocument/2006/relationships/image" Target="media/image8.jpeg"/><Relationship Id="rId52" Type="http://schemas.openxmlformats.org/officeDocument/2006/relationships/hyperlink" Target="https://www.ofcom.org.uk/__data/assets/pdf_file/0036/198927/6ghz-statement.pdf" TargetMode="External"/><Relationship Id="rId53" Type="http://schemas.openxmlformats.org/officeDocument/2006/relationships/footer" Target="footer11.xml"/><Relationship Id="rId54" Type="http://schemas.openxmlformats.org/officeDocument/2006/relationships/footer" Target="footer12.xml"/><Relationship Id="rId55" Type="http://schemas.openxmlformats.org/officeDocument/2006/relationships/hyperlink" Target="https://www.itu.int/pub/R-HDB-56-2011" TargetMode="External"/><Relationship Id="rId56" Type="http://schemas.openxmlformats.org/officeDocument/2006/relationships/footer" Target="footer13.xml"/><Relationship Id="rId57" Type="http://schemas.openxmlformats.org/officeDocument/2006/relationships/hyperlink" Target="https://docdb.cept.org/document/247" TargetMode="External"/><Relationship Id="rId58" Type="http://schemas.openxmlformats.org/officeDocument/2006/relationships/hyperlink" Target="https://www.legislation.gov.uk/uksi/2015/591/made" TargetMode="External"/><Relationship Id="rId59" Type="http://schemas.openxmlformats.org/officeDocument/2006/relationships/footer" Target="footer14.xml"/><Relationship Id="rId60" Type="http://schemas.openxmlformats.org/officeDocument/2006/relationships/footer" Target="footer15.xml"/><Relationship Id="rId61" Type="http://schemas.openxmlformats.org/officeDocument/2006/relationships/footer" Target="footer16.xml"/><Relationship Id="rId6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Consultation: Enabling spectrum sharing in the upper 6 GHz band</dc:title>
  <dcterms:created xsi:type="dcterms:W3CDTF">2022-02-28T08:25:09Z</dcterms:created>
  <dcterms:modified xsi:type="dcterms:W3CDTF">2022-02-28T08:25:09Z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2022-02-25T00:00:00Z</vt:filetime>
  </property>
  <property fmtid="{D5CDD505-2E9C-101B-9397-08002B2CF9AE}" pid="3" name="Creator">
    <vt:lpwstr>Acrobat PDFMaker 21 for Word</vt:lpwstr>
  </property>
  <property fmtid="{D5CDD505-2E9C-101B-9397-08002B2CF9AE}" pid="4" name="LastSaved">
    <vt:filetime>2022-02-28T00:00:00Z</vt:filetime>
  </property>
</Properties>
</file>