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58D1" w14:textId="1F8530B9" w:rsidR="00F41911" w:rsidRDefault="00F41911">
      <w:pPr>
        <w:pStyle w:val="BodyText"/>
        <w:rPr>
          <w:sz w:val="20"/>
        </w:rPr>
      </w:pPr>
    </w:p>
    <w:p w14:paraId="5DB36767" w14:textId="3F160F37" w:rsidR="009D38B3" w:rsidRDefault="009D38B3" w:rsidP="009D38B3">
      <w:pPr>
        <w:pStyle w:val="BodyText"/>
        <w:shd w:val="clear" w:color="auto" w:fill="FABF8F" w:themeFill="accent6" w:themeFillTint="99"/>
        <w:jc w:val="center"/>
        <w:rPr>
          <w:szCs w:val="24"/>
        </w:rPr>
      </w:pPr>
      <w:r>
        <w:rPr>
          <w:szCs w:val="24"/>
        </w:rPr>
        <w:t>This version is the OET/FCC commissioner July Open Meeting version, not what was finally published in the USA Federal Register (the official version) (see18-21-0079r0</w:t>
      </w:r>
      <w:r w:rsidR="00EF5081">
        <w:rPr>
          <w:szCs w:val="24"/>
        </w:rPr>
        <w:t>1</w:t>
      </w:r>
      <w:r>
        <w:rPr>
          <w:szCs w:val="24"/>
        </w:rPr>
        <w:t xml:space="preserve">) </w:t>
      </w:r>
    </w:p>
    <w:p w14:paraId="755C093B" w14:textId="17CCA8B9" w:rsidR="009D38B3" w:rsidRPr="00671BC5" w:rsidRDefault="009D38B3" w:rsidP="009D38B3">
      <w:pPr>
        <w:pStyle w:val="BodyText"/>
        <w:shd w:val="clear" w:color="auto" w:fill="FABF8F" w:themeFill="accent6" w:themeFillTint="99"/>
        <w:jc w:val="center"/>
        <w:rPr>
          <w:szCs w:val="24"/>
        </w:rPr>
      </w:pPr>
      <w:r>
        <w:rPr>
          <w:szCs w:val="24"/>
        </w:rPr>
        <w:t>If there is any erratum published, it will be added to this document.</w:t>
      </w:r>
    </w:p>
    <w:p w14:paraId="4B6213BB" w14:textId="77777777" w:rsidR="00F41911" w:rsidRDefault="00F41911">
      <w:pPr>
        <w:pStyle w:val="BodyText"/>
        <w:spacing w:before="11"/>
        <w:rPr>
          <w:sz w:val="18"/>
        </w:rPr>
      </w:pPr>
    </w:p>
    <w:p w14:paraId="0C9BC38E" w14:textId="77777777" w:rsidR="00F41911" w:rsidRDefault="00FE087E">
      <w:pPr>
        <w:ind w:left="2730" w:right="2747"/>
        <w:jc w:val="center"/>
        <w:rPr>
          <w:b/>
        </w:rPr>
      </w:pPr>
      <w:r>
        <w:rPr>
          <w:b/>
        </w:rPr>
        <w:t>Before the</w:t>
      </w:r>
    </w:p>
    <w:p w14:paraId="4EA9D129" w14:textId="77777777" w:rsidR="00F41911" w:rsidRDefault="00FE087E">
      <w:pPr>
        <w:ind w:left="2730" w:right="2748"/>
        <w:jc w:val="center"/>
        <w:rPr>
          <w:b/>
        </w:rPr>
      </w:pPr>
      <w:r>
        <w:rPr>
          <w:b/>
        </w:rPr>
        <w:t>Federal Communications Commission Washington, D.C. 20554</w:t>
      </w:r>
    </w:p>
    <w:p w14:paraId="63CA0309" w14:textId="77777777" w:rsidR="00F41911" w:rsidRDefault="00F41911">
      <w:pPr>
        <w:pStyle w:val="BodyText"/>
        <w:rPr>
          <w:b/>
          <w:sz w:val="20"/>
        </w:rPr>
      </w:pPr>
    </w:p>
    <w:p w14:paraId="57E354BF" w14:textId="77777777" w:rsidR="00F41911" w:rsidRDefault="00F41911">
      <w:pPr>
        <w:pStyle w:val="BodyText"/>
        <w:spacing w:before="1"/>
        <w:rPr>
          <w:b/>
          <w:sz w:val="16"/>
        </w:rPr>
      </w:pPr>
    </w:p>
    <w:p w14:paraId="4737137B" w14:textId="77777777" w:rsidR="00F41911" w:rsidRDefault="00F41911">
      <w:pPr>
        <w:rPr>
          <w:sz w:val="16"/>
        </w:rPr>
        <w:sectPr w:rsidR="00F41911">
          <w:headerReference w:type="default" r:id="rId7"/>
          <w:type w:val="continuous"/>
          <w:pgSz w:w="12240" w:h="15840"/>
          <w:pgMar w:top="980" w:right="1300" w:bottom="280" w:left="1320" w:header="729" w:footer="720" w:gutter="0"/>
          <w:cols w:space="720"/>
        </w:sectPr>
      </w:pPr>
    </w:p>
    <w:p w14:paraId="26F32556" w14:textId="77777777" w:rsidR="00F41911" w:rsidRDefault="00FE087E">
      <w:pPr>
        <w:pStyle w:val="BodyText"/>
        <w:spacing w:before="91"/>
        <w:ind w:left="228"/>
      </w:pPr>
      <w:r>
        <w:t>In the Matter of</w:t>
      </w:r>
    </w:p>
    <w:p w14:paraId="58EC0AF0" w14:textId="77777777" w:rsidR="00F41911" w:rsidRDefault="00F41911">
      <w:pPr>
        <w:pStyle w:val="BodyText"/>
        <w:spacing w:before="11"/>
        <w:rPr>
          <w:sz w:val="21"/>
        </w:rPr>
      </w:pPr>
    </w:p>
    <w:p w14:paraId="726C89F4" w14:textId="77777777" w:rsidR="00F41911" w:rsidRDefault="00FE087E">
      <w:pPr>
        <w:pStyle w:val="BodyText"/>
        <w:ind w:left="228" w:right="-14"/>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 Commission’s</w:t>
      </w:r>
      <w:r>
        <w:rPr>
          <w:spacing w:val="-36"/>
        </w:rPr>
        <w:t xml:space="preserve"> </w:t>
      </w:r>
      <w:r>
        <w:t>Rules</w:t>
      </w:r>
    </w:p>
    <w:p w14:paraId="48F53DA4" w14:textId="77777777" w:rsidR="00F41911" w:rsidRDefault="00FE087E">
      <w:pPr>
        <w:spacing w:before="91"/>
        <w:ind w:left="228"/>
        <w:rPr>
          <w:b/>
        </w:rPr>
      </w:pPr>
      <w:r>
        <w:br w:type="column"/>
      </w:r>
      <w:r>
        <w:rPr>
          <w:b/>
        </w:rPr>
        <w:t>)</w:t>
      </w:r>
    </w:p>
    <w:p w14:paraId="034A9AEB" w14:textId="77777777" w:rsidR="00F41911" w:rsidRDefault="00FE087E">
      <w:pPr>
        <w:pStyle w:val="Heading1"/>
        <w:ind w:left="228"/>
      </w:pPr>
      <w:r>
        <w:t>)</w:t>
      </w:r>
    </w:p>
    <w:p w14:paraId="6025D0C8" w14:textId="77777777" w:rsidR="00F41911" w:rsidRDefault="00FE087E">
      <w:pPr>
        <w:pStyle w:val="BodyText"/>
        <w:tabs>
          <w:tab w:val="left" w:pos="857"/>
        </w:tabs>
        <w:ind w:left="228"/>
      </w:pPr>
      <w:r>
        <w:rPr>
          <w:b/>
        </w:rPr>
        <w:t>)</w:t>
      </w:r>
      <w:r>
        <w:rPr>
          <w:b/>
        </w:rPr>
        <w:tab/>
      </w:r>
      <w:r>
        <w:t>ET Docket No.</w:t>
      </w:r>
      <w:r>
        <w:rPr>
          <w:spacing w:val="-41"/>
        </w:rPr>
        <w:t xml:space="preserve"> </w:t>
      </w:r>
      <w:r>
        <w:t>21-264</w:t>
      </w:r>
    </w:p>
    <w:p w14:paraId="25C77754" w14:textId="77777777" w:rsidR="00F41911" w:rsidRDefault="00FE087E">
      <w:pPr>
        <w:pStyle w:val="Heading1"/>
        <w:ind w:left="228"/>
      </w:pPr>
      <w:r>
        <w:t>)</w:t>
      </w:r>
    </w:p>
    <w:p w14:paraId="7039A6DB" w14:textId="77777777" w:rsidR="00F41911" w:rsidRDefault="00F41911">
      <w:pPr>
        <w:sectPr w:rsidR="00F41911">
          <w:type w:val="continuous"/>
          <w:pgSz w:w="12240" w:h="15840"/>
          <w:pgMar w:top="980" w:right="1300" w:bottom="280" w:left="1320" w:header="720" w:footer="720" w:gutter="0"/>
          <w:cols w:num="2" w:space="720" w:equalWidth="0">
            <w:col w:w="3425" w:space="1273"/>
            <w:col w:w="4922"/>
          </w:cols>
        </w:sectPr>
      </w:pPr>
    </w:p>
    <w:p w14:paraId="6EC31B7D" w14:textId="77777777" w:rsidR="00F41911" w:rsidRDefault="00F41911">
      <w:pPr>
        <w:pStyle w:val="BodyText"/>
        <w:rPr>
          <w:b/>
          <w:sz w:val="20"/>
        </w:rPr>
      </w:pPr>
    </w:p>
    <w:p w14:paraId="4E027508" w14:textId="77777777" w:rsidR="00F41911" w:rsidRDefault="00F41911">
      <w:pPr>
        <w:pStyle w:val="BodyText"/>
        <w:rPr>
          <w:b/>
          <w:sz w:val="16"/>
        </w:rPr>
      </w:pPr>
    </w:p>
    <w:p w14:paraId="4F50A007" w14:textId="77777777" w:rsidR="00F41911" w:rsidRDefault="00FE087E">
      <w:pPr>
        <w:spacing w:before="91"/>
        <w:ind w:left="2730" w:right="2748"/>
        <w:jc w:val="center"/>
        <w:rPr>
          <w:b/>
        </w:rPr>
      </w:pPr>
      <w:r>
        <w:rPr>
          <w:b/>
        </w:rPr>
        <w:t>NOTICE OF PROPOSED RULEMAKING</w:t>
      </w:r>
    </w:p>
    <w:p w14:paraId="63180A80" w14:textId="77777777" w:rsidR="00F41911" w:rsidRDefault="00F41911">
      <w:pPr>
        <w:pStyle w:val="BodyText"/>
        <w:spacing w:before="9"/>
        <w:rPr>
          <w:b/>
          <w:sz w:val="19"/>
        </w:rPr>
      </w:pPr>
    </w:p>
    <w:p w14:paraId="2C57C829" w14:textId="77777777" w:rsidR="00F41911" w:rsidRDefault="00FE087E">
      <w:pPr>
        <w:tabs>
          <w:tab w:val="left" w:pos="7285"/>
        </w:tabs>
        <w:ind w:left="120"/>
        <w:rPr>
          <w:b/>
        </w:rPr>
      </w:pPr>
      <w:r>
        <w:rPr>
          <w:b/>
        </w:rPr>
        <w:t>Adopted:  July</w:t>
      </w:r>
      <w:r>
        <w:rPr>
          <w:b/>
          <w:spacing w:val="-26"/>
        </w:rPr>
        <w:t xml:space="preserve"> </w:t>
      </w:r>
      <w:r>
        <w:rPr>
          <w:b/>
        </w:rPr>
        <w:t>13,</w:t>
      </w:r>
      <w:r>
        <w:rPr>
          <w:b/>
          <w:spacing w:val="-10"/>
        </w:rPr>
        <w:t xml:space="preserve"> </w:t>
      </w:r>
      <w:r>
        <w:rPr>
          <w:b/>
        </w:rPr>
        <w:t>2021</w:t>
      </w:r>
      <w:r>
        <w:rPr>
          <w:b/>
        </w:rPr>
        <w:tab/>
        <w:t>Released: July 14,</w:t>
      </w:r>
      <w:r>
        <w:rPr>
          <w:b/>
          <w:spacing w:val="7"/>
        </w:rPr>
        <w:t xml:space="preserve"> </w:t>
      </w:r>
      <w:r>
        <w:rPr>
          <w:b/>
        </w:rPr>
        <w:t>2021</w:t>
      </w:r>
    </w:p>
    <w:p w14:paraId="3EA6A9CE" w14:textId="77777777" w:rsidR="00F41911" w:rsidRDefault="00F41911">
      <w:pPr>
        <w:pStyle w:val="BodyText"/>
        <w:spacing w:before="6"/>
        <w:rPr>
          <w:b/>
          <w:sz w:val="20"/>
        </w:rPr>
      </w:pPr>
    </w:p>
    <w:p w14:paraId="1ACD26AB" w14:textId="77777777" w:rsidR="00F41911" w:rsidRDefault="00FE087E">
      <w:pPr>
        <w:ind w:left="120"/>
        <w:rPr>
          <w:b/>
        </w:rPr>
      </w:pPr>
      <w:r>
        <w:rPr>
          <w:b/>
        </w:rPr>
        <w:t>Comment Date:  30 days after Federal Register publication</w:t>
      </w:r>
    </w:p>
    <w:p w14:paraId="4B513800" w14:textId="77777777" w:rsidR="00F41911" w:rsidRDefault="00FE087E">
      <w:pPr>
        <w:ind w:left="120"/>
        <w:rPr>
          <w:b/>
        </w:rPr>
      </w:pPr>
      <w:r>
        <w:rPr>
          <w:b/>
        </w:rPr>
        <w:t>Reply Comment Date:  60 days after Federal Register publication</w:t>
      </w:r>
    </w:p>
    <w:p w14:paraId="05DE3597" w14:textId="77777777" w:rsidR="00F41911" w:rsidRDefault="00F41911">
      <w:pPr>
        <w:pStyle w:val="BodyText"/>
        <w:rPr>
          <w:b/>
        </w:rPr>
      </w:pPr>
    </w:p>
    <w:p w14:paraId="38BA9050" w14:textId="77777777" w:rsidR="00F41911" w:rsidRDefault="00FE087E">
      <w:pPr>
        <w:pStyle w:val="BodyText"/>
        <w:ind w:left="120" w:right="42"/>
      </w:pPr>
      <w:r>
        <w:t>By the Commission: Acting Chairwoman Rosenworcel and Commissioners Carr and Starks issuing separate statements.</w:t>
      </w:r>
    </w:p>
    <w:p w14:paraId="683F1837" w14:textId="77777777" w:rsidR="00F41911" w:rsidRDefault="00F41911">
      <w:pPr>
        <w:pStyle w:val="BodyText"/>
        <w:spacing w:before="10"/>
        <w:rPr>
          <w:sz w:val="21"/>
        </w:rPr>
      </w:pPr>
    </w:p>
    <w:p w14:paraId="5790D6F0" w14:textId="77777777" w:rsidR="00F41911" w:rsidRDefault="00FE087E">
      <w:pPr>
        <w:pStyle w:val="Heading1"/>
        <w:numPr>
          <w:ilvl w:val="0"/>
          <w:numId w:val="10"/>
        </w:numPr>
        <w:tabs>
          <w:tab w:val="left" w:pos="839"/>
          <w:tab w:val="left" w:pos="841"/>
        </w:tabs>
        <w:spacing w:before="1"/>
        <w:ind w:hanging="720"/>
      </w:pPr>
      <w:r>
        <w:t>INTRODUCTION</w:t>
      </w:r>
    </w:p>
    <w:p w14:paraId="6A9290AC" w14:textId="77777777" w:rsidR="00F41911" w:rsidRDefault="00FE087E">
      <w:pPr>
        <w:pStyle w:val="ListParagraph"/>
        <w:numPr>
          <w:ilvl w:val="1"/>
          <w:numId w:val="10"/>
        </w:numPr>
        <w:tabs>
          <w:tab w:val="left" w:pos="1559"/>
          <w:tab w:val="left" w:pos="1561"/>
        </w:tabs>
        <w:ind w:right="291" w:firstLine="720"/>
      </w:pPr>
      <w:r>
        <w:t>In this Notice of Proposed Rulemaking (NPRM), we propose to revise our rules to provide expanded operational flexibility to unlicensed field disturbance sensor (FDS) devices (e.g., radars) that operate in the 57-64 GHz band (60 GHz band) under section 15.255 of our rules.</w:t>
      </w:r>
      <w:r>
        <w:rPr>
          <w:position w:val="6"/>
          <w:sz w:val="13"/>
        </w:rPr>
        <w:t xml:space="preserve">1 </w:t>
      </w:r>
      <w:r>
        <w:t>Our proposal recognizes the increasing practicality of using mobile radar devices in the 60 GHz band to perform innovative and life-saving functions, including gesture control, detection of unattended children in vehicles, and monitoring of vulnerable medical patients, and it is designed to stimulate the development of new products and services in a wide variety of areas to include, for example, personal safety, autonomous vehicles, home automation, environmental control, and healthcare monitoring, while also ensuring coexistence among unlicensed FDS devices and current and future unlicensed communications devices in the 60 GHz</w:t>
      </w:r>
      <w:r>
        <w:rPr>
          <w:spacing w:val="-8"/>
        </w:rPr>
        <w:t xml:space="preserve"> </w:t>
      </w:r>
      <w:r>
        <w:t>band.</w:t>
      </w:r>
    </w:p>
    <w:p w14:paraId="13C50E5F" w14:textId="77777777" w:rsidR="00F41911" w:rsidRDefault="00FE087E">
      <w:pPr>
        <w:pStyle w:val="ListParagraph"/>
        <w:numPr>
          <w:ilvl w:val="1"/>
          <w:numId w:val="10"/>
        </w:numPr>
        <w:tabs>
          <w:tab w:val="left" w:pos="1559"/>
          <w:tab w:val="left" w:pos="1561"/>
        </w:tabs>
        <w:ind w:right="139" w:firstLine="720"/>
      </w:pPr>
      <w:r>
        <w:t>We propose to update and streamline the rules for 60 GHz radar operations while promoting compatibility with the unlicensed communications operations that have long been permitted in the band, as well as to continue to ensure that all unlicensed operations in the band – whether operating as communications devices or FDS radars – do not cause harmful interference to licensed and authorized Federal and non-Federal users. Specifically, we propose to permit up to 20 dBm average EIRP, 10 dBm peak transmitter conducted output power, 13 dBm/MHz average EIRP power spectral density and 10% duty cycle in every 33 milliseconds (ms) interval for all FDS devices operating in the 57-64 GHz band; investigate the potential for mobile FDS devices to operate in the 61.0-61.5 GHz band at the same 40 dBm EIRP at which fixed FDS devices currently are permitted to operate; and ask whether we could permit radar devices that incorporate listen-before-talk, spectrum sensing, or other methods of coexistence to operate across the entire 57-71 GHz band at the same power level (i.e., 40 dBm EIRP) as currently is permitted for 60 GHz communication</w:t>
      </w:r>
      <w:r>
        <w:rPr>
          <w:spacing w:val="-7"/>
        </w:rPr>
        <w:t xml:space="preserve"> </w:t>
      </w:r>
      <w:r>
        <w:t>devices.</w:t>
      </w:r>
    </w:p>
    <w:p w14:paraId="09C51DF8" w14:textId="77777777" w:rsidR="00F41911" w:rsidRDefault="00FE087E">
      <w:pPr>
        <w:pStyle w:val="Heading1"/>
        <w:numPr>
          <w:ilvl w:val="0"/>
          <w:numId w:val="10"/>
        </w:numPr>
        <w:tabs>
          <w:tab w:val="left" w:pos="839"/>
          <w:tab w:val="left" w:pos="841"/>
        </w:tabs>
        <w:spacing w:before="120"/>
        <w:ind w:hanging="720"/>
      </w:pPr>
      <w:r>
        <w:t>BACKGROUND</w:t>
      </w:r>
    </w:p>
    <w:p w14:paraId="6A1B6332" w14:textId="77777777" w:rsidR="00F41911" w:rsidRDefault="00FE087E">
      <w:pPr>
        <w:pStyle w:val="ListParagraph"/>
        <w:numPr>
          <w:ilvl w:val="0"/>
          <w:numId w:val="9"/>
        </w:numPr>
        <w:tabs>
          <w:tab w:val="left" w:pos="1559"/>
          <w:tab w:val="left" w:pos="1561"/>
        </w:tabs>
        <w:ind w:right="315" w:firstLine="720"/>
      </w:pPr>
      <w:r>
        <w:t>The Part 15 rules permit low-power intentional radiators (popularly known as “unlicensed devices”) to operate without an individual license where such use is not anticipated to</w:t>
      </w:r>
      <w:r>
        <w:rPr>
          <w:spacing w:val="-24"/>
        </w:rPr>
        <w:t xml:space="preserve"> </w:t>
      </w:r>
      <w:r>
        <w:t>cause</w:t>
      </w:r>
    </w:p>
    <w:p w14:paraId="37B96688" w14:textId="77777777" w:rsidR="00F41911" w:rsidRDefault="00F41911">
      <w:pPr>
        <w:pStyle w:val="BodyText"/>
        <w:rPr>
          <w:sz w:val="20"/>
        </w:rPr>
      </w:pPr>
    </w:p>
    <w:p w14:paraId="5E9F426D" w14:textId="77777777" w:rsidR="00F41911" w:rsidRDefault="00F41911">
      <w:pPr>
        <w:pStyle w:val="BodyText"/>
        <w:rPr>
          <w:sz w:val="20"/>
        </w:rPr>
      </w:pPr>
    </w:p>
    <w:p w14:paraId="1EC43354" w14:textId="77777777" w:rsidR="00F41911" w:rsidRDefault="004D2E02">
      <w:pPr>
        <w:pStyle w:val="BodyText"/>
        <w:spacing w:before="9"/>
        <w:rPr>
          <w:sz w:val="11"/>
        </w:rPr>
      </w:pPr>
      <w:r>
        <w:pict w14:anchorId="68B5A2A5">
          <v:line id="_x0000_s1050" style="position:absolute;z-index:251645440;mso-wrap-distance-left:0;mso-wrap-distance-right:0;mso-position-horizontal-relative:page" from="1in,9.1pt" to="215.5pt,9.1pt" strokeweight=".72pt">
            <w10:wrap type="topAndBottom" anchorx="page"/>
          </v:line>
        </w:pict>
      </w:r>
    </w:p>
    <w:p w14:paraId="67F1EE49" w14:textId="77777777" w:rsidR="00F41911" w:rsidRDefault="00FE087E">
      <w:pPr>
        <w:spacing w:before="69"/>
        <w:ind w:left="120"/>
        <w:rPr>
          <w:sz w:val="20"/>
        </w:rPr>
      </w:pPr>
      <w:r>
        <w:rPr>
          <w:position w:val="6"/>
          <w:sz w:val="13"/>
        </w:rPr>
        <w:t xml:space="preserve">1  </w:t>
      </w:r>
      <w:r>
        <w:rPr>
          <w:sz w:val="20"/>
        </w:rPr>
        <w:t>47 CFR § 15.255.</w:t>
      </w:r>
    </w:p>
    <w:p w14:paraId="474F5F61" w14:textId="77777777" w:rsidR="00F41911" w:rsidRDefault="00F41911">
      <w:pPr>
        <w:rPr>
          <w:sz w:val="20"/>
        </w:rPr>
        <w:sectPr w:rsidR="00F41911">
          <w:type w:val="continuous"/>
          <w:pgSz w:w="12240" w:h="15840"/>
          <w:pgMar w:top="980" w:right="1300" w:bottom="280" w:left="1320" w:header="720" w:footer="720" w:gutter="0"/>
          <w:cols w:space="720"/>
        </w:sectPr>
      </w:pPr>
    </w:p>
    <w:p w14:paraId="4B0AE58D" w14:textId="77777777" w:rsidR="00F41911" w:rsidRDefault="00F41911">
      <w:pPr>
        <w:pStyle w:val="BodyText"/>
        <w:rPr>
          <w:sz w:val="20"/>
        </w:rPr>
      </w:pPr>
    </w:p>
    <w:p w14:paraId="7C153FD7" w14:textId="77777777" w:rsidR="00F41911" w:rsidRDefault="00F41911">
      <w:pPr>
        <w:pStyle w:val="BodyText"/>
        <w:spacing w:before="6"/>
      </w:pPr>
    </w:p>
    <w:p w14:paraId="563F1157" w14:textId="77777777" w:rsidR="00F41911" w:rsidRDefault="00FE087E">
      <w:pPr>
        <w:pStyle w:val="BodyText"/>
        <w:ind w:left="120" w:right="227"/>
        <w:rPr>
          <w:sz w:val="13"/>
        </w:rPr>
      </w:pPr>
      <w:r>
        <w:t>harmful interference to authorized users of the radio spectrum.</w:t>
      </w:r>
      <w:r>
        <w:rPr>
          <w:position w:val="6"/>
          <w:sz w:val="13"/>
        </w:rPr>
        <w:t xml:space="preserve">2 </w:t>
      </w:r>
      <w:r>
        <w:t>Unlicensed devices in the 60 GHz band generally include indoor/outdoor communication devices such as WiGig</w:t>
      </w:r>
      <w:r>
        <w:rPr>
          <w:position w:val="6"/>
          <w:sz w:val="13"/>
        </w:rPr>
        <w:t xml:space="preserve">3 </w:t>
      </w:r>
      <w:r>
        <w:t>wireless local area networking (WLAN) devices,</w:t>
      </w:r>
      <w:r>
        <w:rPr>
          <w:position w:val="6"/>
          <w:sz w:val="13"/>
        </w:rPr>
        <w:t xml:space="preserve">4 </w:t>
      </w:r>
      <w:r>
        <w:t>outdoor fixed point-to-point communication links,</w:t>
      </w:r>
      <w:r>
        <w:rPr>
          <w:position w:val="6"/>
          <w:sz w:val="13"/>
        </w:rPr>
        <w:t xml:space="preserve">5 </w:t>
      </w:r>
      <w:r>
        <w:t>and field disturbance sensors (FDS) – which includes radar operations.</w:t>
      </w:r>
      <w:r>
        <w:rPr>
          <w:position w:val="6"/>
          <w:sz w:val="13"/>
        </w:rPr>
        <w:t xml:space="preserve">6 </w:t>
      </w:r>
      <w:r>
        <w:t>Unlicensed device users must account for the operations of authorized Federal and non-Federal users in the band, who operate under a variety of co-primary allocations. These allocations, which vary by band segment, consist of the Mobile, Fixed, Inter-Satellite, Earth-Exploration Satellite Service (EESS), Space Research, Mobile-Satellite, Radiolocation, Radionavigation, and Radionavigation-Satellite services.</w:t>
      </w:r>
      <w:r>
        <w:rPr>
          <w:position w:val="6"/>
          <w:sz w:val="13"/>
        </w:rPr>
        <w:t>7</w:t>
      </w:r>
    </w:p>
    <w:p w14:paraId="4C8928B9" w14:textId="77777777" w:rsidR="00F41911" w:rsidRDefault="00FE087E">
      <w:pPr>
        <w:pStyle w:val="ListParagraph"/>
        <w:numPr>
          <w:ilvl w:val="0"/>
          <w:numId w:val="9"/>
        </w:numPr>
        <w:tabs>
          <w:tab w:val="left" w:pos="1559"/>
          <w:tab w:val="left" w:pos="1561"/>
        </w:tabs>
        <w:ind w:right="126" w:firstLine="720"/>
        <w:rPr>
          <w:sz w:val="13"/>
        </w:rPr>
      </w:pPr>
      <w:r>
        <w:t>Section 15.255 of the rules stipulates operational policies and technical parameters for the 60 GHz band.</w:t>
      </w:r>
      <w:r>
        <w:rPr>
          <w:position w:val="6"/>
          <w:sz w:val="13"/>
        </w:rPr>
        <w:t xml:space="preserve">8 </w:t>
      </w:r>
      <w:r>
        <w:t>The rule limits FDS operations to fixed operation or when used as short-range devices for interactive motion sensing (SRIMS).</w:t>
      </w:r>
      <w:r>
        <w:rPr>
          <w:position w:val="6"/>
          <w:sz w:val="13"/>
        </w:rPr>
        <w:t xml:space="preserve">9 </w:t>
      </w:r>
      <w:r>
        <w:t>Furthermore, a fixed FDS with an occupied bandwidth fully contained within the 61.0-61.5 GHz band may operate with average output power levels up to 40 dBm and peak output power levels up to 43 dBm, while all other FDS devices (including those being used for SRIMS) are limited to a maximum transmitter conducted output power not to exceed -10 dBm and a maximum EIRP level not to exceed 10</w:t>
      </w:r>
      <w:r>
        <w:rPr>
          <w:spacing w:val="-7"/>
        </w:rPr>
        <w:t xml:space="preserve"> </w:t>
      </w:r>
      <w:r>
        <w:t>dBm.</w:t>
      </w:r>
      <w:r>
        <w:rPr>
          <w:position w:val="6"/>
          <w:sz w:val="13"/>
        </w:rPr>
        <w:t>10</w:t>
      </w:r>
    </w:p>
    <w:p w14:paraId="44EC0D2F" w14:textId="77777777" w:rsidR="00F41911" w:rsidRDefault="00FE087E">
      <w:pPr>
        <w:pStyle w:val="ListParagraph"/>
        <w:numPr>
          <w:ilvl w:val="0"/>
          <w:numId w:val="9"/>
        </w:numPr>
        <w:tabs>
          <w:tab w:val="left" w:pos="1559"/>
          <w:tab w:val="left" w:pos="1561"/>
        </w:tabs>
        <w:ind w:right="137" w:firstLine="720"/>
      </w:pPr>
      <w:r>
        <w:t>When it first adopted Section 15.255 in 1995, the Commission stated that its intent was to foster the potential of the 60 GHz band “for allowing the development of short-range wireless radio systems with communications capabilities approaching those … achievable only with coaxial and</w:t>
      </w:r>
      <w:r>
        <w:rPr>
          <w:spacing w:val="-24"/>
        </w:rPr>
        <w:t xml:space="preserve"> </w:t>
      </w:r>
      <w:r>
        <w:t>optical</w:t>
      </w:r>
    </w:p>
    <w:p w14:paraId="2EC2A4F5" w14:textId="77777777" w:rsidR="00F41911" w:rsidRDefault="00F41911">
      <w:pPr>
        <w:pStyle w:val="BodyText"/>
        <w:rPr>
          <w:sz w:val="20"/>
        </w:rPr>
      </w:pPr>
    </w:p>
    <w:p w14:paraId="7C3F1F85" w14:textId="77777777" w:rsidR="00F41911" w:rsidRDefault="00F41911">
      <w:pPr>
        <w:pStyle w:val="BodyText"/>
        <w:rPr>
          <w:sz w:val="20"/>
        </w:rPr>
      </w:pPr>
    </w:p>
    <w:p w14:paraId="1CA92D53" w14:textId="77777777" w:rsidR="00F41911" w:rsidRDefault="00F41911">
      <w:pPr>
        <w:pStyle w:val="BodyText"/>
        <w:rPr>
          <w:sz w:val="20"/>
        </w:rPr>
      </w:pPr>
    </w:p>
    <w:p w14:paraId="213C944F" w14:textId="77777777" w:rsidR="00F41911" w:rsidRDefault="00F41911">
      <w:pPr>
        <w:pStyle w:val="BodyText"/>
        <w:rPr>
          <w:sz w:val="20"/>
        </w:rPr>
      </w:pPr>
    </w:p>
    <w:p w14:paraId="2C12554B" w14:textId="77777777" w:rsidR="00F41911" w:rsidRDefault="00F41911">
      <w:pPr>
        <w:pStyle w:val="BodyText"/>
        <w:rPr>
          <w:sz w:val="20"/>
        </w:rPr>
      </w:pPr>
    </w:p>
    <w:p w14:paraId="565EF9BC" w14:textId="77777777" w:rsidR="00F41911" w:rsidRDefault="00F41911">
      <w:pPr>
        <w:pStyle w:val="BodyText"/>
        <w:rPr>
          <w:sz w:val="20"/>
        </w:rPr>
      </w:pPr>
    </w:p>
    <w:p w14:paraId="149F72D2" w14:textId="77777777" w:rsidR="00F41911" w:rsidRDefault="00F41911">
      <w:pPr>
        <w:pStyle w:val="BodyText"/>
        <w:rPr>
          <w:sz w:val="20"/>
        </w:rPr>
      </w:pPr>
    </w:p>
    <w:p w14:paraId="4404ADBE" w14:textId="77777777" w:rsidR="00F41911" w:rsidRDefault="00F41911">
      <w:pPr>
        <w:pStyle w:val="BodyText"/>
        <w:rPr>
          <w:sz w:val="20"/>
        </w:rPr>
      </w:pPr>
    </w:p>
    <w:p w14:paraId="028A287F" w14:textId="77777777" w:rsidR="00F41911" w:rsidRDefault="004D2E02">
      <w:pPr>
        <w:pStyle w:val="BodyText"/>
        <w:rPr>
          <w:sz w:val="20"/>
        </w:rPr>
      </w:pPr>
      <w:r>
        <w:pict w14:anchorId="1B2D8682">
          <v:line id="_x0000_s1049" style="position:absolute;z-index:251646464;mso-wrap-distance-left:0;mso-wrap-distance-right:0;mso-position-horizontal-relative:page" from="1in,13.85pt" to="215.5pt,13.85pt" strokeweight=".72pt">
            <w10:wrap type="topAndBottom" anchorx="page"/>
          </v:line>
        </w:pict>
      </w:r>
    </w:p>
    <w:p w14:paraId="094034C8" w14:textId="77777777" w:rsidR="00F41911" w:rsidRDefault="00FE087E">
      <w:pPr>
        <w:spacing w:before="69"/>
        <w:ind w:left="120" w:right="220"/>
        <w:rPr>
          <w:sz w:val="20"/>
        </w:rPr>
      </w:pPr>
      <w:r>
        <w:rPr>
          <w:position w:val="6"/>
          <w:sz w:val="13"/>
        </w:rPr>
        <w:t xml:space="preserve">2 </w:t>
      </w:r>
      <w:r>
        <w:rPr>
          <w:sz w:val="20"/>
        </w:rPr>
        <w:t>The fundamental operating conditions under Part 15 are that the operator of a Part 15 device has no vested right to continued use of any given frequency, must accept interference that may be caused by the operations of authorized users or other unlicensed devices, and must not cause harmful interference it causes. Should harmful interference occur, the operator is required to immediately correct the interference problem, even if correction of the problem requires ceasing operation of the part 15 equipment causing interference.  47 CFR § 15.5.</w:t>
      </w:r>
    </w:p>
    <w:p w14:paraId="7F358950" w14:textId="77777777" w:rsidR="00F41911" w:rsidRDefault="00FE087E">
      <w:pPr>
        <w:spacing w:before="119"/>
        <w:ind w:left="120"/>
        <w:rPr>
          <w:sz w:val="20"/>
        </w:rPr>
      </w:pPr>
      <w:r>
        <w:rPr>
          <w:position w:val="6"/>
          <w:sz w:val="13"/>
        </w:rPr>
        <w:t xml:space="preserve">3 </w:t>
      </w:r>
      <w:r>
        <w:rPr>
          <w:sz w:val="20"/>
        </w:rPr>
        <w:t>WiGig, alternatively known as 60 GHz Wi-Fi, refers to a set of 60 GHz wireless network protocols. It includes the current Institute of Electrical and Electronics Engineers (IEEE) IEEE 802.11ad standard and also the</w:t>
      </w:r>
    </w:p>
    <w:p w14:paraId="43E1BCC9" w14:textId="77777777" w:rsidR="00F41911" w:rsidRDefault="00FE087E">
      <w:pPr>
        <w:ind w:left="120" w:right="227"/>
        <w:rPr>
          <w:sz w:val="20"/>
        </w:rPr>
      </w:pPr>
      <w:r>
        <w:rPr>
          <w:sz w:val="20"/>
        </w:rPr>
        <w:t xml:space="preserve">upcoming IEEE 802.11ay standard. The name </w:t>
      </w:r>
      <w:r>
        <w:rPr>
          <w:i/>
          <w:sz w:val="20"/>
        </w:rPr>
        <w:t xml:space="preserve">WiGig </w:t>
      </w:r>
      <w:r>
        <w:rPr>
          <w:sz w:val="20"/>
        </w:rPr>
        <w:t xml:space="preserve">comes from Wireless Gigabit Alliance, the original association being formed to promote the adoption of IEEE 802.11ad. However, it is now certified by Wi-Fi Alliance.  </w:t>
      </w:r>
      <w:r>
        <w:rPr>
          <w:i/>
          <w:sz w:val="20"/>
        </w:rPr>
        <w:t xml:space="preserve">See </w:t>
      </w:r>
      <w:hyperlink r:id="rId8">
        <w:r>
          <w:rPr>
            <w:color w:val="0000FF"/>
            <w:sz w:val="20"/>
            <w:u w:val="single" w:color="0000FF"/>
          </w:rPr>
          <w:t>https://www.wi-fi.org/discover-wi-fi/wi-fi-certified-wigig</w:t>
        </w:r>
      </w:hyperlink>
      <w:r>
        <w:rPr>
          <w:sz w:val="20"/>
        </w:rPr>
        <w:t>.</w:t>
      </w:r>
    </w:p>
    <w:p w14:paraId="461449F4" w14:textId="77777777" w:rsidR="00F41911" w:rsidRDefault="00FE087E">
      <w:pPr>
        <w:spacing w:before="120"/>
        <w:ind w:left="120" w:right="227"/>
        <w:rPr>
          <w:sz w:val="20"/>
        </w:rPr>
      </w:pPr>
      <w:r>
        <w:rPr>
          <w:position w:val="6"/>
          <w:sz w:val="13"/>
        </w:rPr>
        <w:t xml:space="preserve">4 </w:t>
      </w:r>
      <w:r>
        <w:rPr>
          <w:sz w:val="20"/>
        </w:rPr>
        <w:t xml:space="preserve">A wireless LAN (WLAN) is a wireless network that links two or more devices using wireless communication to form a local area network (LAN) within a limited area such as a home, school, computer laboratory, campus, or office building. </w:t>
      </w:r>
      <w:r>
        <w:rPr>
          <w:i/>
          <w:sz w:val="20"/>
        </w:rPr>
        <w:t xml:space="preserve">See generally </w:t>
      </w:r>
      <w:r>
        <w:rPr>
          <w:sz w:val="20"/>
        </w:rPr>
        <w:t xml:space="preserve">Wi-Fi Alliance, </w:t>
      </w:r>
      <w:r>
        <w:rPr>
          <w:i/>
          <w:sz w:val="20"/>
        </w:rPr>
        <w:t>Wi</w:t>
      </w:r>
      <w:r>
        <w:rPr>
          <w:sz w:val="20"/>
        </w:rPr>
        <w:t>-</w:t>
      </w:r>
      <w:r>
        <w:rPr>
          <w:i/>
          <w:sz w:val="20"/>
        </w:rPr>
        <w:t xml:space="preserve">Fi Certified WiGig, </w:t>
      </w:r>
      <w:hyperlink r:id="rId9">
        <w:r>
          <w:rPr>
            <w:sz w:val="20"/>
          </w:rPr>
          <w:t>http://www.wi-fi.org/discover-wi-fi/wigig-</w:t>
        </w:r>
      </w:hyperlink>
      <w:r>
        <w:rPr>
          <w:sz w:val="20"/>
        </w:rPr>
        <w:t xml:space="preserve"> </w:t>
      </w:r>
      <w:hyperlink r:id="rId10">
        <w:r>
          <w:rPr>
            <w:sz w:val="20"/>
          </w:rPr>
          <w:t>certified</w:t>
        </w:r>
      </w:hyperlink>
      <w:r>
        <w:rPr>
          <w:sz w:val="20"/>
        </w:rPr>
        <w:t xml:space="preserve"> (last visited May 17, 2021).</w:t>
      </w:r>
    </w:p>
    <w:p w14:paraId="1365F4CD" w14:textId="77777777" w:rsidR="00F41911" w:rsidRDefault="00FE087E">
      <w:pPr>
        <w:spacing w:before="119"/>
        <w:ind w:left="120"/>
        <w:rPr>
          <w:sz w:val="20"/>
        </w:rPr>
      </w:pPr>
      <w:r>
        <w:rPr>
          <w:position w:val="6"/>
          <w:sz w:val="13"/>
        </w:rPr>
        <w:t xml:space="preserve">5 </w:t>
      </w:r>
      <w:r>
        <w:rPr>
          <w:i/>
          <w:sz w:val="20"/>
        </w:rPr>
        <w:t>See, e.g.</w:t>
      </w:r>
      <w:r>
        <w:rPr>
          <w:sz w:val="20"/>
        </w:rPr>
        <w:t xml:space="preserve">, </w:t>
      </w:r>
      <w:hyperlink r:id="rId11">
        <w:r>
          <w:rPr>
            <w:color w:val="0000FF"/>
            <w:sz w:val="20"/>
            <w:u w:val="single" w:color="0000FF"/>
          </w:rPr>
          <w:t>http://www.airlinx.com</w:t>
        </w:r>
      </w:hyperlink>
      <w:r>
        <w:rPr>
          <w:sz w:val="20"/>
        </w:rPr>
        <w:t xml:space="preserve">; </w:t>
      </w:r>
      <w:hyperlink r:id="rId12">
        <w:r>
          <w:rPr>
            <w:color w:val="0000FF"/>
            <w:sz w:val="20"/>
            <w:u w:val="single" w:color="0000FF"/>
          </w:rPr>
          <w:t>https://www.ignitenet.com/technology/metrolinq/</w:t>
        </w:r>
      </w:hyperlink>
      <w:r>
        <w:rPr>
          <w:sz w:val="20"/>
        </w:rPr>
        <w:t>.</w:t>
      </w:r>
    </w:p>
    <w:p w14:paraId="496D2A2C" w14:textId="77777777" w:rsidR="00F41911" w:rsidRDefault="00FE087E">
      <w:pPr>
        <w:spacing w:before="119"/>
        <w:ind w:left="120" w:right="139"/>
        <w:rPr>
          <w:sz w:val="20"/>
        </w:rPr>
      </w:pPr>
      <w:r>
        <w:rPr>
          <w:position w:val="6"/>
          <w:sz w:val="13"/>
        </w:rPr>
        <w:t xml:space="preserve">6 </w:t>
      </w:r>
      <w:r>
        <w:rPr>
          <w:sz w:val="20"/>
        </w:rPr>
        <w:t xml:space="preserve">As discussed </w:t>
      </w:r>
      <w:r>
        <w:rPr>
          <w:i/>
          <w:sz w:val="20"/>
        </w:rPr>
        <w:t xml:space="preserve">infra, </w:t>
      </w:r>
      <w:r>
        <w:rPr>
          <w:sz w:val="20"/>
        </w:rPr>
        <w:t xml:space="preserve">the Commission has a long history of considering radar devices in Part 15 of the rules as a subset of FDS. </w:t>
      </w:r>
      <w:r>
        <w:rPr>
          <w:i/>
          <w:sz w:val="20"/>
        </w:rPr>
        <w:t>See, e.g</w:t>
      </w:r>
      <w:r>
        <w:rPr>
          <w:sz w:val="20"/>
        </w:rPr>
        <w:t>., 47 CFR §§ 15.503, 15.515. Unless specifically noted, we use the terms “FDS” and “radar” in this item interchangeably.</w:t>
      </w:r>
    </w:p>
    <w:p w14:paraId="7BF7C1AF" w14:textId="77777777" w:rsidR="00F41911" w:rsidRDefault="00FE087E">
      <w:pPr>
        <w:spacing w:before="119"/>
        <w:ind w:left="120"/>
        <w:rPr>
          <w:sz w:val="20"/>
        </w:rPr>
      </w:pPr>
      <w:r>
        <w:rPr>
          <w:position w:val="6"/>
          <w:sz w:val="13"/>
        </w:rPr>
        <w:t xml:space="preserve">7  </w:t>
      </w:r>
      <w:r>
        <w:rPr>
          <w:sz w:val="20"/>
        </w:rPr>
        <w:t>47 CFR § 2.106.  Industrial, scientific and medical (ISM) equipment may also operate in the band at 61.00--</w:t>
      </w:r>
    </w:p>
    <w:p w14:paraId="6ACE3F66" w14:textId="77777777" w:rsidR="00F41911" w:rsidRDefault="00FE087E">
      <w:pPr>
        <w:ind w:left="120"/>
        <w:rPr>
          <w:sz w:val="20"/>
        </w:rPr>
      </w:pPr>
      <w:r>
        <w:rPr>
          <w:sz w:val="20"/>
        </w:rPr>
        <w:t>-61.50 GHz, pursuant to 47 CFR § 18.301.</w:t>
      </w:r>
    </w:p>
    <w:p w14:paraId="05630A65" w14:textId="77777777" w:rsidR="00F41911" w:rsidRDefault="00FE087E">
      <w:pPr>
        <w:spacing w:before="120"/>
        <w:ind w:left="120"/>
        <w:rPr>
          <w:sz w:val="20"/>
        </w:rPr>
      </w:pPr>
      <w:r>
        <w:rPr>
          <w:position w:val="6"/>
          <w:sz w:val="13"/>
        </w:rPr>
        <w:t xml:space="preserve">8  </w:t>
      </w:r>
      <w:r>
        <w:rPr>
          <w:sz w:val="20"/>
        </w:rPr>
        <w:t>47 CFR § 15.255.</w:t>
      </w:r>
    </w:p>
    <w:p w14:paraId="43926C2E" w14:textId="77777777" w:rsidR="00F41911" w:rsidRDefault="00FE087E">
      <w:pPr>
        <w:spacing w:before="119"/>
        <w:ind w:left="120"/>
        <w:rPr>
          <w:sz w:val="20"/>
        </w:rPr>
      </w:pPr>
      <w:r>
        <w:rPr>
          <w:position w:val="6"/>
          <w:sz w:val="13"/>
        </w:rPr>
        <w:t xml:space="preserve">9  </w:t>
      </w:r>
      <w:r>
        <w:rPr>
          <w:sz w:val="20"/>
        </w:rPr>
        <w:t>47 CFR § 15.255(a)(2).</w:t>
      </w:r>
    </w:p>
    <w:p w14:paraId="634CEFFC" w14:textId="77777777" w:rsidR="00F41911" w:rsidRDefault="00FE087E">
      <w:pPr>
        <w:spacing w:before="119"/>
        <w:ind w:left="120"/>
        <w:rPr>
          <w:sz w:val="20"/>
        </w:rPr>
      </w:pPr>
      <w:r>
        <w:rPr>
          <w:position w:val="6"/>
          <w:sz w:val="13"/>
        </w:rPr>
        <w:t xml:space="preserve">10  </w:t>
      </w:r>
      <w:r>
        <w:rPr>
          <w:sz w:val="20"/>
        </w:rPr>
        <w:t>47 CFR § 15.255(c)(2), (c)(3), respectively.</w:t>
      </w:r>
    </w:p>
    <w:p w14:paraId="199F7722" w14:textId="77777777" w:rsidR="00F41911" w:rsidRDefault="00F41911">
      <w:pPr>
        <w:rPr>
          <w:sz w:val="20"/>
        </w:rPr>
        <w:sectPr w:rsidR="00F41911">
          <w:footerReference w:type="default" r:id="rId13"/>
          <w:pgSz w:w="12240" w:h="15840"/>
          <w:pgMar w:top="980" w:right="1320" w:bottom="900" w:left="1320" w:header="729" w:footer="713" w:gutter="0"/>
          <w:pgNumType w:start="2"/>
          <w:cols w:space="720"/>
        </w:sectPr>
      </w:pPr>
    </w:p>
    <w:p w14:paraId="15AA0C00" w14:textId="77777777" w:rsidR="00F41911" w:rsidRDefault="00F41911">
      <w:pPr>
        <w:pStyle w:val="BodyText"/>
        <w:rPr>
          <w:sz w:val="20"/>
        </w:rPr>
      </w:pPr>
    </w:p>
    <w:p w14:paraId="379B1BC4" w14:textId="77777777" w:rsidR="00F41911" w:rsidRDefault="00F41911">
      <w:pPr>
        <w:pStyle w:val="BodyText"/>
        <w:spacing w:before="6"/>
      </w:pPr>
    </w:p>
    <w:p w14:paraId="5484F7C8" w14:textId="77777777" w:rsidR="00F41911" w:rsidRDefault="00FE087E">
      <w:pPr>
        <w:pStyle w:val="BodyText"/>
        <w:ind w:left="120" w:right="227"/>
        <w:rPr>
          <w:sz w:val="13"/>
        </w:rPr>
      </w:pPr>
      <w:r>
        <w:t>fiber cable.”</w:t>
      </w:r>
      <w:r>
        <w:rPr>
          <w:position w:val="6"/>
          <w:sz w:val="13"/>
        </w:rPr>
        <w:t xml:space="preserve">11 </w:t>
      </w:r>
      <w:r>
        <w:t>When it finalized the rule by adopting a spectrum etiquette</w:t>
      </w:r>
      <w:r>
        <w:rPr>
          <w:position w:val="6"/>
          <w:sz w:val="13"/>
        </w:rPr>
        <w:t xml:space="preserve">12 </w:t>
      </w:r>
      <w:r>
        <w:t>three years later, it also included a provision that permitted fixed FDS operation in the band.</w:t>
      </w:r>
      <w:r>
        <w:rPr>
          <w:position w:val="6"/>
          <w:sz w:val="13"/>
        </w:rPr>
        <w:t>13</w:t>
      </w:r>
    </w:p>
    <w:p w14:paraId="0C229BBC" w14:textId="77777777" w:rsidR="00F41911" w:rsidRDefault="00FE087E">
      <w:pPr>
        <w:pStyle w:val="ListParagraph"/>
        <w:numPr>
          <w:ilvl w:val="0"/>
          <w:numId w:val="9"/>
        </w:numPr>
        <w:tabs>
          <w:tab w:val="left" w:pos="1559"/>
          <w:tab w:val="left" w:pos="1561"/>
        </w:tabs>
        <w:ind w:right="140" w:firstLine="720"/>
        <w:rPr>
          <w:sz w:val="13"/>
        </w:rPr>
      </w:pPr>
      <w:r>
        <w:t>In 2016, the Commission further expanded unlicensed device use in the band to permit limited mobile radar operations and to extend the use of fixed field disturbance sensors to the 64-71 GHz band. At that time, the Commission recognized that wireless innovation included the development of gesture-recognition technology using short-range radars that would allow users to interact with devices without needing to touch them.</w:t>
      </w:r>
      <w:r>
        <w:rPr>
          <w:position w:val="6"/>
          <w:sz w:val="13"/>
        </w:rPr>
        <w:t xml:space="preserve">14 </w:t>
      </w:r>
      <w:r>
        <w:t>It thus decided to permit SRIMS radars while also noting that the record before it was insufficient to allow for the unfettered operation of mobile radars in the band. Specifically, the Commission’s decision permitted the “narrow application of mobile radars for short-range interactive motion sensing” at reduced power levels to ensure that they would successfully co-exist with co-channel communications devices already permitted to operate in the band.</w:t>
      </w:r>
      <w:r>
        <w:rPr>
          <w:position w:val="6"/>
          <w:sz w:val="13"/>
        </w:rPr>
        <w:t xml:space="preserve">15   </w:t>
      </w:r>
      <w:r>
        <w:t>While the Commission did not adopt a specific definition for SRIMS, in permitting narrow use of short-range mobile radars it discussed the work of Google LLC (Google) in developing its “Soli” sensor technology, which envisioned that smartphones and other personal devices would be able to sense hand gestures when a user is located at a very short distance from the device to perform functions such as controlling web pages or answering phone calls.</w:t>
      </w:r>
      <w:r>
        <w:rPr>
          <w:position w:val="6"/>
          <w:sz w:val="13"/>
        </w:rPr>
        <w:t xml:space="preserve">16 </w:t>
      </w:r>
      <w:r>
        <w:t>Furthermore, while the Commission specifically rejected comments calling on it to completely eliminate restrictions on FDS use, it also stated that it might consider allowing higher power levels in the future after it had acquired more experience with the devices it was permitting at that</w:t>
      </w:r>
      <w:r>
        <w:rPr>
          <w:spacing w:val="-20"/>
        </w:rPr>
        <w:t xml:space="preserve"> </w:t>
      </w:r>
      <w:r>
        <w:t>time.</w:t>
      </w:r>
      <w:r>
        <w:rPr>
          <w:position w:val="6"/>
          <w:sz w:val="13"/>
        </w:rPr>
        <w:t>17</w:t>
      </w:r>
    </w:p>
    <w:p w14:paraId="26BD3A3D" w14:textId="77777777" w:rsidR="00F41911" w:rsidRDefault="00FE087E">
      <w:pPr>
        <w:pStyle w:val="ListParagraph"/>
        <w:numPr>
          <w:ilvl w:val="0"/>
          <w:numId w:val="9"/>
        </w:numPr>
        <w:tabs>
          <w:tab w:val="left" w:pos="1559"/>
          <w:tab w:val="left" w:pos="1561"/>
        </w:tabs>
        <w:ind w:right="129" w:firstLine="720"/>
      </w:pPr>
      <w:r>
        <w:t>Since the 2016 decision, there has been continued interest in developing mobile radar applications that use the 60 GHz band. To date, the Commission’s Office of Engineering and Technology (OET) has granted focused waivers of the rules to support discrete applications. First, Google requested a waiver of the emission limits to allow Soli radar devices to operate at a higher output power level than what had been authorized in the rulemaking, arguing that it had determined that higher power levels were necessary for the radar sensor to provide sufficient resolution to engage in effective interactions.</w:t>
      </w:r>
      <w:r>
        <w:rPr>
          <w:position w:val="6"/>
          <w:sz w:val="13"/>
        </w:rPr>
        <w:t xml:space="preserve">18 </w:t>
      </w:r>
      <w:r>
        <w:t>In its 2018 order granting that waiver, which was limited to use of the specific Soli sensor described in Google’s request, OET found that allowing Google Soli sensors to operate at the requested power levels would not materially change the operating environment in the 57-64 GHz band from the perspective</w:t>
      </w:r>
      <w:r>
        <w:rPr>
          <w:spacing w:val="-17"/>
        </w:rPr>
        <w:t xml:space="preserve"> </w:t>
      </w:r>
      <w:r>
        <w:t>of</w:t>
      </w:r>
    </w:p>
    <w:p w14:paraId="446FFFD1" w14:textId="77777777" w:rsidR="00F41911" w:rsidRDefault="00F41911">
      <w:pPr>
        <w:pStyle w:val="BodyText"/>
        <w:rPr>
          <w:sz w:val="20"/>
        </w:rPr>
      </w:pPr>
    </w:p>
    <w:p w14:paraId="17B5BD9C" w14:textId="77777777" w:rsidR="00F41911" w:rsidRDefault="004D2E02">
      <w:pPr>
        <w:pStyle w:val="BodyText"/>
        <w:spacing w:before="5"/>
        <w:rPr>
          <w:sz w:val="12"/>
        </w:rPr>
      </w:pPr>
      <w:r>
        <w:pict w14:anchorId="3C8DF8A7">
          <v:line id="_x0000_s1048" style="position:absolute;z-index:251647488;mso-wrap-distance-left:0;mso-wrap-distance-right:0;mso-position-horizontal-relative:page" from="1in,9.5pt" to="215.5pt,9.5pt" strokeweight=".72pt">
            <w10:wrap type="topAndBottom" anchorx="page"/>
          </v:line>
        </w:pict>
      </w:r>
    </w:p>
    <w:p w14:paraId="3237C47E" w14:textId="77777777" w:rsidR="00F41911" w:rsidRDefault="00FE087E">
      <w:pPr>
        <w:spacing w:before="69"/>
        <w:ind w:left="120" w:right="227"/>
        <w:rPr>
          <w:sz w:val="20"/>
        </w:rPr>
      </w:pPr>
      <w:r>
        <w:rPr>
          <w:position w:val="6"/>
          <w:sz w:val="13"/>
        </w:rPr>
        <w:t xml:space="preserve">11 </w:t>
      </w:r>
      <w:r>
        <w:rPr>
          <w:i/>
          <w:sz w:val="20"/>
        </w:rPr>
        <w:t xml:space="preserve">Amendment of Parts 2, 15 and 97 of the Commission’s Rules to Permit Use of Radio Frequencies Above 40 GHz for New Radio Applications, </w:t>
      </w:r>
      <w:r>
        <w:rPr>
          <w:sz w:val="20"/>
        </w:rPr>
        <w:t>ET Docket No. 94-124, First Report and Order and Second Notice of Proposed Rule Making, 11 FCC Rcd. 4481, 4488, para. 14 (1995).</w:t>
      </w:r>
    </w:p>
    <w:p w14:paraId="2079DFCE" w14:textId="77777777" w:rsidR="00F41911" w:rsidRDefault="00FE087E">
      <w:pPr>
        <w:spacing w:before="119"/>
        <w:ind w:left="120" w:right="139"/>
        <w:rPr>
          <w:sz w:val="20"/>
        </w:rPr>
      </w:pPr>
      <w:r>
        <w:rPr>
          <w:position w:val="6"/>
          <w:sz w:val="13"/>
        </w:rPr>
        <w:t xml:space="preserve">12 </w:t>
      </w:r>
      <w:r>
        <w:rPr>
          <w:sz w:val="20"/>
        </w:rPr>
        <w:t>A spectrum etiquette is a set of rules to facilitate accessing and sharing of the same spectrum among all authorized users.</w:t>
      </w:r>
    </w:p>
    <w:p w14:paraId="7E8BA6FE" w14:textId="77777777" w:rsidR="00F41911" w:rsidRDefault="00FE087E">
      <w:pPr>
        <w:spacing w:before="119"/>
        <w:ind w:left="120" w:right="227"/>
        <w:rPr>
          <w:sz w:val="20"/>
        </w:rPr>
      </w:pPr>
      <w:r>
        <w:rPr>
          <w:position w:val="6"/>
          <w:sz w:val="13"/>
        </w:rPr>
        <w:t xml:space="preserve">13 </w:t>
      </w:r>
      <w:r>
        <w:rPr>
          <w:sz w:val="20"/>
        </w:rPr>
        <w:t>The provisions for fixed FDS operations was part of the spectrum etiquette developed by the Millimeter Wave Communications Working Group (MWCWG) at the behest of the Commission to facilitate coexistence of all</w:t>
      </w:r>
    </w:p>
    <w:p w14:paraId="4E925136" w14:textId="77777777" w:rsidR="00F41911" w:rsidRDefault="00FE087E">
      <w:pPr>
        <w:ind w:left="120" w:right="157"/>
        <w:jc w:val="both"/>
        <w:rPr>
          <w:sz w:val="20"/>
        </w:rPr>
      </w:pPr>
      <w:r>
        <w:rPr>
          <w:sz w:val="20"/>
        </w:rPr>
        <w:t xml:space="preserve">60 GHz devices in the 57-64 GHz band and adopted into the rules in 1998. </w:t>
      </w:r>
      <w:r>
        <w:rPr>
          <w:i/>
          <w:sz w:val="20"/>
        </w:rPr>
        <w:t xml:space="preserve">See Amendment of Parts 2, 15 and 97 of the Commission‘s Rules to Permit Use of Radio Frequencies Above 40 GHz for New Radio Applications, </w:t>
      </w:r>
      <w:r>
        <w:rPr>
          <w:sz w:val="20"/>
        </w:rPr>
        <w:t>ET Docket No. 19-124, Third Report and Order, 13 FCC Rcd 15074 (1998).</w:t>
      </w:r>
    </w:p>
    <w:p w14:paraId="5E427708" w14:textId="77777777" w:rsidR="00F41911" w:rsidRDefault="00FE087E">
      <w:pPr>
        <w:spacing w:before="120"/>
        <w:ind w:left="120" w:right="227"/>
        <w:rPr>
          <w:sz w:val="20"/>
        </w:rPr>
      </w:pPr>
      <w:r>
        <w:rPr>
          <w:position w:val="6"/>
          <w:sz w:val="13"/>
        </w:rPr>
        <w:t xml:space="preserve">14 </w:t>
      </w:r>
      <w:r>
        <w:rPr>
          <w:i/>
          <w:sz w:val="20"/>
        </w:rPr>
        <w:t>Use of Spectrum Bands Above 24 GHz For Mobile Radio Services</w:t>
      </w:r>
      <w:r>
        <w:rPr>
          <w:sz w:val="20"/>
        </w:rPr>
        <w:t>, GN Docket No. 14-117, FCC 16-89, Report and Order and Further Notice of Proposed Rulemaking, 31 FCC Rcd 8014, 8133, para. 336 (2016).</w:t>
      </w:r>
    </w:p>
    <w:p w14:paraId="36DD55C2" w14:textId="77777777" w:rsidR="00F41911" w:rsidRDefault="00FE087E">
      <w:pPr>
        <w:spacing w:before="119"/>
        <w:ind w:left="120"/>
        <w:rPr>
          <w:sz w:val="20"/>
        </w:rPr>
      </w:pPr>
      <w:r>
        <w:rPr>
          <w:position w:val="6"/>
          <w:sz w:val="13"/>
        </w:rPr>
        <w:t xml:space="preserve">15  </w:t>
      </w:r>
      <w:r>
        <w:rPr>
          <w:i/>
          <w:sz w:val="20"/>
        </w:rPr>
        <w:t>Id.</w:t>
      </w:r>
      <w:r>
        <w:rPr>
          <w:sz w:val="20"/>
        </w:rPr>
        <w:t>, 31 FCC Rcd at 8133-8134, para. 337.</w:t>
      </w:r>
    </w:p>
    <w:p w14:paraId="642FC3DF" w14:textId="77777777" w:rsidR="00F41911" w:rsidRDefault="00FE087E">
      <w:pPr>
        <w:spacing w:before="119"/>
        <w:ind w:left="120" w:right="227"/>
        <w:rPr>
          <w:sz w:val="20"/>
        </w:rPr>
      </w:pPr>
      <w:r>
        <w:rPr>
          <w:position w:val="6"/>
          <w:sz w:val="13"/>
        </w:rPr>
        <w:t xml:space="preserve">16 </w:t>
      </w:r>
      <w:r>
        <w:rPr>
          <w:i/>
          <w:sz w:val="20"/>
        </w:rPr>
        <w:t xml:space="preserve">Id. </w:t>
      </w:r>
      <w:r>
        <w:rPr>
          <w:sz w:val="20"/>
        </w:rPr>
        <w:t xml:space="preserve">Google developed the Soli sensor to capture motion in a three-dimensional space using a radar beam, which enables persons to use gestures and motions to control a smartphone’s functions or features. </w:t>
      </w:r>
      <w:r>
        <w:rPr>
          <w:i/>
          <w:sz w:val="20"/>
        </w:rPr>
        <w:t xml:space="preserve">See </w:t>
      </w:r>
      <w:hyperlink r:id="rId14">
        <w:r>
          <w:rPr>
            <w:sz w:val="20"/>
          </w:rPr>
          <w:t>https://atap.google.com/soli.</w:t>
        </w:r>
      </w:hyperlink>
    </w:p>
    <w:p w14:paraId="177A3E65" w14:textId="77777777" w:rsidR="00F41911" w:rsidRDefault="00FE087E">
      <w:pPr>
        <w:spacing w:before="119"/>
        <w:ind w:left="120" w:right="227"/>
        <w:rPr>
          <w:sz w:val="20"/>
        </w:rPr>
      </w:pPr>
      <w:r>
        <w:rPr>
          <w:position w:val="6"/>
          <w:sz w:val="13"/>
        </w:rPr>
        <w:t xml:space="preserve">17 </w:t>
      </w:r>
      <w:r>
        <w:rPr>
          <w:i/>
          <w:sz w:val="20"/>
        </w:rPr>
        <w:t>Use of Spectrum Bands Above 24 GHz For Mobile Radio Services</w:t>
      </w:r>
      <w:r>
        <w:rPr>
          <w:sz w:val="20"/>
        </w:rPr>
        <w:t>, GN Docket No. 14-117, FCC 16-89, Report and Order and Further Notice of Proposed Rulemaking, 31 FCC Rcd at 8133-8134, para. 337 (2016).</w:t>
      </w:r>
    </w:p>
    <w:p w14:paraId="47B8703F" w14:textId="77777777" w:rsidR="00F41911" w:rsidRDefault="00FE087E">
      <w:pPr>
        <w:spacing w:before="119"/>
        <w:ind w:left="120" w:right="117"/>
        <w:rPr>
          <w:i/>
          <w:sz w:val="20"/>
        </w:rPr>
      </w:pPr>
      <w:r>
        <w:rPr>
          <w:position w:val="6"/>
          <w:sz w:val="13"/>
        </w:rPr>
        <w:t xml:space="preserve">18 </w:t>
      </w:r>
      <w:r>
        <w:rPr>
          <w:i/>
          <w:sz w:val="20"/>
        </w:rPr>
        <w:t>Google LLC Request for Waiver of Section 15.255(c)(3) of the Commission's Rules Applicable to Radars used for Short Range Interactive Motion Sensing in the 57-64 GHz Frequency Band</w:t>
      </w:r>
      <w:r>
        <w:rPr>
          <w:sz w:val="20"/>
        </w:rPr>
        <w:t>, DA 18-1308, Order, 33 FCC Rcd 12542 (2018) (</w:t>
      </w:r>
      <w:r>
        <w:rPr>
          <w:i/>
          <w:sz w:val="20"/>
        </w:rPr>
        <w:t>Google Waiver</w:t>
      </w:r>
      <w:r>
        <w:rPr>
          <w:sz w:val="20"/>
        </w:rPr>
        <w:t>)</w:t>
      </w:r>
      <w:r>
        <w:rPr>
          <w:i/>
          <w:sz w:val="20"/>
        </w:rPr>
        <w:t>.</w:t>
      </w:r>
    </w:p>
    <w:p w14:paraId="09B70CA3" w14:textId="77777777" w:rsidR="00F41911" w:rsidRDefault="00F41911">
      <w:pPr>
        <w:rPr>
          <w:sz w:val="20"/>
        </w:rPr>
        <w:sectPr w:rsidR="00F41911">
          <w:pgSz w:w="12240" w:h="15840"/>
          <w:pgMar w:top="980" w:right="1320" w:bottom="960" w:left="1320" w:header="729" w:footer="713" w:gutter="0"/>
          <w:cols w:space="720"/>
        </w:sectPr>
      </w:pPr>
    </w:p>
    <w:p w14:paraId="4E6C8455" w14:textId="77777777" w:rsidR="00F41911" w:rsidRDefault="00F41911">
      <w:pPr>
        <w:pStyle w:val="BodyText"/>
        <w:rPr>
          <w:i/>
          <w:sz w:val="20"/>
        </w:rPr>
      </w:pPr>
    </w:p>
    <w:p w14:paraId="341D96C8" w14:textId="77777777" w:rsidR="00F41911" w:rsidRDefault="00F41911">
      <w:pPr>
        <w:pStyle w:val="BodyText"/>
        <w:spacing w:before="6"/>
        <w:rPr>
          <w:i/>
        </w:rPr>
      </w:pPr>
    </w:p>
    <w:p w14:paraId="6E2E51B1" w14:textId="77777777" w:rsidR="00F41911" w:rsidRDefault="00FE087E">
      <w:pPr>
        <w:pStyle w:val="BodyText"/>
        <w:ind w:left="120" w:right="227"/>
      </w:pPr>
      <w:r>
        <w:t>the other users in the band.</w:t>
      </w:r>
      <w:r>
        <w:rPr>
          <w:position w:val="6"/>
          <w:sz w:val="13"/>
        </w:rPr>
        <w:t xml:space="preserve">19 </w:t>
      </w:r>
      <w:r>
        <w:t>Specifically, it determined that the higher-power Google Soli device would be able to cooperatively share this spectrum with all users.  The waiver permitted Google to deploy its Soli sensor technology at 10 dBm peak transmitter conducted output power, 13 dBm peak EIRP level, and 13 dBm/MHz power spectral density, with a maximum 10% duty cycle in any 33 milliseconds (ms) interval.</w:t>
      </w:r>
      <w:r>
        <w:rPr>
          <w:position w:val="6"/>
          <w:sz w:val="13"/>
        </w:rPr>
        <w:t xml:space="preserve">20 </w:t>
      </w:r>
      <w:r>
        <w:t>This represented a lesser peak power limit than Google had originally sought, as it had revised its request following discussions with other parties who had interests in using the band for unlicensed operations, such as Facebook, in an effort to facilitate coexistence between unlicensed users in the band.</w:t>
      </w:r>
    </w:p>
    <w:p w14:paraId="0200E7BE" w14:textId="77777777" w:rsidR="00F41911" w:rsidRDefault="00FE087E">
      <w:pPr>
        <w:pStyle w:val="ListParagraph"/>
        <w:numPr>
          <w:ilvl w:val="0"/>
          <w:numId w:val="9"/>
        </w:numPr>
        <w:tabs>
          <w:tab w:val="left" w:pos="1559"/>
          <w:tab w:val="left" w:pos="1561"/>
        </w:tabs>
        <w:ind w:right="120" w:firstLine="720"/>
        <w:rPr>
          <w:sz w:val="13"/>
        </w:rPr>
      </w:pPr>
      <w:bookmarkStart w:id="0" w:name="_bookmark0"/>
      <w:bookmarkEnd w:id="0"/>
      <w:r>
        <w:t xml:space="preserve">Recently, OET granted waivers to several parties to permit the operation of vehicle cabin- mounted radars as well as health-care related and other applications in the 57-64 GHz range at the same power levels as those granted to Google in </w:t>
      </w:r>
      <w:bookmarkStart w:id="1" w:name="_bookmark1"/>
      <w:bookmarkEnd w:id="1"/>
      <w:r>
        <w:t>2018.</w:t>
      </w:r>
      <w:r>
        <w:rPr>
          <w:position w:val="6"/>
          <w:sz w:val="13"/>
        </w:rPr>
        <w:t xml:space="preserve">21 </w:t>
      </w:r>
      <w:r>
        <w:t>These narrowly tailored waivers support an especially compelling public interest - using radar technology to monitor for children left in dangerous, hot cars and to trigger alerts that could save lives.</w:t>
      </w:r>
      <w:r>
        <w:rPr>
          <w:position w:val="6"/>
          <w:sz w:val="13"/>
        </w:rPr>
        <w:t xml:space="preserve">22  </w:t>
      </w:r>
      <w:r>
        <w:t>While radars operating under these waivers must be installed within the vehicle cabin and have the primary function of preventing children from inadvertently being left unattended in rear car seats, they are also expected to provide additional passenger safety and theft prevention benefits.</w:t>
      </w:r>
      <w:r>
        <w:rPr>
          <w:position w:val="6"/>
          <w:sz w:val="13"/>
        </w:rPr>
        <w:t xml:space="preserve">23   </w:t>
      </w:r>
      <w:r>
        <w:t>In addition, OET granted a waiver to Leica Geosystems AG in July 2020 that allows a limited number of radars to operate in the 60-64 GHz band on specialized unmanned aircraft for the specific purpose of avoiding collisions with structures, supporting wires, or other fixed objects during the visual inspection of</w:t>
      </w:r>
      <w:r>
        <w:rPr>
          <w:spacing w:val="-10"/>
        </w:rPr>
        <w:t xml:space="preserve"> </w:t>
      </w:r>
      <w:r>
        <w:t>structures.</w:t>
      </w:r>
      <w:r>
        <w:rPr>
          <w:position w:val="6"/>
          <w:sz w:val="13"/>
        </w:rPr>
        <w:t>24</w:t>
      </w:r>
    </w:p>
    <w:p w14:paraId="77C721FC" w14:textId="77777777" w:rsidR="00F41911" w:rsidRDefault="00FE087E">
      <w:pPr>
        <w:pStyle w:val="ListParagraph"/>
        <w:numPr>
          <w:ilvl w:val="0"/>
          <w:numId w:val="9"/>
        </w:numPr>
        <w:tabs>
          <w:tab w:val="left" w:pos="1559"/>
          <w:tab w:val="left" w:pos="1561"/>
        </w:tabs>
        <w:ind w:right="120" w:firstLine="720"/>
      </w:pPr>
      <w:r>
        <w:t>Applications such as the use of in-cabin automotive radars represent one of the many uses that parties have identified as being well suited for development in the 57-71 GHz band if the</w:t>
      </w:r>
      <w:r>
        <w:rPr>
          <w:spacing w:val="-22"/>
        </w:rPr>
        <w:t xml:space="preserve"> </w:t>
      </w:r>
      <w:r>
        <w:t>Section</w:t>
      </w:r>
    </w:p>
    <w:p w14:paraId="2D6FC912" w14:textId="77777777" w:rsidR="00F41911" w:rsidRDefault="00FE087E">
      <w:pPr>
        <w:pStyle w:val="BodyText"/>
        <w:ind w:left="120" w:right="227"/>
      </w:pPr>
      <w:r>
        <w:t>15.255 rules were amended to permit expanded mobile radar use. The Commission has received additional waiver requests asking for permission, for example, to install a radar on the exterior of a vehicle to enable closure of a door by the detection of foot movement or hand gestures;</w:t>
      </w:r>
      <w:r>
        <w:rPr>
          <w:position w:val="6"/>
          <w:sz w:val="13"/>
        </w:rPr>
        <w:t xml:space="preserve">25 </w:t>
      </w:r>
      <w:r>
        <w:t>to operate 60 GHz radars in robotic lawn mowers,</w:t>
      </w:r>
      <w:r>
        <w:rPr>
          <w:position w:val="6"/>
          <w:sz w:val="13"/>
        </w:rPr>
        <w:t xml:space="preserve">26  </w:t>
      </w:r>
      <w:r>
        <w:t>or in personal safety wall-mount devices to detect changes in a</w:t>
      </w:r>
    </w:p>
    <w:p w14:paraId="34818025" w14:textId="77777777" w:rsidR="00F41911" w:rsidRDefault="00F41911">
      <w:pPr>
        <w:pStyle w:val="BodyText"/>
        <w:rPr>
          <w:sz w:val="20"/>
        </w:rPr>
      </w:pPr>
    </w:p>
    <w:p w14:paraId="671DE5A7" w14:textId="77777777" w:rsidR="00F41911" w:rsidRDefault="004D2E02">
      <w:pPr>
        <w:pStyle w:val="BodyText"/>
        <w:spacing w:before="5"/>
        <w:rPr>
          <w:sz w:val="18"/>
        </w:rPr>
      </w:pPr>
      <w:r>
        <w:pict w14:anchorId="2D88E6D3">
          <v:line id="_x0000_s1047" style="position:absolute;z-index:251648512;mso-wrap-distance-left:0;mso-wrap-distance-right:0;mso-position-horizontal-relative:page" from="1in,12.95pt" to="215.5pt,12.95pt" strokeweight=".72pt">
            <w10:wrap type="topAndBottom" anchorx="page"/>
          </v:line>
        </w:pict>
      </w:r>
    </w:p>
    <w:p w14:paraId="01002C30" w14:textId="77777777" w:rsidR="00F41911" w:rsidRDefault="00FE087E">
      <w:pPr>
        <w:spacing w:before="69"/>
        <w:ind w:left="120"/>
        <w:rPr>
          <w:sz w:val="20"/>
        </w:rPr>
      </w:pPr>
      <w:r>
        <w:rPr>
          <w:position w:val="6"/>
          <w:sz w:val="13"/>
        </w:rPr>
        <w:t xml:space="preserve">19  </w:t>
      </w:r>
      <w:r>
        <w:rPr>
          <w:i/>
          <w:sz w:val="20"/>
        </w:rPr>
        <w:t>Id</w:t>
      </w:r>
      <w:r>
        <w:rPr>
          <w:sz w:val="20"/>
        </w:rPr>
        <w:t>., 33 FCC Rcd at 12544, para. 6.</w:t>
      </w:r>
    </w:p>
    <w:p w14:paraId="7EABCBDB" w14:textId="77777777" w:rsidR="00F41911" w:rsidRDefault="00FE087E">
      <w:pPr>
        <w:spacing w:before="119"/>
        <w:ind w:left="120" w:right="227"/>
        <w:rPr>
          <w:sz w:val="20"/>
        </w:rPr>
      </w:pPr>
      <w:r>
        <w:rPr>
          <w:position w:val="6"/>
          <w:sz w:val="13"/>
        </w:rPr>
        <w:t xml:space="preserve">20 </w:t>
      </w:r>
      <w:r>
        <w:rPr>
          <w:sz w:val="20"/>
        </w:rPr>
        <w:t>The waiver permitted a 20 dB increase in the conducted power and a 3 dB increase in the EIRP over what the rules currently permit.</w:t>
      </w:r>
    </w:p>
    <w:p w14:paraId="1FB88706" w14:textId="77777777" w:rsidR="00F41911" w:rsidRDefault="00FE087E">
      <w:pPr>
        <w:spacing w:before="119"/>
        <w:ind w:left="120" w:right="123"/>
        <w:rPr>
          <w:sz w:val="20"/>
        </w:rPr>
      </w:pPr>
      <w:r>
        <w:rPr>
          <w:position w:val="6"/>
          <w:sz w:val="13"/>
        </w:rPr>
        <w:t xml:space="preserve">21 </w:t>
      </w:r>
      <w:r>
        <w:rPr>
          <w:i/>
          <w:sz w:val="20"/>
        </w:rPr>
        <w:t>Vayyar Imaging Ltd. Request for Waiver of Section 15.255(c)(3) of the Commission’s Rules for Radars used for Interactive Motion Sensing in the frequency band 57-64 GHz</w:t>
      </w:r>
      <w:r>
        <w:rPr>
          <w:sz w:val="20"/>
        </w:rPr>
        <w:t xml:space="preserve">, ET Docket Nos. 20-15, 20-121, 20-263, 20-264, 20- 435, and 20-434, Order, DA 21-407 (OET 2021). </w:t>
      </w:r>
      <w:r>
        <w:rPr>
          <w:i/>
          <w:sz w:val="20"/>
        </w:rPr>
        <w:t>See also</w:t>
      </w:r>
      <w:r>
        <w:rPr>
          <w:sz w:val="20"/>
        </w:rPr>
        <w:t xml:space="preserve">, </w:t>
      </w:r>
      <w:r>
        <w:rPr>
          <w:i/>
          <w:sz w:val="20"/>
        </w:rPr>
        <w:t>Petition of Faurecia Clarion Electronics North America regarding 47 CFR § 15.255</w:t>
      </w:r>
      <w:r>
        <w:rPr>
          <w:sz w:val="20"/>
        </w:rPr>
        <w:t xml:space="preserve">, Letter Order, DA 21-811 (OET Jul. 9, 2021); </w:t>
      </w:r>
      <w:r>
        <w:rPr>
          <w:i/>
          <w:sz w:val="20"/>
        </w:rPr>
        <w:t>Request by Texas Instruments Incorporated for Waiver of 47 CFR § 15.255(c)(3)</w:t>
      </w:r>
      <w:r>
        <w:rPr>
          <w:sz w:val="20"/>
        </w:rPr>
        <w:t xml:space="preserve">, Letter Order, DA 21-812 (OET Jul. 9, 2021); </w:t>
      </w:r>
      <w:r>
        <w:rPr>
          <w:i/>
          <w:sz w:val="20"/>
        </w:rPr>
        <w:t>Request by Amazon.com Services LLC for Waiver of 47 CFR § 15.255(c)(3)</w:t>
      </w:r>
      <w:r>
        <w:rPr>
          <w:sz w:val="20"/>
        </w:rPr>
        <w:t xml:space="preserve">, Letter Order, DA 21-813 (OET Jul. 9, 2021); </w:t>
      </w:r>
      <w:r>
        <w:rPr>
          <w:i/>
          <w:sz w:val="20"/>
        </w:rPr>
        <w:t>Request by Acconeer AB for Waiver of 47 CFR § 15.255(c)(3) rules</w:t>
      </w:r>
      <w:r>
        <w:rPr>
          <w:sz w:val="20"/>
        </w:rPr>
        <w:t xml:space="preserve">, Letter Order, DA 21-814 (OET Jul. 9, 2021); </w:t>
      </w:r>
      <w:r>
        <w:rPr>
          <w:i/>
          <w:sz w:val="20"/>
        </w:rPr>
        <w:t>Request by Vayyar Imaging Ltd. for Waiver of 47 CFR § 15.255 rules</w:t>
      </w:r>
      <w:r>
        <w:rPr>
          <w:sz w:val="20"/>
        </w:rPr>
        <w:t xml:space="preserve">, Letter Order, DA 21-815 (OET Jul. 9, 2021); </w:t>
      </w:r>
      <w:r>
        <w:rPr>
          <w:i/>
          <w:sz w:val="20"/>
        </w:rPr>
        <w:t>Request by Huyndai Mobis Co., Ltd. for Waiver of 47 CFR §§ 15.255(a)(2) &amp; (c)(3)</w:t>
      </w:r>
      <w:r>
        <w:rPr>
          <w:sz w:val="20"/>
        </w:rPr>
        <w:t>, Letter Order, DA 21-816 (OET Jul. 9, 2021).</w:t>
      </w:r>
    </w:p>
    <w:p w14:paraId="0520B6F1" w14:textId="77777777" w:rsidR="00F41911" w:rsidRDefault="00FE087E">
      <w:pPr>
        <w:spacing w:before="119"/>
        <w:ind w:left="120" w:right="2894"/>
        <w:rPr>
          <w:sz w:val="20"/>
        </w:rPr>
      </w:pPr>
      <w:r>
        <w:rPr>
          <w:position w:val="6"/>
          <w:sz w:val="13"/>
        </w:rPr>
        <w:t xml:space="preserve">22 </w:t>
      </w:r>
      <w:r>
        <w:rPr>
          <w:i/>
          <w:sz w:val="20"/>
        </w:rPr>
        <w:t>FCC Permits Hot-Car Sensors to Save Children</w:t>
      </w:r>
      <w:r>
        <w:rPr>
          <w:sz w:val="20"/>
        </w:rPr>
        <w:t>, Press Release (April 14, 2021) https:/</w:t>
      </w:r>
      <w:hyperlink r:id="rId15">
        <w:r>
          <w:rPr>
            <w:sz w:val="20"/>
          </w:rPr>
          <w:t>/www.fcc.gov/document/fcc-permits-hot-car-sensors-save-children.</w:t>
        </w:r>
      </w:hyperlink>
    </w:p>
    <w:p w14:paraId="5316F326" w14:textId="77777777" w:rsidR="00F41911" w:rsidRDefault="00FE087E">
      <w:pPr>
        <w:spacing w:before="119"/>
        <w:ind w:left="120"/>
        <w:rPr>
          <w:i/>
          <w:sz w:val="20"/>
        </w:rPr>
      </w:pPr>
      <w:r>
        <w:rPr>
          <w:position w:val="6"/>
          <w:sz w:val="13"/>
        </w:rPr>
        <w:t xml:space="preserve">23  </w:t>
      </w:r>
      <w:r>
        <w:rPr>
          <w:i/>
          <w:sz w:val="20"/>
        </w:rPr>
        <w:t>See, e.g.</w:t>
      </w:r>
      <w:r>
        <w:rPr>
          <w:sz w:val="20"/>
        </w:rPr>
        <w:t xml:space="preserve">, </w:t>
      </w:r>
      <w:r>
        <w:rPr>
          <w:i/>
          <w:sz w:val="20"/>
        </w:rPr>
        <w:t xml:space="preserve">Vayyar Imaging Ltd. Waiver Request </w:t>
      </w:r>
      <w:r>
        <w:rPr>
          <w:sz w:val="20"/>
        </w:rPr>
        <w:t xml:space="preserve">(filed Nov. 13, 2019); </w:t>
      </w:r>
      <w:r>
        <w:rPr>
          <w:i/>
          <w:sz w:val="20"/>
        </w:rPr>
        <w:t>Valeo North America, Inc. Waiver Request</w:t>
      </w:r>
    </w:p>
    <w:p w14:paraId="327ACA1A" w14:textId="77777777" w:rsidR="00F41911" w:rsidRDefault="00FE087E">
      <w:pPr>
        <w:ind w:left="120" w:right="607"/>
        <w:jc w:val="both"/>
        <w:rPr>
          <w:sz w:val="20"/>
        </w:rPr>
      </w:pPr>
      <w:r>
        <w:rPr>
          <w:sz w:val="20"/>
        </w:rPr>
        <w:t xml:space="preserve">(filed Mar. 31, 2020); </w:t>
      </w:r>
      <w:r>
        <w:rPr>
          <w:i/>
          <w:sz w:val="20"/>
        </w:rPr>
        <w:t xml:space="preserve">Infineon Technologies Americas Corp. Waiver Request </w:t>
      </w:r>
      <w:r>
        <w:rPr>
          <w:sz w:val="20"/>
        </w:rPr>
        <w:t xml:space="preserve">(filed July 23, 2020); </w:t>
      </w:r>
      <w:r>
        <w:rPr>
          <w:i/>
          <w:sz w:val="20"/>
        </w:rPr>
        <w:t xml:space="preserve">Tesla, Inc. Waiver Request </w:t>
      </w:r>
      <w:r>
        <w:rPr>
          <w:sz w:val="20"/>
        </w:rPr>
        <w:t xml:space="preserve">(filed July 31, 2020); </w:t>
      </w:r>
      <w:r>
        <w:rPr>
          <w:i/>
          <w:sz w:val="20"/>
        </w:rPr>
        <w:t xml:space="preserve">IEE Sensing Inc. Waiver Request </w:t>
      </w:r>
      <w:r>
        <w:rPr>
          <w:sz w:val="20"/>
        </w:rPr>
        <w:t xml:space="preserve">(filed Nov. 16, 2020); and </w:t>
      </w:r>
      <w:r>
        <w:rPr>
          <w:i/>
          <w:sz w:val="20"/>
        </w:rPr>
        <w:t xml:space="preserve">Brose North America, Inc. Waiver Request </w:t>
      </w:r>
      <w:r>
        <w:rPr>
          <w:sz w:val="20"/>
        </w:rPr>
        <w:t>(filed Nov. 25, 2020).</w:t>
      </w:r>
    </w:p>
    <w:p w14:paraId="2BA8245C" w14:textId="77777777" w:rsidR="00F41911" w:rsidRDefault="00FE087E">
      <w:pPr>
        <w:spacing w:before="120"/>
        <w:ind w:left="120" w:right="122"/>
        <w:rPr>
          <w:sz w:val="20"/>
        </w:rPr>
      </w:pPr>
      <w:r>
        <w:rPr>
          <w:position w:val="6"/>
          <w:sz w:val="13"/>
        </w:rPr>
        <w:t xml:space="preserve">24 </w:t>
      </w:r>
      <w:r>
        <w:rPr>
          <w:i/>
          <w:sz w:val="20"/>
        </w:rPr>
        <w:t>In the Matter of Leica Geosystems AG Request for Waiver of Section 15.255 of the Commission's Rules Applicable to Radars used on Unmanned Aerial Vehicles in the 60-64 GHz Frequency Band</w:t>
      </w:r>
      <w:r>
        <w:rPr>
          <w:sz w:val="20"/>
        </w:rPr>
        <w:t>, ET Docket No. 19-350, DA 20- 795, Order, FCC Rcd 7929 (2020).</w:t>
      </w:r>
    </w:p>
    <w:p w14:paraId="6C8799E3" w14:textId="77777777" w:rsidR="00F41911" w:rsidRDefault="00FE087E">
      <w:pPr>
        <w:spacing w:before="119"/>
        <w:ind w:left="120"/>
        <w:rPr>
          <w:sz w:val="20"/>
        </w:rPr>
      </w:pPr>
      <w:r>
        <w:rPr>
          <w:position w:val="6"/>
          <w:sz w:val="13"/>
        </w:rPr>
        <w:t xml:space="preserve">25  </w:t>
      </w:r>
      <w:r>
        <w:rPr>
          <w:i/>
          <w:sz w:val="20"/>
        </w:rPr>
        <w:t>Request by Acconeer AB for Waiver of 47 CFR § 15.255(c)(3) rules</w:t>
      </w:r>
      <w:r>
        <w:rPr>
          <w:sz w:val="20"/>
        </w:rPr>
        <w:t>, Letter Order, DA 21-814 (OET Jul. 9, 2021).</w:t>
      </w:r>
    </w:p>
    <w:p w14:paraId="292789B6" w14:textId="77777777" w:rsidR="00F41911" w:rsidRDefault="00FE087E">
      <w:pPr>
        <w:spacing w:before="119"/>
        <w:ind w:left="120"/>
        <w:rPr>
          <w:sz w:val="20"/>
        </w:rPr>
      </w:pPr>
      <w:r>
        <w:rPr>
          <w:position w:val="6"/>
          <w:sz w:val="13"/>
        </w:rPr>
        <w:t xml:space="preserve">26 </w:t>
      </w:r>
      <w:r>
        <w:rPr>
          <w:i/>
          <w:sz w:val="20"/>
        </w:rPr>
        <w:t xml:space="preserve">Husqvarna AB Request for Waiver of 47 CFR § 15.255(c)(3) for Collision Avoidance Radars </w:t>
      </w:r>
      <w:r>
        <w:rPr>
          <w:sz w:val="20"/>
        </w:rPr>
        <w:t>(filed Dec. 8, 2020).</w:t>
      </w:r>
    </w:p>
    <w:p w14:paraId="6CDAC27D" w14:textId="77777777" w:rsidR="00F41911" w:rsidRDefault="00F41911">
      <w:pPr>
        <w:rPr>
          <w:sz w:val="20"/>
        </w:rPr>
        <w:sectPr w:rsidR="00F41911">
          <w:pgSz w:w="12240" w:h="15840"/>
          <w:pgMar w:top="980" w:right="1320" w:bottom="960" w:left="1320" w:header="729" w:footer="713" w:gutter="0"/>
          <w:cols w:space="720"/>
        </w:sectPr>
      </w:pPr>
    </w:p>
    <w:p w14:paraId="1F64182B" w14:textId="77777777" w:rsidR="00F41911" w:rsidRDefault="00F41911">
      <w:pPr>
        <w:pStyle w:val="BodyText"/>
        <w:rPr>
          <w:sz w:val="20"/>
        </w:rPr>
      </w:pPr>
    </w:p>
    <w:p w14:paraId="5DFFECAE" w14:textId="77777777" w:rsidR="00F41911" w:rsidRDefault="00F41911">
      <w:pPr>
        <w:pStyle w:val="BodyText"/>
        <w:spacing w:before="6"/>
      </w:pPr>
    </w:p>
    <w:p w14:paraId="3E27BEDB" w14:textId="77777777" w:rsidR="00F41911" w:rsidRDefault="00FE087E">
      <w:pPr>
        <w:pStyle w:val="BodyText"/>
        <w:ind w:left="120" w:right="162"/>
      </w:pPr>
      <w:r>
        <w:t>person’s gait or a fall, and in 3D imaging equipment in healthcare environments.</w:t>
      </w:r>
      <w:r>
        <w:rPr>
          <w:position w:val="6"/>
          <w:sz w:val="13"/>
        </w:rPr>
        <w:t xml:space="preserve">27 </w:t>
      </w:r>
      <w:r>
        <w:t>In general, these requests have been consistent with the same technical parameters as the waiver granted to Google and are represented to occupy the same “spectrum footprint” as the Soli device.</w:t>
      </w:r>
      <w:r>
        <w:rPr>
          <w:position w:val="6"/>
          <w:sz w:val="13"/>
        </w:rPr>
        <w:t xml:space="preserve">28 </w:t>
      </w:r>
      <w:r>
        <w:t>The increased interest in use of the band and accompanying breadth of potential applications that parties have identified is a relatively recent development, attributable at least in part, we believe, to the availability of mass-produced chipsets that are capable of operating in the band,</w:t>
      </w:r>
      <w:r>
        <w:rPr>
          <w:position w:val="6"/>
          <w:sz w:val="13"/>
        </w:rPr>
        <w:t xml:space="preserve">29  </w:t>
      </w:r>
      <w:r>
        <w:t>as well as the prospect of marketing and operating these mobile radar devices on a broad international scale.</w:t>
      </w:r>
    </w:p>
    <w:p w14:paraId="15D1A3C3" w14:textId="77777777" w:rsidR="00F41911" w:rsidRDefault="00FE087E">
      <w:pPr>
        <w:pStyle w:val="ListParagraph"/>
        <w:numPr>
          <w:ilvl w:val="0"/>
          <w:numId w:val="9"/>
        </w:numPr>
        <w:tabs>
          <w:tab w:val="left" w:pos="1559"/>
          <w:tab w:val="left" w:pos="1561"/>
        </w:tabs>
        <w:ind w:right="166" w:firstLine="720"/>
        <w:rPr>
          <w:sz w:val="13"/>
        </w:rPr>
      </w:pPr>
      <w:r>
        <w:t>To that end, we note that operation at higher power than specified in our rules has been allowed in Europe under general rules for short-range devi</w:t>
      </w:r>
      <w:bookmarkStart w:id="2" w:name="_bookmark2"/>
      <w:bookmarkEnd w:id="2"/>
      <w:r>
        <w:t>ces.</w:t>
      </w:r>
      <w:r>
        <w:rPr>
          <w:position w:val="6"/>
          <w:sz w:val="13"/>
        </w:rPr>
        <w:t xml:space="preserve">30 </w:t>
      </w:r>
      <w:r>
        <w:t xml:space="preserve">A European Telecommunications Standards Institute (ETSI) standard, which has been in effect since 2014, permits short-range devices to operate in a portion of the 57-71 GHz band at power levels that exceed those for FDS - including those operating as SRIMS - under section 15.255 of the rules. Specifically, ETSI Standard EN 305 550 permits operation of short-range devices in the 57-64 GHz band at up to 20 dBm mean EIRP, while Section 15.255(c)(3) presently specifies that the peak EIRP level for FDS devices shall not exceed 10 </w:t>
      </w:r>
      <w:bookmarkStart w:id="3" w:name="_bookmark3"/>
      <w:bookmarkEnd w:id="3"/>
      <w:r>
        <w:t>dBm.</w:t>
      </w:r>
      <w:r>
        <w:rPr>
          <w:position w:val="6"/>
          <w:sz w:val="13"/>
        </w:rPr>
        <w:t xml:space="preserve">31 </w:t>
      </w:r>
      <w:r>
        <w:t>ETSI EN 305 550 also permits a maximum transmitter output power of 10 dBm, which is 20 dB greater than the level that Section 15.255(c)(3) permits in this band.</w:t>
      </w:r>
      <w:r>
        <w:rPr>
          <w:position w:val="6"/>
          <w:sz w:val="13"/>
        </w:rPr>
        <w:t xml:space="preserve">32 </w:t>
      </w:r>
      <w:r>
        <w:t>There are some additional differences between the US and European approaches. For example, the ETSI power limits are based on average measurements, whereas the Commission’s limits are based on peak power measurements.</w:t>
      </w:r>
      <w:r>
        <w:rPr>
          <w:position w:val="6"/>
          <w:sz w:val="13"/>
        </w:rPr>
        <w:t xml:space="preserve">33 </w:t>
      </w:r>
      <w:r>
        <w:t>In addition, ETSI EN 305 550 also requires short-range devices in the 57-64 GHz band to comply with a power spectral density (PSD) limit of 13 dBm/MHz, which the Commission’s rules do not include.</w:t>
      </w:r>
      <w:r>
        <w:rPr>
          <w:position w:val="6"/>
          <w:sz w:val="13"/>
        </w:rPr>
        <w:t xml:space="preserve">34 </w:t>
      </w:r>
      <w:r>
        <w:t>Finally, unlike the U.S, ETSI does not have a separate provision that allows for higher EIRP levels of up to 40 dBm for FDS in the 61.0-61.5 GHz band, nor does it provide for operation in the 64-71 GHz</w:t>
      </w:r>
      <w:r>
        <w:rPr>
          <w:spacing w:val="-12"/>
        </w:rPr>
        <w:t xml:space="preserve"> </w:t>
      </w:r>
      <w:r>
        <w:t>band.</w:t>
      </w:r>
      <w:r>
        <w:rPr>
          <w:position w:val="6"/>
          <w:sz w:val="13"/>
        </w:rPr>
        <w:t>35</w:t>
      </w:r>
    </w:p>
    <w:p w14:paraId="26843F44" w14:textId="77777777" w:rsidR="00F41911" w:rsidRDefault="00FE087E">
      <w:pPr>
        <w:pStyle w:val="ListParagraph"/>
        <w:numPr>
          <w:ilvl w:val="0"/>
          <w:numId w:val="9"/>
        </w:numPr>
        <w:tabs>
          <w:tab w:val="left" w:pos="1559"/>
          <w:tab w:val="left" w:pos="1561"/>
        </w:tabs>
        <w:ind w:right="461" w:firstLine="720"/>
      </w:pPr>
      <w:r>
        <w:t>The protocols for wireless systems operating in the 60 GHz band within the U.S. have been established by the Institute of Electrical and Electronics Engineers (IEEE) 802.11</w:t>
      </w:r>
      <w:r>
        <w:rPr>
          <w:spacing w:val="-11"/>
        </w:rPr>
        <w:t xml:space="preserve"> </w:t>
      </w:r>
      <w:r>
        <w:t>Standards</w:t>
      </w:r>
    </w:p>
    <w:p w14:paraId="3A7BDBDC" w14:textId="77777777" w:rsidR="00F41911" w:rsidRDefault="004D2E02">
      <w:pPr>
        <w:pStyle w:val="BodyText"/>
        <w:rPr>
          <w:sz w:val="28"/>
        </w:rPr>
      </w:pPr>
      <w:r>
        <w:pict w14:anchorId="780C036B">
          <v:line id="_x0000_s1046" style="position:absolute;z-index:251649536;mso-wrap-distance-left:0;mso-wrap-distance-right:0;mso-position-horizontal-relative:page" from="1in,18.45pt" to="215.5pt,18.45pt" strokeweight=".72pt">
            <w10:wrap type="topAndBottom" anchorx="page"/>
          </v:line>
        </w:pict>
      </w:r>
    </w:p>
    <w:p w14:paraId="3CAE5DB0" w14:textId="77777777" w:rsidR="00F41911" w:rsidRDefault="00FE087E">
      <w:pPr>
        <w:spacing w:before="69"/>
        <w:ind w:left="120" w:right="227"/>
        <w:rPr>
          <w:sz w:val="20"/>
        </w:rPr>
      </w:pPr>
      <w:r>
        <w:rPr>
          <w:position w:val="6"/>
          <w:sz w:val="13"/>
        </w:rPr>
        <w:t xml:space="preserve">27 </w:t>
      </w:r>
      <w:r>
        <w:rPr>
          <w:i/>
          <w:sz w:val="20"/>
        </w:rPr>
        <w:t>Request by Vayyar Imaging Ltd. for Waiver of 47 CFR § 15.255 rules</w:t>
      </w:r>
      <w:r>
        <w:rPr>
          <w:sz w:val="20"/>
        </w:rPr>
        <w:t>, Letter Order, DA 21-815 (OET Jul. 9, 2021).</w:t>
      </w:r>
    </w:p>
    <w:p w14:paraId="084D0FD1" w14:textId="77777777" w:rsidR="00F41911" w:rsidRDefault="00FE087E">
      <w:pPr>
        <w:spacing w:before="119"/>
        <w:ind w:left="120"/>
        <w:rPr>
          <w:sz w:val="20"/>
        </w:rPr>
      </w:pPr>
      <w:r>
        <w:rPr>
          <w:position w:val="6"/>
          <w:sz w:val="13"/>
        </w:rPr>
        <w:t xml:space="preserve">28  </w:t>
      </w:r>
      <w:r>
        <w:rPr>
          <w:i/>
          <w:sz w:val="20"/>
        </w:rPr>
        <w:t xml:space="preserve">See, e.g., id. </w:t>
      </w:r>
      <w:r>
        <w:rPr>
          <w:sz w:val="20"/>
        </w:rPr>
        <w:t>at 2.</w:t>
      </w:r>
    </w:p>
    <w:p w14:paraId="0F648777" w14:textId="77777777" w:rsidR="00F41911" w:rsidRDefault="00FE087E">
      <w:pPr>
        <w:spacing w:before="119"/>
        <w:ind w:left="120" w:right="219"/>
        <w:rPr>
          <w:sz w:val="20"/>
        </w:rPr>
      </w:pPr>
      <w:r>
        <w:rPr>
          <w:position w:val="6"/>
          <w:sz w:val="13"/>
        </w:rPr>
        <w:t xml:space="preserve">29 </w:t>
      </w:r>
      <w:r>
        <w:rPr>
          <w:i/>
          <w:sz w:val="20"/>
        </w:rPr>
        <w:t xml:space="preserve">See, e.g., </w:t>
      </w:r>
      <w:r>
        <w:rPr>
          <w:sz w:val="20"/>
        </w:rPr>
        <w:t xml:space="preserve">Texas Instruments, “3 ways radar technology is changing the in-cabin sensing market,” </w:t>
      </w:r>
      <w:hyperlink r:id="rId16">
        <w:r>
          <w:rPr>
            <w:color w:val="0000FF"/>
            <w:sz w:val="20"/>
            <w:u w:val="single" w:color="0000FF"/>
          </w:rPr>
          <w:t>https://e2e.ti.com/blogs_/b/behind_the_wheel/posts/3-ways-radar-technology-is-changing-the-in-cabin-sensing-</w:t>
        </w:r>
      </w:hyperlink>
      <w:r>
        <w:rPr>
          <w:color w:val="0000FF"/>
          <w:sz w:val="20"/>
          <w:u w:val="single" w:color="0000FF"/>
        </w:rPr>
        <w:t xml:space="preserve"> </w:t>
      </w:r>
      <w:hyperlink r:id="rId17">
        <w:r>
          <w:rPr>
            <w:color w:val="0000FF"/>
            <w:sz w:val="20"/>
            <w:u w:val="single" w:color="0000FF"/>
          </w:rPr>
          <w:t xml:space="preserve">market </w:t>
        </w:r>
      </w:hyperlink>
      <w:r>
        <w:rPr>
          <w:sz w:val="20"/>
        </w:rPr>
        <w:t>(May 4, 2020) (stating that TI offers scalable single-chip mmWave sensors in the 60-GHz band that are pin- to-pin and software-compatible).</w:t>
      </w:r>
    </w:p>
    <w:p w14:paraId="1EAD9F19" w14:textId="77777777" w:rsidR="00F41911" w:rsidRDefault="00FE087E">
      <w:pPr>
        <w:spacing w:before="119"/>
        <w:ind w:left="120" w:right="117"/>
        <w:rPr>
          <w:sz w:val="20"/>
        </w:rPr>
      </w:pPr>
      <w:r>
        <w:rPr>
          <w:position w:val="6"/>
          <w:sz w:val="13"/>
        </w:rPr>
        <w:t xml:space="preserve">30 </w:t>
      </w:r>
      <w:r>
        <w:rPr>
          <w:sz w:val="20"/>
        </w:rPr>
        <w:t xml:space="preserve">The European Telecommunications Standards Institute (ETSI) describes short-range devices (SRD) as radio transmitters that offer a low risk of interference with other radio services, usually because their transmitted power, and hence their range, is low. This definition “Short Range Device” can encompass many different types of wireless equipment, including but not limited to door and gate openers, alarms and movement detectors, medical implants, remote control devices.  </w:t>
      </w:r>
      <w:r>
        <w:rPr>
          <w:i/>
          <w:sz w:val="20"/>
        </w:rPr>
        <w:t xml:space="preserve">See </w:t>
      </w:r>
      <w:hyperlink r:id="rId18" w:anchor="%3A%7E%3Atext%3DStandards-%2CIntroduction%2Chence%20their%20range%2C%20is%20low">
        <w:r>
          <w:rPr>
            <w:color w:val="0000FF"/>
            <w:sz w:val="20"/>
            <w:u w:val="single" w:color="0000FF"/>
          </w:rPr>
          <w:t>https://www.etsi.org/technologies/short-range-devices#:~:text=Standards-</w:t>
        </w:r>
      </w:hyperlink>
    </w:p>
    <w:p w14:paraId="05BD44C6" w14:textId="77777777" w:rsidR="00F41911" w:rsidRDefault="004D2E02">
      <w:pPr>
        <w:ind w:left="120" w:right="182"/>
        <w:rPr>
          <w:sz w:val="20"/>
        </w:rPr>
      </w:pPr>
      <w:hyperlink r:id="rId19" w:anchor="%3A%7E%3Atext%3DStandards-%2CIntroduction%2Chence%20their%20range%2C%20is%20low">
        <w:r w:rsidR="00FE087E">
          <w:rPr>
            <w:color w:val="0000FF"/>
            <w:sz w:val="20"/>
            <w:u w:val="single" w:color="0000FF"/>
          </w:rPr>
          <w:t>,Introduction,hence%20their%20range%2C%20is%20low</w:t>
        </w:r>
      </w:hyperlink>
      <w:r w:rsidR="00FE087E">
        <w:rPr>
          <w:sz w:val="20"/>
        </w:rPr>
        <w:t xml:space="preserve">. ETSI regulations for SRD operating in the 57-64 GHz band are found in ETSI EN 305 550-1 V1.2.1 (2014-10), Clause 7.2.2, </w:t>
      </w:r>
      <w:hyperlink r:id="rId20">
        <w:r w:rsidR="00FE087E">
          <w:rPr>
            <w:color w:val="0000FF"/>
            <w:sz w:val="20"/>
            <w:u w:val="single" w:color="0000FF"/>
          </w:rPr>
          <w:t>https://www.etsi.org/deliver/etsi_en/305500_305599/30555001/01.02.01_60/en_30555001v010201p.pdf</w:t>
        </w:r>
      </w:hyperlink>
      <w:r w:rsidR="00FE087E">
        <w:rPr>
          <w:sz w:val="20"/>
        </w:rPr>
        <w:t xml:space="preserve">; 47 CFR § 15.255(c)(3). ETSI released an updated draft version of this standard in 2017 which has the same EIRP and PSD limits in the 57-64 GHz band as the 2014 version. </w:t>
      </w:r>
      <w:r w:rsidR="00FE087E">
        <w:rPr>
          <w:i/>
          <w:sz w:val="20"/>
        </w:rPr>
        <w:t xml:space="preserve">See </w:t>
      </w:r>
      <w:r w:rsidR="00FE087E">
        <w:rPr>
          <w:sz w:val="20"/>
        </w:rPr>
        <w:t xml:space="preserve">ETSI EN 305 550 V2.1.0 (2017-10), Clauses 4.3.3.3 and 4.3.4.3, </w:t>
      </w:r>
      <w:hyperlink r:id="rId21">
        <w:r w:rsidR="00FE087E">
          <w:rPr>
            <w:color w:val="0000FF"/>
            <w:sz w:val="20"/>
            <w:u w:val="single" w:color="0000FF"/>
          </w:rPr>
          <w:t>https://www.etsi.org/deliver/etsi_en/305500_305599/305550/02.01.00_20/en_305550v020100a.pdf.</w:t>
        </w:r>
      </w:hyperlink>
    </w:p>
    <w:p w14:paraId="4904065E" w14:textId="77777777" w:rsidR="00F41911" w:rsidRDefault="00FE087E">
      <w:pPr>
        <w:spacing w:before="120"/>
        <w:ind w:left="120"/>
        <w:rPr>
          <w:sz w:val="20"/>
        </w:rPr>
      </w:pPr>
      <w:r>
        <w:rPr>
          <w:position w:val="6"/>
          <w:sz w:val="13"/>
        </w:rPr>
        <w:t xml:space="preserve">31  </w:t>
      </w:r>
      <w:r>
        <w:rPr>
          <w:sz w:val="20"/>
        </w:rPr>
        <w:t>ETSI EN 305 550-1 V1.2.1 (2014-10), Clause 7.2.2,</w:t>
      </w:r>
    </w:p>
    <w:p w14:paraId="3A7524F5" w14:textId="77777777" w:rsidR="00F41911" w:rsidRDefault="00FE087E">
      <w:pPr>
        <w:ind w:left="120"/>
        <w:rPr>
          <w:sz w:val="20"/>
        </w:rPr>
      </w:pPr>
      <w:r>
        <w:rPr>
          <w:sz w:val="20"/>
        </w:rPr>
        <w:t>https:/</w:t>
      </w:r>
      <w:hyperlink r:id="rId22">
        <w:r>
          <w:rPr>
            <w:sz w:val="20"/>
          </w:rPr>
          <w:t>/www.etsi.org/deliver/etsi_en/305500_305599/30555001/01.02.01_60/en_30555001v010201p.pdf.</w:t>
        </w:r>
      </w:hyperlink>
    </w:p>
    <w:p w14:paraId="3B17988E" w14:textId="77777777" w:rsidR="00F41911" w:rsidRDefault="00FE087E">
      <w:pPr>
        <w:spacing w:before="120"/>
        <w:ind w:left="120"/>
        <w:rPr>
          <w:sz w:val="20"/>
        </w:rPr>
      </w:pPr>
      <w:r>
        <w:rPr>
          <w:position w:val="6"/>
          <w:sz w:val="13"/>
        </w:rPr>
        <w:t xml:space="preserve">32  </w:t>
      </w:r>
      <w:r>
        <w:rPr>
          <w:sz w:val="20"/>
        </w:rPr>
        <w:t>47 CFR § 15.255(c)(3).</w:t>
      </w:r>
    </w:p>
    <w:p w14:paraId="1344595A" w14:textId="77777777" w:rsidR="00F41911" w:rsidRDefault="00FE087E">
      <w:pPr>
        <w:spacing w:before="119"/>
        <w:ind w:left="120"/>
        <w:rPr>
          <w:sz w:val="20"/>
        </w:rPr>
      </w:pPr>
      <w:r>
        <w:rPr>
          <w:position w:val="6"/>
          <w:sz w:val="13"/>
        </w:rPr>
        <w:t xml:space="preserve">33  </w:t>
      </w:r>
      <w:r>
        <w:rPr>
          <w:sz w:val="20"/>
        </w:rPr>
        <w:t>ETSI EN 305 550-1, Clause 7.2.2; 47 CFR § 15.255(c)(3).</w:t>
      </w:r>
    </w:p>
    <w:p w14:paraId="40249C66" w14:textId="77777777" w:rsidR="00F41911" w:rsidRDefault="00FE087E">
      <w:pPr>
        <w:spacing w:before="119"/>
        <w:ind w:left="120"/>
        <w:rPr>
          <w:sz w:val="20"/>
        </w:rPr>
      </w:pPr>
      <w:r>
        <w:rPr>
          <w:position w:val="6"/>
          <w:sz w:val="13"/>
        </w:rPr>
        <w:t xml:space="preserve">34  </w:t>
      </w:r>
      <w:r>
        <w:rPr>
          <w:sz w:val="20"/>
        </w:rPr>
        <w:t>ETSI EN 305 550-1, Clause 7.1.2.</w:t>
      </w:r>
    </w:p>
    <w:p w14:paraId="5790D290" w14:textId="77777777" w:rsidR="00F41911" w:rsidRDefault="00FE087E">
      <w:pPr>
        <w:spacing w:before="119"/>
        <w:ind w:left="120"/>
        <w:rPr>
          <w:sz w:val="20"/>
        </w:rPr>
      </w:pPr>
      <w:r>
        <w:rPr>
          <w:position w:val="6"/>
          <w:sz w:val="13"/>
        </w:rPr>
        <w:t xml:space="preserve">35  </w:t>
      </w:r>
      <w:r>
        <w:rPr>
          <w:sz w:val="20"/>
        </w:rPr>
        <w:t>47 CFR § 15.255(c).</w:t>
      </w:r>
    </w:p>
    <w:p w14:paraId="69EAD286" w14:textId="77777777" w:rsidR="00F41911" w:rsidRDefault="00F41911">
      <w:pPr>
        <w:rPr>
          <w:sz w:val="20"/>
        </w:rPr>
        <w:sectPr w:rsidR="00F41911">
          <w:pgSz w:w="12240" w:h="15840"/>
          <w:pgMar w:top="980" w:right="1320" w:bottom="960" w:left="1320" w:header="729" w:footer="713" w:gutter="0"/>
          <w:cols w:space="720"/>
        </w:sectPr>
      </w:pPr>
    </w:p>
    <w:p w14:paraId="709B5451" w14:textId="77777777" w:rsidR="00F41911" w:rsidRDefault="00F41911">
      <w:pPr>
        <w:pStyle w:val="BodyText"/>
        <w:rPr>
          <w:sz w:val="20"/>
        </w:rPr>
      </w:pPr>
    </w:p>
    <w:p w14:paraId="11FE8803" w14:textId="77777777" w:rsidR="00F41911" w:rsidRDefault="00F41911">
      <w:pPr>
        <w:pStyle w:val="BodyText"/>
        <w:spacing w:before="6"/>
      </w:pPr>
    </w:p>
    <w:p w14:paraId="6CB493CF" w14:textId="77777777" w:rsidR="00F41911" w:rsidRDefault="00FE087E">
      <w:pPr>
        <w:pStyle w:val="BodyText"/>
        <w:ind w:left="120" w:right="149"/>
        <w:rPr>
          <w:sz w:val="13"/>
        </w:rPr>
      </w:pPr>
      <w:r>
        <w:t>Committee.</w:t>
      </w:r>
      <w:r>
        <w:rPr>
          <w:position w:val="6"/>
          <w:sz w:val="13"/>
        </w:rPr>
        <w:t xml:space="preserve">36 </w:t>
      </w:r>
      <w:r>
        <w:t>These protocols are often referred to as “WiGig,” named for the former Wireless Gigabit Alliance which advocated for their development.</w:t>
      </w:r>
      <w:r>
        <w:rPr>
          <w:position w:val="6"/>
          <w:sz w:val="13"/>
        </w:rPr>
        <w:t xml:space="preserve">37  </w:t>
      </w:r>
      <w:r>
        <w:t>The current IEEE 802.11ad standard allows for channel sizes of up to 2.16 gigahertz in the 60 GHz band, which support a data rate of up to 8 gigabits per second and permits a total of six channels in the 57-71 GHz band available in the United States.</w:t>
      </w:r>
      <w:r>
        <w:rPr>
          <w:position w:val="6"/>
          <w:sz w:val="13"/>
        </w:rPr>
        <w:t xml:space="preserve">38 </w:t>
      </w:r>
      <w:r>
        <w:t xml:space="preserve">Furthermore, there are IEEE 802.11 working groups with ongoing activities to define the channel access protocols to enable the same 60 GHz system transmitting communication signals to transmit radar </w:t>
      </w:r>
      <w:bookmarkStart w:id="4" w:name="_bookmark4"/>
      <w:bookmarkEnd w:id="4"/>
      <w:r>
        <w:t>signals.</w:t>
      </w:r>
      <w:r>
        <w:rPr>
          <w:position w:val="6"/>
          <w:sz w:val="13"/>
        </w:rPr>
        <w:t>39</w:t>
      </w:r>
    </w:p>
    <w:p w14:paraId="6697594B" w14:textId="77777777" w:rsidR="00F41911" w:rsidRDefault="00FE087E">
      <w:pPr>
        <w:pStyle w:val="ListParagraph"/>
        <w:numPr>
          <w:ilvl w:val="0"/>
          <w:numId w:val="9"/>
        </w:numPr>
        <w:tabs>
          <w:tab w:val="left" w:pos="1559"/>
          <w:tab w:val="left" w:pos="1561"/>
        </w:tabs>
        <w:ind w:right="130" w:firstLine="720"/>
      </w:pPr>
      <w:r>
        <w:t xml:space="preserve">The ongoing interest in expanding the scope of permissible unlicensed operations in the 60 GHz band has prompted interested parties to form a 60 GHz Coexistence Study Group that has been looking into ways to accommodate both unlicensed communications device and FDS operations in the band. This group, which has attracted the active participation of many key members of the industry and meets on a regular basis, operates independently of the Commission. Members of this group, however, have submitted comments and </w:t>
      </w:r>
      <w:r>
        <w:rPr>
          <w:i/>
        </w:rPr>
        <w:t xml:space="preserve">ex parte </w:t>
      </w:r>
      <w:r>
        <w:t>filings in conjunction with many of the recent waiver proceedings. In general, these submissions have documented the parties’ interest in 60 GHz unlicensed operations and have encouraged us to initiate a rulemaking proceeding to review section 15.255 of the rules with a goal of putting into place a new framework to promote further innovation in the 60 GHz band by both unlicensed communications and FDS</w:t>
      </w:r>
      <w:r>
        <w:rPr>
          <w:spacing w:val="-7"/>
        </w:rPr>
        <w:t xml:space="preserve"> </w:t>
      </w:r>
      <w:r>
        <w:t>operations.</w:t>
      </w:r>
    </w:p>
    <w:p w14:paraId="57497E11" w14:textId="77777777" w:rsidR="00F41911" w:rsidRDefault="00FE087E">
      <w:pPr>
        <w:pStyle w:val="ListParagraph"/>
        <w:numPr>
          <w:ilvl w:val="0"/>
          <w:numId w:val="9"/>
        </w:numPr>
        <w:tabs>
          <w:tab w:val="left" w:pos="1559"/>
          <w:tab w:val="left" w:pos="1561"/>
        </w:tabs>
        <w:ind w:right="233" w:firstLine="720"/>
      </w:pPr>
      <w:r>
        <w:t>Finally, the 2020 panel of the FCC’s Technological Advisory Council (TAC)</w:t>
      </w:r>
      <w:r>
        <w:rPr>
          <w:position w:val="6"/>
          <w:sz w:val="13"/>
        </w:rPr>
        <w:t xml:space="preserve">40 </w:t>
      </w:r>
      <w:r>
        <w:t>took notice of the 60 GHz Coexistence Study Group when its Future of Unlicensed Operations working group examined ways to improve regulations for the 60 GHz band. As part of the TAC’s January 14, 2021 meeting, the working group recommended that the Commission initiate a rulemaking proceeding</w:t>
      </w:r>
      <w:r>
        <w:rPr>
          <w:spacing w:val="-18"/>
        </w:rPr>
        <w:t xml:space="preserve"> </w:t>
      </w:r>
      <w:r>
        <w:t>to</w:t>
      </w:r>
    </w:p>
    <w:p w14:paraId="39763AA0" w14:textId="77777777" w:rsidR="00F41911" w:rsidRDefault="00F41911">
      <w:pPr>
        <w:pStyle w:val="BodyText"/>
        <w:rPr>
          <w:sz w:val="20"/>
        </w:rPr>
      </w:pPr>
    </w:p>
    <w:p w14:paraId="07B3EDE9" w14:textId="77777777" w:rsidR="00F41911" w:rsidRDefault="00F41911">
      <w:pPr>
        <w:pStyle w:val="BodyText"/>
        <w:rPr>
          <w:sz w:val="20"/>
        </w:rPr>
      </w:pPr>
    </w:p>
    <w:p w14:paraId="1CBAB8B2" w14:textId="77777777" w:rsidR="00F41911" w:rsidRDefault="00F41911">
      <w:pPr>
        <w:pStyle w:val="BodyText"/>
        <w:rPr>
          <w:sz w:val="20"/>
        </w:rPr>
      </w:pPr>
    </w:p>
    <w:p w14:paraId="424C4F38" w14:textId="77777777" w:rsidR="00F41911" w:rsidRDefault="004D2E02">
      <w:pPr>
        <w:pStyle w:val="BodyText"/>
        <w:spacing w:before="8"/>
        <w:rPr>
          <w:sz w:val="15"/>
        </w:rPr>
      </w:pPr>
      <w:r>
        <w:pict w14:anchorId="7FEC06BE">
          <v:line id="_x0000_s1045" style="position:absolute;z-index:251650560;mso-wrap-distance-left:0;mso-wrap-distance-right:0;mso-position-horizontal-relative:page" from="1in,11.4pt" to="215.5pt,11.4pt" strokeweight=".72pt">
            <w10:wrap type="topAndBottom" anchorx="page"/>
          </v:line>
        </w:pict>
      </w:r>
    </w:p>
    <w:p w14:paraId="0487E6EC" w14:textId="77777777" w:rsidR="00F41911" w:rsidRDefault="00FE087E">
      <w:pPr>
        <w:spacing w:before="69"/>
        <w:ind w:left="120" w:right="185"/>
        <w:rPr>
          <w:sz w:val="20"/>
        </w:rPr>
      </w:pPr>
      <w:r>
        <w:rPr>
          <w:position w:val="6"/>
          <w:sz w:val="13"/>
        </w:rPr>
        <w:t xml:space="preserve">36 </w:t>
      </w:r>
      <w:r>
        <w:rPr>
          <w:sz w:val="20"/>
        </w:rPr>
        <w:t xml:space="preserve">"IEEE Standard for Information Technology--Telecommunications and Information Exchange between Systems - Local and Metropolitan Area Networks--Specific Requirements - Part 11: Wireless LAN Medium Access Control (MAC) and Physical Layer (PHY) Specifications," in </w:t>
      </w:r>
      <w:r>
        <w:rPr>
          <w:i/>
          <w:sz w:val="20"/>
        </w:rPr>
        <w:t>IEEE Std 802.11-2020 (Revision of IEEE Std 802.11-2016)</w:t>
      </w:r>
      <w:r>
        <w:rPr>
          <w:sz w:val="20"/>
        </w:rPr>
        <w:t>, vol., no., pp.1-4379, 26 Feb. 2021, doi: 10.1109/IEEESTD.2021.9363693.</w:t>
      </w:r>
    </w:p>
    <w:p w14:paraId="6CB29B76" w14:textId="77777777" w:rsidR="00F41911" w:rsidRDefault="00FE087E">
      <w:pPr>
        <w:spacing w:before="119"/>
        <w:ind w:left="120" w:right="911"/>
        <w:rPr>
          <w:sz w:val="20"/>
        </w:rPr>
      </w:pPr>
      <w:r>
        <w:rPr>
          <w:position w:val="6"/>
          <w:sz w:val="13"/>
        </w:rPr>
        <w:t xml:space="preserve">37 </w:t>
      </w:r>
      <w:r>
        <w:rPr>
          <w:sz w:val="20"/>
        </w:rPr>
        <w:t xml:space="preserve">The Wireless Gigabit Alliance merged with the WiFi Alliance in 2013. </w:t>
      </w:r>
      <w:r>
        <w:rPr>
          <w:i/>
          <w:sz w:val="20"/>
        </w:rPr>
        <w:t xml:space="preserve">See </w:t>
      </w:r>
      <w:hyperlink r:id="rId23">
        <w:r>
          <w:rPr>
            <w:color w:val="0000FF"/>
            <w:sz w:val="20"/>
            <w:u w:val="single" w:color="0000FF"/>
          </w:rPr>
          <w:t>https://www.wi-fi.org/news-</w:t>
        </w:r>
      </w:hyperlink>
      <w:r>
        <w:rPr>
          <w:color w:val="0000FF"/>
          <w:sz w:val="20"/>
          <w:u w:val="single" w:color="0000FF"/>
        </w:rPr>
        <w:t xml:space="preserve"> </w:t>
      </w:r>
      <w:hyperlink r:id="rId24">
        <w:r>
          <w:rPr>
            <w:color w:val="0000FF"/>
            <w:sz w:val="20"/>
            <w:u w:val="single" w:color="0000FF"/>
          </w:rPr>
          <w:t>events/newsroom/wi-fi-alliance-and-wireless-gigabit-alliance-to-unify</w:t>
        </w:r>
      </w:hyperlink>
      <w:r>
        <w:rPr>
          <w:sz w:val="20"/>
        </w:rPr>
        <w:t>.</w:t>
      </w:r>
    </w:p>
    <w:p w14:paraId="1B02F2C2" w14:textId="77777777" w:rsidR="00F41911" w:rsidRDefault="00FE087E">
      <w:pPr>
        <w:spacing w:before="119"/>
        <w:ind w:left="120" w:right="156"/>
        <w:rPr>
          <w:sz w:val="20"/>
        </w:rPr>
      </w:pPr>
      <w:r>
        <w:rPr>
          <w:position w:val="6"/>
          <w:sz w:val="13"/>
        </w:rPr>
        <w:t xml:space="preserve">38  </w:t>
      </w:r>
      <w:r>
        <w:rPr>
          <w:sz w:val="20"/>
        </w:rPr>
        <w:t xml:space="preserve">IEEE is currently working on an amendment to this standard, IEEE P802.11ay, which would modify the provisions for 60 GHz systems to allow bonding of multiple 2.16 gigahertz channels and which could increase the maximum possible data rate to approximately 20 to 40 gigabits per second. </w:t>
      </w:r>
      <w:r>
        <w:rPr>
          <w:i/>
          <w:sz w:val="20"/>
        </w:rPr>
        <w:t xml:space="preserve">See </w:t>
      </w:r>
      <w:r>
        <w:rPr>
          <w:sz w:val="20"/>
        </w:rPr>
        <w:t xml:space="preserve">“IEEE Draft Standard for Information Technology-Telecommunications and Information Exchange Between Systems - Local and Metropolitan Area Networks-Specific Requirements Part 11: Wireless LAN Medium Access Control (MAC) and Physical Layer (PHY) Specifications-Amendment 2: Enhanced Throughput for Operation in License-Exempt Bands Above 45 GHz,” </w:t>
      </w:r>
      <w:r>
        <w:rPr>
          <w:i/>
          <w:sz w:val="20"/>
        </w:rPr>
        <w:t>in IEEE P802.11ay/D7.0</w:t>
      </w:r>
      <w:r>
        <w:rPr>
          <w:sz w:val="20"/>
        </w:rPr>
        <w:t>, December 2020 , vol., no., pp.1-784, 11 Dec. 2020.</w:t>
      </w:r>
    </w:p>
    <w:p w14:paraId="5B27BDBD" w14:textId="77777777" w:rsidR="00F41911" w:rsidRDefault="00FE087E">
      <w:pPr>
        <w:spacing w:before="119"/>
        <w:ind w:left="120" w:right="166"/>
        <w:rPr>
          <w:sz w:val="20"/>
        </w:rPr>
      </w:pPr>
      <w:r>
        <w:rPr>
          <w:position w:val="6"/>
          <w:sz w:val="13"/>
        </w:rPr>
        <w:t xml:space="preserve">39 </w:t>
      </w:r>
      <w:r>
        <w:rPr>
          <w:sz w:val="20"/>
        </w:rPr>
        <w:t>IEEE 802.11 working papers describe that “…the same waveforms (PPDUs) that are used in 60 GHz WLAN may be used as radars pulses, with high efficiency. This is due to the high bandwidth of the signals and fact that some of the fields of the PPDU enable accurate channel estimation with high time resolution. The advantage of using these waveforms for [sic] radar signal is that they are compatible with 802.11 signals at the same band. A device that receives these PPDUs will respect them as it estimates CCA and will know exactly when to expect the end of the waveform.  A radar based on 802.11 devices operating in this band shall also respect the medium access rules of</w:t>
      </w:r>
    </w:p>
    <w:p w14:paraId="1EA6DD85" w14:textId="77777777" w:rsidR="00F41911" w:rsidRDefault="00FE087E">
      <w:pPr>
        <w:ind w:left="120" w:right="163"/>
        <w:rPr>
          <w:sz w:val="20"/>
        </w:rPr>
      </w:pPr>
      <w:r>
        <w:rPr>
          <w:sz w:val="20"/>
        </w:rPr>
        <w:t xml:space="preserve">802.11 devices and respect their transmission. Therefore, we can achieve better coexistence between radars and WLAN devices.” </w:t>
      </w:r>
      <w:r>
        <w:rPr>
          <w:i/>
          <w:sz w:val="20"/>
        </w:rPr>
        <w:t xml:space="preserve">See </w:t>
      </w:r>
      <w:r>
        <w:rPr>
          <w:sz w:val="20"/>
        </w:rPr>
        <w:t xml:space="preserve">IEEE 802.11-18/2095r1, Nov. 2018, at </w:t>
      </w:r>
      <w:hyperlink r:id="rId25">
        <w:r>
          <w:rPr>
            <w:color w:val="0000FF"/>
            <w:sz w:val="20"/>
            <w:u w:val="single" w:color="0000FF"/>
          </w:rPr>
          <w:t xml:space="preserve">https://mentor.ieee.org/802.11/dcn/18/11-18-2095-01- </w:t>
        </w:r>
      </w:hyperlink>
      <w:hyperlink r:id="rId26">
        <w:r>
          <w:rPr>
            <w:color w:val="0000FF"/>
            <w:sz w:val="20"/>
            <w:u w:val="single" w:color="0000FF"/>
          </w:rPr>
          <w:t>00ay-wlan-radar-annex.docx</w:t>
        </w:r>
      </w:hyperlink>
      <w:r>
        <w:rPr>
          <w:sz w:val="20"/>
        </w:rPr>
        <w:t>.</w:t>
      </w:r>
    </w:p>
    <w:p w14:paraId="028CF357" w14:textId="77777777" w:rsidR="00F41911" w:rsidRDefault="00FE087E">
      <w:pPr>
        <w:spacing w:before="120"/>
        <w:ind w:left="120" w:right="369"/>
        <w:rPr>
          <w:i/>
          <w:sz w:val="20"/>
        </w:rPr>
      </w:pPr>
      <w:r>
        <w:rPr>
          <w:position w:val="6"/>
          <w:sz w:val="13"/>
        </w:rPr>
        <w:t xml:space="preserve">40 </w:t>
      </w:r>
      <w:r>
        <w:rPr>
          <w:sz w:val="20"/>
        </w:rPr>
        <w:t xml:space="preserve">The FCC’s Technological Advisory Council (TAC), which is organized under the authority of the </w:t>
      </w:r>
      <w:hyperlink r:id="rId27">
        <w:r>
          <w:rPr>
            <w:sz w:val="20"/>
          </w:rPr>
          <w:t>Federal</w:t>
        </w:r>
      </w:hyperlink>
      <w:r>
        <w:rPr>
          <w:sz w:val="20"/>
        </w:rPr>
        <w:t xml:space="preserve"> </w:t>
      </w:r>
      <w:hyperlink r:id="rId28">
        <w:r>
          <w:rPr>
            <w:sz w:val="20"/>
          </w:rPr>
          <w:t>Advisory Committee Act,</w:t>
        </w:r>
      </w:hyperlink>
      <w:r>
        <w:rPr>
          <w:sz w:val="20"/>
        </w:rPr>
        <w:t xml:space="preserve"> is comprised of a </w:t>
      </w:r>
      <w:hyperlink r:id="rId29">
        <w:r>
          <w:rPr>
            <w:sz w:val="20"/>
          </w:rPr>
          <w:t>diverse array of leading experts</w:t>
        </w:r>
      </w:hyperlink>
      <w:r>
        <w:rPr>
          <w:sz w:val="20"/>
        </w:rPr>
        <w:t xml:space="preserve"> that helps the FCC identify important areas of innovation and develop informed technology policies supporting America’s competitiveness and job creation in the global economy provides technical advice to the FCC. </w:t>
      </w:r>
      <w:r>
        <w:rPr>
          <w:i/>
          <w:sz w:val="20"/>
        </w:rPr>
        <w:t xml:space="preserve">See </w:t>
      </w:r>
      <w:hyperlink r:id="rId30">
        <w:r>
          <w:rPr>
            <w:i/>
            <w:color w:val="0000FF"/>
            <w:sz w:val="20"/>
            <w:u w:val="single" w:color="0000FF"/>
          </w:rPr>
          <w:t>https://www.fcc.gov/general/technological-advisory-council</w:t>
        </w:r>
      </w:hyperlink>
      <w:r>
        <w:rPr>
          <w:i/>
          <w:sz w:val="20"/>
        </w:rPr>
        <w:t>.</w:t>
      </w:r>
    </w:p>
    <w:p w14:paraId="745FF0AC" w14:textId="77777777" w:rsidR="00F41911" w:rsidRDefault="00F41911">
      <w:pPr>
        <w:rPr>
          <w:sz w:val="20"/>
        </w:rPr>
        <w:sectPr w:rsidR="00F41911">
          <w:pgSz w:w="12240" w:h="15840"/>
          <w:pgMar w:top="980" w:right="1320" w:bottom="960" w:left="1320" w:header="729" w:footer="713" w:gutter="0"/>
          <w:cols w:space="720"/>
        </w:sectPr>
      </w:pPr>
    </w:p>
    <w:p w14:paraId="1FA0ECCD" w14:textId="77777777" w:rsidR="00F41911" w:rsidRDefault="00F41911">
      <w:pPr>
        <w:pStyle w:val="BodyText"/>
        <w:rPr>
          <w:i/>
          <w:sz w:val="20"/>
        </w:rPr>
      </w:pPr>
    </w:p>
    <w:p w14:paraId="7BA937AE" w14:textId="77777777" w:rsidR="00F41911" w:rsidRDefault="00F41911">
      <w:pPr>
        <w:pStyle w:val="BodyText"/>
        <w:spacing w:before="6"/>
        <w:rPr>
          <w:i/>
        </w:rPr>
      </w:pPr>
    </w:p>
    <w:p w14:paraId="25CA0BCB" w14:textId="77777777" w:rsidR="00F41911" w:rsidRDefault="00FE087E">
      <w:pPr>
        <w:pStyle w:val="BodyText"/>
        <w:ind w:left="120" w:right="124"/>
        <w:rPr>
          <w:sz w:val="13"/>
        </w:rPr>
      </w:pPr>
      <w:r>
        <w:t>examine the 60 GHz rules in Section 15.255 to address issues raised by the numerous waiver requests that had been fi</w:t>
      </w:r>
      <w:bookmarkStart w:id="5" w:name="_bookmark5"/>
      <w:bookmarkEnd w:id="5"/>
      <w:r>
        <w:t>led.</w:t>
      </w:r>
      <w:r>
        <w:rPr>
          <w:position w:val="6"/>
          <w:sz w:val="13"/>
        </w:rPr>
        <w:t>41</w:t>
      </w:r>
    </w:p>
    <w:p w14:paraId="53332EB5" w14:textId="77777777" w:rsidR="00F41911" w:rsidRDefault="00FE087E">
      <w:pPr>
        <w:pStyle w:val="Heading1"/>
        <w:numPr>
          <w:ilvl w:val="0"/>
          <w:numId w:val="10"/>
        </w:numPr>
        <w:tabs>
          <w:tab w:val="left" w:pos="839"/>
          <w:tab w:val="left" w:pos="841"/>
        </w:tabs>
        <w:spacing w:before="120"/>
        <w:ind w:hanging="720"/>
      </w:pPr>
      <w:r>
        <w:t>DISCUSSION</w:t>
      </w:r>
    </w:p>
    <w:p w14:paraId="6D93A5ED" w14:textId="77777777" w:rsidR="00F41911" w:rsidRDefault="00FE087E">
      <w:pPr>
        <w:pStyle w:val="ListParagraph"/>
        <w:numPr>
          <w:ilvl w:val="0"/>
          <w:numId w:val="9"/>
        </w:numPr>
        <w:tabs>
          <w:tab w:val="left" w:pos="1559"/>
          <w:tab w:val="left" w:pos="1561"/>
        </w:tabs>
        <w:ind w:right="138" w:firstLine="720"/>
      </w:pPr>
      <w:r>
        <w:t>We believe that there are significant benefits in initiating this rulemaking proceeding, and we agree with the TAC and other parties that have urged us to comprehensively evaluate unlicensed operations under Section 15.255 of our rules. We realize that past individual waivers have served as an important “relief valve” that allow for unique types of operations that have important public interest benefits and that do not result in harmful interference to incumbent licensed users or jeopardize coexistence with other unlicensed users but do not comply with our rules. However, they are an inappropriate mechanism for providing the type of broad-based relief that we consider here.  Together, the overwhelming interest in FDS operations in the 60 GHz band, the breadth of deployments that parties have identified, and the opportunities for innovation that will be made possible by the availability of relatively inexpensive application-agnostic FDS-capable chipsets make our initiation of a rulemaking proceeding both timely and appropriate. In recognition that unencumbered unlicensed operation has proven to be an especially powerful engine for innovation and economic growth, our proposals are designed to expand the opportunities for unlicensed FDS operations in the band to the greatest extent possible. At the same time, our proposals are also designed to provide assurance that the unlicensed communications devices that have been permitted to use the band since it was first made available for unlicensed operations will be able to coexist with these new unlicensed operations. And, in all cases, our proposals remain true to the bedrock principle that unlicensed devices, regardless of type, must not cause harmful interference to authorized users of the</w:t>
      </w:r>
      <w:r>
        <w:rPr>
          <w:spacing w:val="-6"/>
        </w:rPr>
        <w:t xml:space="preserve"> </w:t>
      </w:r>
      <w:r>
        <w:t>band.</w:t>
      </w:r>
    </w:p>
    <w:p w14:paraId="54515C93" w14:textId="7C0A7EC4" w:rsidR="00F41911" w:rsidRDefault="00FE087E">
      <w:pPr>
        <w:pStyle w:val="ListParagraph"/>
        <w:numPr>
          <w:ilvl w:val="0"/>
          <w:numId w:val="9"/>
        </w:numPr>
        <w:tabs>
          <w:tab w:val="left" w:pos="1559"/>
          <w:tab w:val="left" w:pos="1561"/>
        </w:tabs>
        <w:ind w:right="160" w:firstLine="720"/>
      </w:pPr>
      <w:r>
        <w:t>In this NPRM, we propose targeted changes to Section 15.255 of our rules to expand unlicensed FDS device operations in the 60 GHz band. First, we propose that all FDS devices that limit their operating frequencies to the 57-64 GHz portion of the band would be permitted to transmit at a maximum of 20 dBm average EIRP, 13 dBm/MHz average EIRP power spectral density, and 10 dBm transmitter conducted output power, along with a maximum 10% duty cycle restriction within any 33 ms interval. FDS devices will be able to continue to operate across the entire 57-71 GHz band at the 10 dBm EIRP and -10 dBm conducted output power limits specified in our existing rules. By streamlining our rules in this manner, we would no longer need the special provisions for short-range interactive motion- sensing mobile radars (i.e. SRIMS) that are contained in our existing rules. Second, we also propose to retain and potentially to expand on the provision of section 15.255(c)(2) allowing fixed FDS devices that contain their operating bandwidth to the 61.0-61.5 GHz band to transmit at 40 dBm average EIRP and 43 dBm peak EIRP.</w:t>
      </w:r>
      <w:r>
        <w:rPr>
          <w:position w:val="6"/>
          <w:sz w:val="13"/>
        </w:rPr>
        <w:t xml:space="preserve">42 </w:t>
      </w:r>
      <w:r>
        <w:t xml:space="preserve">Finally, we </w:t>
      </w:r>
      <w:r w:rsidR="009D38B3" w:rsidRPr="009D38B3">
        <w:rPr>
          <w:highlight w:val="yellow"/>
        </w:rPr>
        <w:t>seek comment</w:t>
      </w:r>
      <w:r>
        <w:t xml:space="preserve"> on methods to enhance coexistence (e.g., listen-before-talk or other spectrum sensing/contention avoidance capabilities) that could be used to allow the same power level for FDS devices as is currently permitted for 60 GHz communication devices (up to 40 dBm EIRP) across the entire 57-71 GHz band. We are not proposing any rule revisions for existing unlicensed communication devices such as WiGig WLAN or fixed point-to-point wireless links that currently operate in the 57-71 GHz band. However, we </w:t>
      </w:r>
      <w:r w:rsidR="009D38B3" w:rsidRPr="009D38B3">
        <w:rPr>
          <w:highlight w:val="yellow"/>
        </w:rPr>
        <w:t>seek comment</w:t>
      </w:r>
      <w:r>
        <w:t xml:space="preserve"> on whether there are particular provisions that we are proposing for FDS operation, such as an antenna gain limit instead of a conducted power limit and requiring use of a spectrum sensing mechanism, that should be more broadly applied to all Part 15 devices operating in the 57-71 GHz</w:t>
      </w:r>
      <w:r>
        <w:rPr>
          <w:spacing w:val="-6"/>
        </w:rPr>
        <w:t xml:space="preserve"> </w:t>
      </w:r>
      <w:r>
        <w:t>band.</w:t>
      </w:r>
    </w:p>
    <w:p w14:paraId="50594765" w14:textId="67F22321" w:rsidR="00F41911" w:rsidRDefault="00FE087E">
      <w:pPr>
        <w:pStyle w:val="ListParagraph"/>
        <w:numPr>
          <w:ilvl w:val="0"/>
          <w:numId w:val="9"/>
        </w:numPr>
        <w:tabs>
          <w:tab w:val="left" w:pos="1559"/>
          <w:tab w:val="left" w:pos="1561"/>
        </w:tabs>
        <w:ind w:right="192" w:firstLine="720"/>
      </w:pPr>
      <w:r>
        <w:t xml:space="preserve">We note that the TAC’s Future of Unlicensed Operations working group suggested the Commission </w:t>
      </w:r>
      <w:r w:rsidR="009D38B3" w:rsidRPr="009D38B3">
        <w:rPr>
          <w:highlight w:val="yellow"/>
        </w:rPr>
        <w:t>seek comment</w:t>
      </w:r>
      <w:r>
        <w:t xml:space="preserve"> on whether the rules should allow greater radiated power for radar applications, if the parameters of the Google Soli waiver should be incorporated into the rules, and whether there are changes to the conditions and technical requirements set forth in the recent waivers</w:t>
      </w:r>
      <w:r>
        <w:rPr>
          <w:spacing w:val="-28"/>
        </w:rPr>
        <w:t xml:space="preserve"> </w:t>
      </w:r>
      <w:r>
        <w:t>that</w:t>
      </w:r>
    </w:p>
    <w:p w14:paraId="0C14DF49" w14:textId="77777777" w:rsidR="00F41911" w:rsidRDefault="004D2E02">
      <w:pPr>
        <w:pStyle w:val="BodyText"/>
        <w:spacing w:before="2"/>
        <w:rPr>
          <w:sz w:val="18"/>
        </w:rPr>
      </w:pPr>
      <w:r>
        <w:pict w14:anchorId="1CCBB65D">
          <v:line id="_x0000_s1044" style="position:absolute;z-index:251651584;mso-wrap-distance-left:0;mso-wrap-distance-right:0;mso-position-horizontal-relative:page" from="1in,12.8pt" to="215.5pt,12.8pt" strokeweight=".72pt">
            <w10:wrap type="topAndBottom" anchorx="page"/>
          </v:line>
        </w:pict>
      </w:r>
    </w:p>
    <w:p w14:paraId="17C6B516" w14:textId="77777777" w:rsidR="00F41911" w:rsidRDefault="00FE087E">
      <w:pPr>
        <w:spacing w:before="69"/>
        <w:ind w:left="120"/>
        <w:rPr>
          <w:sz w:val="20"/>
        </w:rPr>
      </w:pPr>
      <w:r>
        <w:rPr>
          <w:position w:val="6"/>
          <w:sz w:val="13"/>
        </w:rPr>
        <w:t xml:space="preserve">41 </w:t>
      </w:r>
      <w:r>
        <w:rPr>
          <w:sz w:val="20"/>
        </w:rPr>
        <w:t xml:space="preserve">FCC TAC Presentation, Jan. 14, 2021, at </w:t>
      </w:r>
      <w:hyperlink r:id="rId31">
        <w:r>
          <w:rPr>
            <w:color w:val="0000FF"/>
            <w:sz w:val="20"/>
            <w:u w:val="single" w:color="0000FF"/>
          </w:rPr>
          <w:t>https://www.fcc.gov/sites/default/files/tac-presentations-1-14-21.pdf</w:t>
        </w:r>
      </w:hyperlink>
    </w:p>
    <w:p w14:paraId="3D1DBDFF" w14:textId="77777777" w:rsidR="00F41911" w:rsidRDefault="00FE087E">
      <w:pPr>
        <w:ind w:left="120"/>
        <w:rPr>
          <w:sz w:val="20"/>
        </w:rPr>
      </w:pPr>
      <w:r>
        <w:rPr>
          <w:sz w:val="20"/>
        </w:rPr>
        <w:t>(</w:t>
      </w:r>
      <w:r>
        <w:rPr>
          <w:i/>
          <w:sz w:val="20"/>
        </w:rPr>
        <w:t>2021 TAC Recommendation</w:t>
      </w:r>
      <w:r>
        <w:rPr>
          <w:sz w:val="20"/>
        </w:rPr>
        <w:t>).</w:t>
      </w:r>
    </w:p>
    <w:p w14:paraId="390EB189" w14:textId="77777777" w:rsidR="00F41911" w:rsidRDefault="00FE087E">
      <w:pPr>
        <w:spacing w:before="120"/>
        <w:ind w:left="120" w:right="227"/>
        <w:rPr>
          <w:sz w:val="20"/>
        </w:rPr>
      </w:pPr>
      <w:r>
        <w:rPr>
          <w:position w:val="6"/>
          <w:sz w:val="13"/>
        </w:rPr>
        <w:t xml:space="preserve">42 </w:t>
      </w:r>
      <w:r>
        <w:rPr>
          <w:sz w:val="20"/>
        </w:rPr>
        <w:t xml:space="preserve">47 CFR § 15.255(c)(2). The 61.0-61.5 GHz band is also an Industrial, Scientific and Medical (ISM) frequency band.  </w:t>
      </w:r>
      <w:r>
        <w:rPr>
          <w:i/>
          <w:sz w:val="20"/>
        </w:rPr>
        <w:t xml:space="preserve">See </w:t>
      </w:r>
      <w:r>
        <w:rPr>
          <w:sz w:val="20"/>
        </w:rPr>
        <w:t>47 CFR § 18.301.</w:t>
      </w:r>
    </w:p>
    <w:p w14:paraId="03BD9CB4" w14:textId="77777777" w:rsidR="00F41911" w:rsidRDefault="00F41911">
      <w:pPr>
        <w:rPr>
          <w:sz w:val="20"/>
        </w:rPr>
        <w:sectPr w:rsidR="00F41911">
          <w:pgSz w:w="12240" w:h="15840"/>
          <w:pgMar w:top="980" w:right="1320" w:bottom="960" w:left="1320" w:header="729" w:footer="713" w:gutter="0"/>
          <w:cols w:space="720"/>
        </w:sectPr>
      </w:pPr>
    </w:p>
    <w:p w14:paraId="1C316741" w14:textId="77777777" w:rsidR="00F41911" w:rsidRDefault="00F41911">
      <w:pPr>
        <w:pStyle w:val="BodyText"/>
        <w:rPr>
          <w:sz w:val="20"/>
        </w:rPr>
      </w:pPr>
    </w:p>
    <w:p w14:paraId="2E52F57E" w14:textId="77777777" w:rsidR="00F41911" w:rsidRDefault="00F41911">
      <w:pPr>
        <w:pStyle w:val="BodyText"/>
        <w:spacing w:before="6"/>
      </w:pPr>
    </w:p>
    <w:p w14:paraId="3FA0A430" w14:textId="77777777" w:rsidR="00F41911" w:rsidRDefault="00FE087E">
      <w:pPr>
        <w:pStyle w:val="BodyText"/>
        <w:ind w:left="120"/>
      </w:pPr>
      <w:r>
        <w:t>would improve sharing with communications applications.</w:t>
      </w:r>
      <w:r>
        <w:rPr>
          <w:position w:val="6"/>
          <w:sz w:val="13"/>
        </w:rPr>
        <w:t xml:space="preserve">43 </w:t>
      </w:r>
      <w:r>
        <w:t>It further suggested that the Commission ask whether the use of a contention-based protocol should be required, and whether 60 GHz band unlicensed radar applications should be allowed to use the same power levels as communications applications in the band if they incorporate listen-before-talk procedures.</w:t>
      </w:r>
      <w:r>
        <w:rPr>
          <w:position w:val="6"/>
          <w:sz w:val="13"/>
        </w:rPr>
        <w:t xml:space="preserve">44 </w:t>
      </w:r>
      <w:r>
        <w:t>We invite commenters to address these specific questions.</w:t>
      </w:r>
    </w:p>
    <w:p w14:paraId="10C78EDF" w14:textId="7701E5A4" w:rsidR="00F41911" w:rsidRDefault="00FE087E">
      <w:pPr>
        <w:pStyle w:val="ListParagraph"/>
        <w:numPr>
          <w:ilvl w:val="0"/>
          <w:numId w:val="9"/>
        </w:numPr>
        <w:tabs>
          <w:tab w:val="left" w:pos="1559"/>
          <w:tab w:val="left" w:pos="1561"/>
        </w:tabs>
        <w:ind w:right="281" w:firstLine="720"/>
      </w:pPr>
      <w:r>
        <w:t>As an initial matter, given that we refer to both FDS and radars extensively throughout this document, we address the relationship between the two terms. Field disturbance sensors broadly include radar operations.</w:t>
      </w:r>
      <w:r>
        <w:rPr>
          <w:position w:val="6"/>
          <w:sz w:val="13"/>
        </w:rPr>
        <w:t xml:space="preserve">45 </w:t>
      </w:r>
      <w:r>
        <w:t>Although Section 15.3(l) of our rules provides a definition for “field disturbance sensor,”</w:t>
      </w:r>
      <w:r>
        <w:rPr>
          <w:position w:val="6"/>
          <w:sz w:val="13"/>
        </w:rPr>
        <w:t xml:space="preserve">46 </w:t>
      </w:r>
      <w:r>
        <w:t>it does not provide a definition for “radar,” and instead parties must look to the radar definition contained in Section 2.1 of the Commission’s rules.</w:t>
      </w:r>
      <w:r>
        <w:rPr>
          <w:position w:val="6"/>
          <w:sz w:val="13"/>
        </w:rPr>
        <w:t xml:space="preserve">47 </w:t>
      </w:r>
      <w:r>
        <w:t xml:space="preserve">We </w:t>
      </w:r>
      <w:r w:rsidR="009D38B3" w:rsidRPr="009D38B3">
        <w:rPr>
          <w:highlight w:val="yellow"/>
        </w:rPr>
        <w:t>seek comment</w:t>
      </w:r>
      <w:r>
        <w:t xml:space="preserve"> on whether the rules related to “field disturbance sensors” in Section 15.255 are sufficiently broad and flexible to accommodate the class(es) of devices that parties anticipate will be developed to operate in the 57-71 GHz band. We also </w:t>
      </w:r>
      <w:r w:rsidR="009D38B3" w:rsidRPr="009D38B3">
        <w:rPr>
          <w:highlight w:val="yellow"/>
        </w:rPr>
        <w:t>seek comment</w:t>
      </w:r>
      <w:r>
        <w:t xml:space="preserve"> on whether we should modify the definitions contained in Part 15 of our rules to provide greater clarity about the relationship between FDS and radars and, if so, how? Commenters that support modifying the existing Part 15 definitions should also address whether such modifications would require adjustments elsewhere in the</w:t>
      </w:r>
      <w:r>
        <w:rPr>
          <w:spacing w:val="-10"/>
        </w:rPr>
        <w:t xml:space="preserve"> </w:t>
      </w:r>
      <w:r>
        <w:t>rules.</w:t>
      </w:r>
    </w:p>
    <w:p w14:paraId="52C0B4C9" w14:textId="77777777" w:rsidR="00F41911" w:rsidRDefault="00FE087E">
      <w:pPr>
        <w:pStyle w:val="ListParagraph"/>
        <w:numPr>
          <w:ilvl w:val="0"/>
          <w:numId w:val="9"/>
        </w:numPr>
        <w:tabs>
          <w:tab w:val="left" w:pos="1559"/>
          <w:tab w:val="left" w:pos="1561"/>
        </w:tabs>
        <w:ind w:right="264" w:firstLine="720"/>
        <w:rPr>
          <w:sz w:val="13"/>
        </w:rPr>
      </w:pPr>
      <w:r>
        <w:t>As noted above, a number of parties have been granted waiver of certain provisions of Section 15.255 to permit operation of innovative radar devices in the 60 GHz band.</w:t>
      </w:r>
      <w:r>
        <w:rPr>
          <w:position w:val="6"/>
          <w:sz w:val="13"/>
        </w:rPr>
        <w:t xml:space="preserve">48 </w:t>
      </w:r>
      <w:r>
        <w:t>To the extent we modify our rules in this proceeding to expand unlicensed FDS device operations in the 60 GHz band, we expect that all future 60 GHz FDS operations would be conducted subject to our modified</w:t>
      </w:r>
      <w:r>
        <w:rPr>
          <w:spacing w:val="-18"/>
        </w:rPr>
        <w:t xml:space="preserve"> </w:t>
      </w:r>
      <w:r>
        <w:t>rules.</w:t>
      </w:r>
      <w:r>
        <w:rPr>
          <w:position w:val="6"/>
          <w:sz w:val="13"/>
        </w:rPr>
        <w:t>49</w:t>
      </w:r>
    </w:p>
    <w:p w14:paraId="45E47091" w14:textId="77777777" w:rsidR="00F41911" w:rsidRDefault="004D2E02">
      <w:pPr>
        <w:pStyle w:val="BodyText"/>
        <w:spacing w:before="3"/>
        <w:rPr>
          <w:sz w:val="27"/>
        </w:rPr>
      </w:pPr>
      <w:r>
        <w:pict w14:anchorId="4E1FD3B1">
          <v:line id="_x0000_s1043" style="position:absolute;z-index:251652608;mso-wrap-distance-left:0;mso-wrap-distance-right:0;mso-position-horizontal-relative:page" from="1in,18.05pt" to="215.5pt,18.05pt" strokeweight=".72pt">
            <w10:wrap type="topAndBottom" anchorx="page"/>
          </v:line>
        </w:pict>
      </w:r>
    </w:p>
    <w:p w14:paraId="67BF3394" w14:textId="77777777" w:rsidR="00F41911" w:rsidRDefault="00FE087E">
      <w:pPr>
        <w:spacing w:before="69"/>
        <w:ind w:left="120"/>
        <w:rPr>
          <w:sz w:val="20"/>
        </w:rPr>
      </w:pPr>
      <w:r>
        <w:rPr>
          <w:position w:val="6"/>
          <w:sz w:val="13"/>
        </w:rPr>
        <w:t xml:space="preserve">43  </w:t>
      </w:r>
      <w:r>
        <w:rPr>
          <w:i/>
          <w:sz w:val="20"/>
        </w:rPr>
        <w:t>2021 TAC Recommendation</w:t>
      </w:r>
      <w:r>
        <w:rPr>
          <w:sz w:val="20"/>
        </w:rPr>
        <w:t>.</w:t>
      </w:r>
    </w:p>
    <w:p w14:paraId="2D2AAADB" w14:textId="77777777" w:rsidR="00F41911" w:rsidRDefault="00FE087E">
      <w:pPr>
        <w:spacing w:before="119"/>
        <w:ind w:left="120" w:right="134"/>
        <w:jc w:val="both"/>
        <w:rPr>
          <w:sz w:val="20"/>
        </w:rPr>
      </w:pPr>
      <w:r>
        <w:rPr>
          <w:position w:val="6"/>
          <w:sz w:val="13"/>
        </w:rPr>
        <w:t xml:space="preserve">44 </w:t>
      </w:r>
      <w:r>
        <w:rPr>
          <w:i/>
          <w:sz w:val="20"/>
        </w:rPr>
        <w:t xml:space="preserve">Id. </w:t>
      </w:r>
      <w:r>
        <w:rPr>
          <w:sz w:val="20"/>
        </w:rPr>
        <w:t>Listen-Before-Talk (LBT) is a technique used in radiocommunications whereby a radio transmitter first senses its radio environment before starting a transmission. LBT can be used by a radio device to find a network the device is allowed to operate on, or to find a free radio channel on which to operate.</w:t>
      </w:r>
    </w:p>
    <w:p w14:paraId="58E95139" w14:textId="77777777" w:rsidR="00F41911" w:rsidRDefault="00FE087E">
      <w:pPr>
        <w:spacing w:before="119"/>
        <w:ind w:left="120" w:right="227"/>
        <w:rPr>
          <w:sz w:val="20"/>
        </w:rPr>
      </w:pPr>
      <w:r>
        <w:rPr>
          <w:position w:val="6"/>
          <w:sz w:val="13"/>
        </w:rPr>
        <w:t xml:space="preserve">45 </w:t>
      </w:r>
      <w:r>
        <w:rPr>
          <w:sz w:val="20"/>
        </w:rPr>
        <w:t xml:space="preserve">The definition for FDS sensors was adopted in 1971, in </w:t>
      </w:r>
      <w:r>
        <w:rPr>
          <w:i/>
          <w:sz w:val="20"/>
        </w:rPr>
        <w:t>Amendment of Part 15 of the Commission's Rules to Add Regulations Governing the Use of Field Disturbance Sensors (Formerly Designated as Radio Frequency Operated Intruder Alarms)</w:t>
      </w:r>
      <w:r>
        <w:rPr>
          <w:sz w:val="20"/>
        </w:rPr>
        <w:t>, Docket No. 13863, FCC 71873, Report and Order, 31 FCC 2</w:t>
      </w:r>
      <w:r>
        <w:rPr>
          <w:position w:val="6"/>
          <w:sz w:val="13"/>
        </w:rPr>
        <w:t xml:space="preserve">nd </w:t>
      </w:r>
      <w:r>
        <w:rPr>
          <w:sz w:val="20"/>
        </w:rPr>
        <w:t xml:space="preserve">210 (1971). The Commission did express that it “will interpose no objection to the operation of speed measuring equipment (or other radiolocation devices) under the regulations for field disturbance sensors…” while discussing radars in this context.  </w:t>
      </w:r>
      <w:r>
        <w:rPr>
          <w:i/>
          <w:sz w:val="20"/>
        </w:rPr>
        <w:t>Id</w:t>
      </w:r>
      <w:r>
        <w:rPr>
          <w:sz w:val="20"/>
        </w:rPr>
        <w:t>., at para.</w:t>
      </w:r>
    </w:p>
    <w:p w14:paraId="09DDE45B" w14:textId="77777777" w:rsidR="00F41911" w:rsidRDefault="00FE087E">
      <w:pPr>
        <w:pStyle w:val="ListParagraph"/>
        <w:numPr>
          <w:ilvl w:val="0"/>
          <w:numId w:val="8"/>
        </w:numPr>
        <w:tabs>
          <w:tab w:val="left" w:pos="470"/>
        </w:tabs>
        <w:spacing w:before="0"/>
        <w:ind w:right="217" w:firstLine="0"/>
        <w:rPr>
          <w:sz w:val="20"/>
        </w:rPr>
      </w:pPr>
      <w:r>
        <w:rPr>
          <w:sz w:val="20"/>
        </w:rPr>
        <w:t xml:space="preserve">In 1995, the Commission adopted the rules prohibiting FDS, specifically mobile FDS in 47 CFR § 15.255 in </w:t>
      </w:r>
      <w:r>
        <w:rPr>
          <w:i/>
          <w:sz w:val="20"/>
        </w:rPr>
        <w:t>Amendment of parts 2, 15 and 97 of the Commission's Rules to Permit Use of Radio Frequencies Above 40 GHz for New Radio Applications</w:t>
      </w:r>
      <w:r>
        <w:rPr>
          <w:sz w:val="20"/>
        </w:rPr>
        <w:t xml:space="preserve">, ET Docket No. 94-124, FCC 95-499, First Report and Order, 11 FCC Rcd. 4481, 4496 (1995); in 2002, the Commission adopted rules for UWB radars in 47 CFR §§ 15.503, 15.515, specifically defining radars as FDS in </w:t>
      </w:r>
      <w:r>
        <w:rPr>
          <w:i/>
          <w:sz w:val="20"/>
        </w:rPr>
        <w:t>Revision of Part 15 of the Commission’s Rules Regarding Ultra-Wideband Transmission Systems</w:t>
      </w:r>
      <w:r>
        <w:rPr>
          <w:sz w:val="20"/>
        </w:rPr>
        <w:t xml:space="preserve">, ET Docket No. 98153, FCC 02-48, First Report and Order, </w:t>
      </w:r>
      <w:r>
        <w:rPr>
          <w:color w:val="1C2B3E"/>
          <w:sz w:val="20"/>
        </w:rPr>
        <w:t xml:space="preserve">17 FCC Rcd 7435 </w:t>
      </w:r>
      <w:r>
        <w:rPr>
          <w:sz w:val="20"/>
        </w:rPr>
        <w:t xml:space="preserve">(2002); in 2003, the Commission adopted rules for vehicular radars in 47 CFR § 15.252, specifically labeling vehicular radars as FDS in </w:t>
      </w:r>
      <w:r>
        <w:rPr>
          <w:i/>
          <w:sz w:val="20"/>
        </w:rPr>
        <w:t>Revision of Part 15 of the Commission’s Rules Regarding Ultra-Wideband Transmission Systems</w:t>
      </w:r>
      <w:r>
        <w:rPr>
          <w:sz w:val="20"/>
        </w:rPr>
        <w:t>, ET Docket No. 98-153, FCC 04285, Second Report and Order, 19 FCC Rcd 24558</w:t>
      </w:r>
      <w:r>
        <w:rPr>
          <w:spacing w:val="-14"/>
          <w:sz w:val="20"/>
        </w:rPr>
        <w:t xml:space="preserve"> </w:t>
      </w:r>
      <w:r>
        <w:rPr>
          <w:sz w:val="20"/>
        </w:rPr>
        <w:t>(2003).</w:t>
      </w:r>
    </w:p>
    <w:p w14:paraId="208E3913" w14:textId="77777777" w:rsidR="00F41911" w:rsidRDefault="00FE087E">
      <w:pPr>
        <w:spacing w:before="120"/>
        <w:ind w:left="120" w:right="227"/>
        <w:rPr>
          <w:sz w:val="20"/>
        </w:rPr>
      </w:pPr>
      <w:r>
        <w:rPr>
          <w:position w:val="6"/>
          <w:sz w:val="13"/>
        </w:rPr>
        <w:t xml:space="preserve">46 </w:t>
      </w:r>
      <w:r>
        <w:rPr>
          <w:sz w:val="20"/>
        </w:rPr>
        <w:t>47 CFR § 15.3(l) defines a field disturbance sensor as “a device that establishes a radio frequency field in its vicinity and detects changes in that field resulting from the movement of persons or objects within its range.”</w:t>
      </w:r>
    </w:p>
    <w:p w14:paraId="0B30425B" w14:textId="77777777" w:rsidR="00F41911" w:rsidRDefault="00FE087E">
      <w:pPr>
        <w:spacing w:before="119"/>
        <w:ind w:left="120"/>
        <w:rPr>
          <w:sz w:val="20"/>
        </w:rPr>
      </w:pPr>
      <w:r>
        <w:rPr>
          <w:position w:val="6"/>
          <w:sz w:val="13"/>
        </w:rPr>
        <w:t xml:space="preserve">47 </w:t>
      </w:r>
      <w:r>
        <w:rPr>
          <w:sz w:val="20"/>
        </w:rPr>
        <w:t>47 CFR § 2.1 defines a radar as “a radiodetermination system based on the comparison of reference signals with radio signals reflected, or retransmitted, from the position to be determined”. This radar definition is taken from the International Telecommunications Union (ITU) Radio Regulations (RR).</w:t>
      </w:r>
    </w:p>
    <w:p w14:paraId="556E563A" w14:textId="77777777" w:rsidR="00F41911" w:rsidRDefault="00FE087E">
      <w:pPr>
        <w:spacing w:before="119"/>
        <w:ind w:left="120"/>
        <w:rPr>
          <w:sz w:val="20"/>
        </w:rPr>
      </w:pPr>
      <w:r>
        <w:rPr>
          <w:position w:val="6"/>
          <w:sz w:val="13"/>
        </w:rPr>
        <w:t xml:space="preserve">48  </w:t>
      </w:r>
      <w:r>
        <w:rPr>
          <w:i/>
          <w:sz w:val="20"/>
        </w:rPr>
        <w:t xml:space="preserve">See supra </w:t>
      </w:r>
      <w:hyperlink w:anchor="_bookmark0" w:history="1">
        <w:r>
          <w:rPr>
            <w:sz w:val="20"/>
          </w:rPr>
          <w:t>para. 8.</w:t>
        </w:r>
      </w:hyperlink>
    </w:p>
    <w:p w14:paraId="04EEDF9E" w14:textId="77777777" w:rsidR="00F41911" w:rsidRDefault="00FE087E">
      <w:pPr>
        <w:spacing w:before="119"/>
        <w:ind w:left="120" w:right="174"/>
        <w:rPr>
          <w:sz w:val="20"/>
        </w:rPr>
      </w:pPr>
      <w:r>
        <w:rPr>
          <w:position w:val="6"/>
          <w:sz w:val="13"/>
        </w:rPr>
        <w:t xml:space="preserve">49 </w:t>
      </w:r>
      <w:r>
        <w:rPr>
          <w:i/>
          <w:sz w:val="20"/>
        </w:rPr>
        <w:t xml:space="preserve">See, e.g., 60 GHz Vehicle Radar Waiver, supra </w:t>
      </w:r>
      <w:r>
        <w:rPr>
          <w:sz w:val="20"/>
        </w:rPr>
        <w:t>n.21 at para. 52 (“We note that operations pursuant to the waivers we grant today are expressly conditioned on compliance with the Commission’s rules except as waived, and where rules are modified as a result of any future Commission rulemaking these operations will be subject to those modified rules”); Letter from Terry G. Mahn, Fish &amp; Richardson, to Marlene Dortch, FCC, ET Docket No. 21-15 (filed June 1, 2021) at 1 (noting that Vayyar “was fully aware of the anticipated 60 GHz rulemaking proceeding and</w:t>
      </w:r>
    </w:p>
    <w:p w14:paraId="5B055D21" w14:textId="77777777" w:rsidR="00F41911" w:rsidRDefault="00FE087E">
      <w:pPr>
        <w:ind w:right="118"/>
        <w:jc w:val="right"/>
        <w:rPr>
          <w:sz w:val="20"/>
        </w:rPr>
      </w:pPr>
      <w:r>
        <w:rPr>
          <w:sz w:val="20"/>
        </w:rPr>
        <w:t>(continued….)</w:t>
      </w:r>
    </w:p>
    <w:p w14:paraId="77D2A5AF" w14:textId="77777777" w:rsidR="00F41911" w:rsidRDefault="00F41911">
      <w:pPr>
        <w:jc w:val="right"/>
        <w:rPr>
          <w:sz w:val="20"/>
        </w:rPr>
        <w:sectPr w:rsidR="00F41911">
          <w:pgSz w:w="12240" w:h="15840"/>
          <w:pgMar w:top="980" w:right="1320" w:bottom="900" w:left="1320" w:header="729" w:footer="713" w:gutter="0"/>
          <w:cols w:space="720"/>
        </w:sectPr>
      </w:pPr>
    </w:p>
    <w:p w14:paraId="672B1D96" w14:textId="77777777" w:rsidR="00F41911" w:rsidRDefault="00F41911">
      <w:pPr>
        <w:pStyle w:val="BodyText"/>
        <w:rPr>
          <w:sz w:val="20"/>
        </w:rPr>
      </w:pPr>
    </w:p>
    <w:p w14:paraId="7C1AFCCC" w14:textId="77777777" w:rsidR="00F41911" w:rsidRDefault="00F41911">
      <w:pPr>
        <w:pStyle w:val="BodyText"/>
        <w:spacing w:before="6"/>
      </w:pPr>
    </w:p>
    <w:p w14:paraId="3261213C" w14:textId="3A961C68" w:rsidR="00F41911" w:rsidRDefault="00FE087E">
      <w:pPr>
        <w:pStyle w:val="BodyText"/>
        <w:ind w:left="120" w:right="368"/>
      </w:pPr>
      <w:r>
        <w:t xml:space="preserve">Accordingly we propose that if we adopt such modifications to our rules in this proceeding, the previously granted 60 GHz FDS waivers would be terminated and FDS device manufacturers would be expected to conform their operations to our rules as revised.  We </w:t>
      </w:r>
      <w:r w:rsidR="009D38B3" w:rsidRPr="009D38B3">
        <w:rPr>
          <w:highlight w:val="yellow"/>
        </w:rPr>
        <w:t>seek comment</w:t>
      </w:r>
      <w:r>
        <w:t xml:space="preserve"> on this proposal.</w:t>
      </w:r>
    </w:p>
    <w:p w14:paraId="5344CFD7" w14:textId="77777777" w:rsidR="00F41911" w:rsidRDefault="00FE087E">
      <w:pPr>
        <w:pStyle w:val="Heading1"/>
        <w:numPr>
          <w:ilvl w:val="1"/>
          <w:numId w:val="8"/>
        </w:numPr>
        <w:tabs>
          <w:tab w:val="left" w:pos="1559"/>
          <w:tab w:val="left" w:pos="1561"/>
        </w:tabs>
        <w:spacing w:before="120"/>
        <w:ind w:hanging="720"/>
      </w:pPr>
      <w:r>
        <w:t>Expanded Use of FDS Devices Operating in the 57-64 GHz</w:t>
      </w:r>
      <w:r>
        <w:rPr>
          <w:spacing w:val="-11"/>
        </w:rPr>
        <w:t xml:space="preserve"> </w:t>
      </w:r>
      <w:r>
        <w:t>band</w:t>
      </w:r>
    </w:p>
    <w:p w14:paraId="11E64B2B" w14:textId="77777777" w:rsidR="00F41911" w:rsidRDefault="00FE087E">
      <w:pPr>
        <w:pStyle w:val="ListParagraph"/>
        <w:numPr>
          <w:ilvl w:val="0"/>
          <w:numId w:val="7"/>
        </w:numPr>
        <w:tabs>
          <w:tab w:val="left" w:pos="1559"/>
          <w:tab w:val="left" w:pos="1561"/>
        </w:tabs>
        <w:ind w:right="124" w:firstLine="720"/>
      </w:pPr>
      <w:r>
        <w:t>We first propose to modify Section 15.255 of the Commission’s rules to afford greater opportunities for fixed and mobile FDS devices operating in the 57-64 GHz portion of the 60 GHz band. The extensive analysis that has accompanied the multiple waiver requests that have been submitted to the Commission, the widespread consumer use of Google’s Soli-equipped devices without reported cases of harmful interference and the ongoing efforts of the industry and standards groups to identify model coexistence practices for unlicensed users gives us confidence that there is now sufficient information for us to build a record to expand unlicensed mobile radar use beyond the toehold the Commission first provided in 2016 and the narrow waivers that have been issued to date. Our baseline proposals draw from the technical and operating conditions incorporated into the waivers granted to Google for its Soli device and to automobile manufacturers and suppliers for in-cabin radars to detect children left in cars, with additional modifications to account for harmonization with international provisions governing operation in the</w:t>
      </w:r>
      <w:r>
        <w:rPr>
          <w:spacing w:val="-2"/>
        </w:rPr>
        <w:t xml:space="preserve"> </w:t>
      </w:r>
      <w:r>
        <w:t>band.</w:t>
      </w:r>
    </w:p>
    <w:p w14:paraId="4ADE5EDA" w14:textId="77777777" w:rsidR="00F41911" w:rsidRDefault="00FE087E">
      <w:pPr>
        <w:pStyle w:val="ListParagraph"/>
        <w:numPr>
          <w:ilvl w:val="0"/>
          <w:numId w:val="7"/>
        </w:numPr>
        <w:tabs>
          <w:tab w:val="left" w:pos="1559"/>
          <w:tab w:val="left" w:pos="1561"/>
        </w:tabs>
        <w:ind w:right="258" w:firstLine="720"/>
      </w:pPr>
      <w:r>
        <w:t>As discussed below, we propose to: focus device operation to the 57-64 GHz portion of the 60 GHz band; allow operations at higher power levels than were permitted in the waivers but consistent with the well-established ETSI standards; and require a duty cycle that is consistent with what was established in the Google waiver, with the possibility of mandating a minimum off-time between cycles.</w:t>
      </w:r>
    </w:p>
    <w:p w14:paraId="4FE9ADCE" w14:textId="77777777" w:rsidR="00F41911" w:rsidRDefault="00FE087E">
      <w:pPr>
        <w:pStyle w:val="Heading1"/>
        <w:numPr>
          <w:ilvl w:val="1"/>
          <w:numId w:val="7"/>
        </w:numPr>
        <w:tabs>
          <w:tab w:val="left" w:pos="2279"/>
          <w:tab w:val="left" w:pos="2281"/>
        </w:tabs>
        <w:spacing w:before="120"/>
        <w:ind w:hanging="720"/>
      </w:pPr>
      <w:r>
        <w:t>Frequency</w:t>
      </w:r>
      <w:r>
        <w:rPr>
          <w:spacing w:val="-3"/>
        </w:rPr>
        <w:t xml:space="preserve"> </w:t>
      </w:r>
      <w:r>
        <w:t>Range</w:t>
      </w:r>
    </w:p>
    <w:p w14:paraId="52BDA528" w14:textId="64020E5A" w:rsidR="00F41911" w:rsidRDefault="00FE087E">
      <w:pPr>
        <w:pStyle w:val="ListParagraph"/>
        <w:numPr>
          <w:ilvl w:val="0"/>
          <w:numId w:val="7"/>
        </w:numPr>
        <w:tabs>
          <w:tab w:val="left" w:pos="1559"/>
          <w:tab w:val="left" w:pos="1561"/>
        </w:tabs>
        <w:ind w:right="124" w:firstLine="720"/>
      </w:pPr>
      <w:r>
        <w:t>Based on our review of the multiple waiver requests that pertain to FDS use of the 60 GHz band, parties designing and manufacturing radars to operate in the 60 GHz band have proposed to restrict their spectrum usage to frequencies below 64 GHz (constituting the 60-64 GHz or 57-64 GHz band segments, depending on the filing), although Section 15.255 permits operation across the 57-71</w:t>
      </w:r>
      <w:r>
        <w:rPr>
          <w:spacing w:val="-23"/>
        </w:rPr>
        <w:t xml:space="preserve"> </w:t>
      </w:r>
      <w:r>
        <w:t>GHz band for fixed FDS and SRIMS devices such as the Google Soli.  We surmise that the requests seek to limit operation to the lower portion of the 57-71 GHz band to align operations and devices with international standards such as the European ETSI Harmonized Standard EN 305 550 that restrict short- range devices, e.g., radars, to the 57-64 GHz band.</w:t>
      </w:r>
      <w:r>
        <w:rPr>
          <w:position w:val="6"/>
          <w:sz w:val="13"/>
        </w:rPr>
        <w:t xml:space="preserve">50   </w:t>
      </w:r>
      <w:r>
        <w:t xml:space="preserve">We </w:t>
      </w:r>
      <w:r w:rsidR="009D38B3" w:rsidRPr="009D38B3">
        <w:rPr>
          <w:highlight w:val="yellow"/>
        </w:rPr>
        <w:t>seek comment</w:t>
      </w:r>
      <w:r>
        <w:t xml:space="preserve"> on this</w:t>
      </w:r>
      <w:r>
        <w:rPr>
          <w:spacing w:val="-6"/>
        </w:rPr>
        <w:t xml:space="preserve"> </w:t>
      </w:r>
      <w:r>
        <w:t>assumption.</w:t>
      </w:r>
    </w:p>
    <w:p w14:paraId="5075C9E5" w14:textId="1BE913CF" w:rsidR="00F41911" w:rsidRDefault="00FE087E">
      <w:pPr>
        <w:pStyle w:val="ListParagraph"/>
        <w:numPr>
          <w:ilvl w:val="0"/>
          <w:numId w:val="7"/>
        </w:numPr>
        <w:tabs>
          <w:tab w:val="left" w:pos="1559"/>
          <w:tab w:val="left" w:pos="1561"/>
        </w:tabs>
        <w:ind w:right="160" w:firstLine="720"/>
      </w:pPr>
      <w:r>
        <w:t>We note that a proposal has been submitted to IEEE 802.11 to define a channel access protocol to enable the same 60 GHz systems to transmit signals that can be used both for communications and radar purposes to be decoded by a similar system at the receiving end.</w:t>
      </w:r>
      <w:r>
        <w:rPr>
          <w:position w:val="6"/>
          <w:sz w:val="13"/>
        </w:rPr>
        <w:t xml:space="preserve">51 </w:t>
      </w:r>
      <w:r>
        <w:t xml:space="preserve">Equipment designs for 60 GHz transmitters are thus considering radar transmissions alongside communication transmissions in the same transmitter or chip. While the IEEE efforts in this area may be considering the entire 57-71 GHz band, we propose to limit operation of FDS devices operating under our proposed higher power limits (20 dBm EIRP) to the 57-64 GHz band. As discussed above, limiting our proposal in this way provides for devices that are consistent with the international standards, which only specify FDS operation in the 57- 64 GHz band. We </w:t>
      </w:r>
      <w:r w:rsidR="009D38B3" w:rsidRPr="009D38B3">
        <w:rPr>
          <w:highlight w:val="yellow"/>
        </w:rPr>
        <w:t>seek comment</w:t>
      </w:r>
      <w:r>
        <w:t xml:space="preserve"> on this proposal.  Would limiting operation of higher power FDS devices to the 57-64 GHz band benefit 60 GHz WLAN systems operating in close proximity to FDS devices by leaving the 64-71 GHz band clear of higher power FDS operations? We </w:t>
      </w:r>
      <w:r w:rsidR="009D38B3" w:rsidRPr="009D38B3">
        <w:rPr>
          <w:highlight w:val="yellow"/>
        </w:rPr>
        <w:t>seek comment</w:t>
      </w:r>
      <w:r>
        <w:t xml:space="preserve"> on whether, alternatively, </w:t>
      </w:r>
      <w:r>
        <w:rPr>
          <w:sz w:val="21"/>
        </w:rPr>
        <w:t xml:space="preserve">we </w:t>
      </w:r>
      <w:r>
        <w:t>should allow the proposed FDS operation across all of the 57-71 GHz band or some other segment of the band.  If we were to allow the proposed FDS operation across the entire</w:t>
      </w:r>
      <w:r>
        <w:rPr>
          <w:spacing w:val="-24"/>
        </w:rPr>
        <w:t xml:space="preserve"> </w:t>
      </w:r>
      <w:r>
        <w:t>57-71</w:t>
      </w:r>
    </w:p>
    <w:p w14:paraId="51CF3247" w14:textId="77777777" w:rsidR="00F41911" w:rsidRDefault="004D2E02">
      <w:pPr>
        <w:pStyle w:val="BodyText"/>
        <w:spacing w:before="10"/>
        <w:rPr>
          <w:sz w:val="10"/>
        </w:rPr>
      </w:pPr>
      <w:r>
        <w:pict w14:anchorId="36091933">
          <v:line id="_x0000_s1042" style="position:absolute;z-index:251653632;mso-wrap-distance-left:0;mso-wrap-distance-right:0;mso-position-horizontal-relative:page" from="1in,8.6pt" to="215.5pt,8.6pt" strokeweight=".72pt">
            <w10:wrap type="topAndBottom" anchorx="page"/>
          </v:line>
        </w:pict>
      </w:r>
    </w:p>
    <w:p w14:paraId="14C8B0B4" w14:textId="77777777" w:rsidR="00F41911" w:rsidRDefault="00FE087E">
      <w:pPr>
        <w:spacing w:before="69"/>
        <w:ind w:left="120" w:right="757"/>
        <w:rPr>
          <w:sz w:val="20"/>
        </w:rPr>
      </w:pPr>
      <w:r>
        <w:rPr>
          <w:sz w:val="20"/>
        </w:rPr>
        <w:t>fully understood and agreed that any waiver granted to Vayyar would be subject to future alignment with the outcome of such rulemaking”).</w:t>
      </w:r>
    </w:p>
    <w:p w14:paraId="722F93DF" w14:textId="77777777" w:rsidR="00F41911" w:rsidRDefault="00FE087E">
      <w:pPr>
        <w:spacing w:before="119"/>
        <w:ind w:left="120" w:right="389"/>
        <w:rPr>
          <w:i/>
          <w:sz w:val="20"/>
        </w:rPr>
      </w:pPr>
      <w:r>
        <w:rPr>
          <w:position w:val="6"/>
          <w:sz w:val="13"/>
        </w:rPr>
        <w:t xml:space="preserve">50 </w:t>
      </w:r>
      <w:r>
        <w:rPr>
          <w:sz w:val="20"/>
        </w:rPr>
        <w:t xml:space="preserve">Under ETSI, short-range devices (SRD) have a low risk of causing harmful interference to other radio services, usually because their transmitted power, and hence their range, is low.  </w:t>
      </w:r>
      <w:r>
        <w:rPr>
          <w:i/>
          <w:sz w:val="20"/>
        </w:rPr>
        <w:t xml:space="preserve">See supra </w:t>
      </w:r>
      <w:hyperlink w:anchor="_bookmark2" w:history="1">
        <w:r>
          <w:rPr>
            <w:sz w:val="20"/>
          </w:rPr>
          <w:t>notes 30</w:t>
        </w:r>
      </w:hyperlink>
      <w:r>
        <w:rPr>
          <w:sz w:val="20"/>
        </w:rPr>
        <w:t xml:space="preserve"> and </w:t>
      </w:r>
      <w:hyperlink w:anchor="_bookmark3" w:history="1">
        <w:r>
          <w:rPr>
            <w:sz w:val="20"/>
          </w:rPr>
          <w:t>31</w:t>
        </w:r>
      </w:hyperlink>
      <w:r>
        <w:rPr>
          <w:i/>
          <w:sz w:val="20"/>
        </w:rPr>
        <w:t>.</w:t>
      </w:r>
    </w:p>
    <w:p w14:paraId="2648D1D7" w14:textId="77777777" w:rsidR="00F41911" w:rsidRDefault="00FE087E">
      <w:pPr>
        <w:spacing w:before="119"/>
        <w:ind w:left="120"/>
        <w:rPr>
          <w:sz w:val="20"/>
        </w:rPr>
      </w:pPr>
      <w:r>
        <w:rPr>
          <w:position w:val="6"/>
          <w:sz w:val="13"/>
        </w:rPr>
        <w:t xml:space="preserve">51  </w:t>
      </w:r>
      <w:r>
        <w:rPr>
          <w:i/>
          <w:sz w:val="20"/>
        </w:rPr>
        <w:t xml:space="preserve">See supra </w:t>
      </w:r>
      <w:hyperlink w:anchor="_bookmark4" w:history="1">
        <w:r>
          <w:rPr>
            <w:sz w:val="20"/>
          </w:rPr>
          <w:t>note 39.</w:t>
        </w:r>
      </w:hyperlink>
    </w:p>
    <w:p w14:paraId="52A6FA73" w14:textId="77777777" w:rsidR="00F41911" w:rsidRDefault="00F41911">
      <w:pPr>
        <w:rPr>
          <w:sz w:val="20"/>
        </w:rPr>
        <w:sectPr w:rsidR="00F41911">
          <w:pgSz w:w="12240" w:h="15840"/>
          <w:pgMar w:top="980" w:right="1320" w:bottom="960" w:left="1320" w:header="729" w:footer="713" w:gutter="0"/>
          <w:cols w:space="720"/>
        </w:sectPr>
      </w:pPr>
    </w:p>
    <w:p w14:paraId="6AE2E358" w14:textId="77777777" w:rsidR="00F41911" w:rsidRDefault="00F41911">
      <w:pPr>
        <w:pStyle w:val="BodyText"/>
        <w:rPr>
          <w:sz w:val="20"/>
        </w:rPr>
      </w:pPr>
    </w:p>
    <w:p w14:paraId="1D389172" w14:textId="77777777" w:rsidR="00F41911" w:rsidRDefault="00F41911">
      <w:pPr>
        <w:pStyle w:val="BodyText"/>
        <w:spacing w:before="6"/>
      </w:pPr>
    </w:p>
    <w:p w14:paraId="1E307A3D" w14:textId="77777777" w:rsidR="00F41911" w:rsidRDefault="00FE087E">
      <w:pPr>
        <w:pStyle w:val="BodyText"/>
        <w:ind w:left="120"/>
      </w:pPr>
      <w:r>
        <w:t>GHz frequency range under the proposed requirements discussed below - which include a duty cycle limit</w:t>
      </w:r>
    </w:p>
    <w:p w14:paraId="44CE3600" w14:textId="241FC1D6" w:rsidR="00F41911" w:rsidRDefault="00FE087E">
      <w:pPr>
        <w:pStyle w:val="BodyText"/>
        <w:ind w:left="120" w:right="278"/>
      </w:pPr>
      <w:r>
        <w:t xml:space="preserve">- should we remove the current provision that permits operation in this band at 10 dBm EIRP with no duty cycle limit? Should we modify our rules in any other respect? We also </w:t>
      </w:r>
      <w:r w:rsidR="009D38B3" w:rsidRPr="009D38B3">
        <w:rPr>
          <w:highlight w:val="yellow"/>
        </w:rPr>
        <w:t>seek comment</w:t>
      </w:r>
      <w:r>
        <w:t xml:space="preserve"> on the benefits or costs of these proposed changes with respect to 60 GHz authorized users. Parties that oppose these proposed rules should cite specific harms that they believe would result from changing the rules.</w:t>
      </w:r>
    </w:p>
    <w:p w14:paraId="35FA6E8D" w14:textId="77777777" w:rsidR="00F41911" w:rsidRDefault="00FE087E">
      <w:pPr>
        <w:pStyle w:val="Heading1"/>
        <w:tabs>
          <w:tab w:val="left" w:pos="2279"/>
        </w:tabs>
        <w:spacing w:before="120"/>
      </w:pPr>
      <w:r>
        <w:t>2.</w:t>
      </w:r>
      <w:r>
        <w:tab/>
        <w:t>Power</w:t>
      </w:r>
      <w:r>
        <w:rPr>
          <w:spacing w:val="-1"/>
        </w:rPr>
        <w:t xml:space="preserve"> </w:t>
      </w:r>
      <w:r>
        <w:t>Limits</w:t>
      </w:r>
    </w:p>
    <w:p w14:paraId="636FD4D0" w14:textId="77777777" w:rsidR="00F41911" w:rsidRDefault="00FE087E">
      <w:pPr>
        <w:pStyle w:val="ListParagraph"/>
        <w:numPr>
          <w:ilvl w:val="0"/>
          <w:numId w:val="7"/>
        </w:numPr>
        <w:tabs>
          <w:tab w:val="left" w:pos="1559"/>
          <w:tab w:val="left" w:pos="1561"/>
        </w:tabs>
        <w:ind w:right="118" w:firstLine="720"/>
      </w:pPr>
      <w:r>
        <w:rPr>
          <w:i/>
        </w:rPr>
        <w:t>EIRP Limits</w:t>
      </w:r>
      <w:r>
        <w:t>. The current rules permit FDS devices to operate at a maximum 10 dBm EIRP. All of the waiver requests we received requested a maximum of 13 dBm EIRP to provide greater accuracy and finer resolution imaging. Subsequent waiver requests to Google’s waiver described the intended target detection to be either in the sub-millimeter range such as the breathing patterns of a child in a car seat,</w:t>
      </w:r>
      <w:r>
        <w:rPr>
          <w:position w:val="6"/>
          <w:sz w:val="13"/>
        </w:rPr>
        <w:t xml:space="preserve">52 </w:t>
      </w:r>
      <w:r>
        <w:t>or as in the case of Leica Geosystems AG, thin cables as small as 2.5 mm in diameter;</w:t>
      </w:r>
      <w:r>
        <w:rPr>
          <w:position w:val="6"/>
          <w:sz w:val="13"/>
        </w:rPr>
        <w:t xml:space="preserve">53 </w:t>
      </w:r>
      <w:r>
        <w:t>thus, requesters argue that 60 GHz FDS devices need higher power than specified in the rules, because the existing power levels do not allow the devices to provide the necessary accuracy in detection of small-size targets due to poor signal-to-noise</w:t>
      </w:r>
      <w:r>
        <w:rPr>
          <w:spacing w:val="-17"/>
        </w:rPr>
        <w:t xml:space="preserve"> </w:t>
      </w:r>
      <w:r>
        <w:t>ratio.</w:t>
      </w:r>
    </w:p>
    <w:p w14:paraId="5444153D" w14:textId="77777777" w:rsidR="00F41911" w:rsidRDefault="00FE087E">
      <w:pPr>
        <w:pStyle w:val="ListParagraph"/>
        <w:numPr>
          <w:ilvl w:val="0"/>
          <w:numId w:val="7"/>
        </w:numPr>
        <w:tabs>
          <w:tab w:val="left" w:pos="1559"/>
          <w:tab w:val="left" w:pos="1561"/>
        </w:tabs>
        <w:ind w:right="501" w:firstLine="720"/>
      </w:pPr>
      <w:r>
        <w:t>We propose to allow FDS devices to operate at no more than 20 dBm average EIRP. This proposed EIRP limit is higher than the level requested in the multiple waivers that we received;</w:t>
      </w:r>
      <w:r>
        <w:rPr>
          <w:position w:val="6"/>
          <w:sz w:val="13"/>
        </w:rPr>
        <w:t xml:space="preserve">54 </w:t>
      </w:r>
      <w:r>
        <w:t>however, it is consistent with ETSI EN 305 550.  We believe this EIRP level will promote</w:t>
      </w:r>
      <w:r>
        <w:rPr>
          <w:spacing w:val="-19"/>
        </w:rPr>
        <w:t xml:space="preserve"> </w:t>
      </w:r>
      <w:r>
        <w:t>additional</w:t>
      </w:r>
    </w:p>
    <w:p w14:paraId="52EFB1A8" w14:textId="551EBC30" w:rsidR="00F41911" w:rsidRDefault="00FE087E">
      <w:pPr>
        <w:pStyle w:val="BodyText"/>
        <w:ind w:left="120" w:right="136"/>
      </w:pPr>
      <w:r>
        <w:t>growth for new FDS applications beyond those anticipated to be deployed under the Commission’s issued and pending waiver requests. We also believe that harmonization with other regions will likely increase efficiency for American manufacturers by reducing design and manufacturing costs. We further believe that this EIRP limit will not cause harmful interference to authorized services in the band. These radars will operate at a comparatively much lower EIRP level than what is already permitted for communication devices (indoors and outdoors) in the same frequency band. Communication devices such as 60 GHz WLAN devices can operate at up to 40 dBm EIRP, as compared to the 20 dBm EIRP limit that we are proposing for radars.  We note that a WLAN device may already have to operate in the presence of signals from neighboring WLAN devices and other Part 15 devices operating at similar power levels; thus the proposed lower EIRP limit for FDS devices should have little or no effect on the operational environment that WLAN devices can expect under our rules.</w:t>
      </w:r>
      <w:r>
        <w:rPr>
          <w:position w:val="6"/>
          <w:sz w:val="13"/>
        </w:rPr>
        <w:t xml:space="preserve">55 </w:t>
      </w:r>
      <w:r>
        <w:t>We also observe that 60 GHz WLAN devices have operated at this EIRP limit (i.e., 40 dBm average/43 dBm peak) for several years without causing harmful interference to other authorized services, such as the Passive EESS operating at 57-59.3 GHz. In addition, the IEEE 802.11 standards group’s activity to define channel access protocols to allow transmission of radar signals alongside communication signals may allow coexistence of both signals in the 60 GHz band.</w:t>
      </w:r>
      <w:r>
        <w:rPr>
          <w:position w:val="6"/>
          <w:sz w:val="13"/>
        </w:rPr>
        <w:t xml:space="preserve">56 </w:t>
      </w:r>
      <w:r>
        <w:t xml:space="preserve">We </w:t>
      </w:r>
      <w:r w:rsidR="009D38B3" w:rsidRPr="009D38B3">
        <w:rPr>
          <w:highlight w:val="yellow"/>
        </w:rPr>
        <w:t>seek comment</w:t>
      </w:r>
      <w:r>
        <w:t xml:space="preserve"> on the proposed EIRP level for FDS devices and on our tentative interference assessment. We also </w:t>
      </w:r>
      <w:r w:rsidR="009D38B3" w:rsidRPr="009D38B3">
        <w:rPr>
          <w:highlight w:val="yellow"/>
        </w:rPr>
        <w:t>seek comment</w:t>
      </w:r>
      <w:r>
        <w:t xml:space="preserve"> on the state of standards development — specifically, with respect to coexistence issues between radar signals and communications signals. Should the Commission specify any coexistence measures or requirements, such as listen-before-talk in its</w:t>
      </w:r>
      <w:r>
        <w:rPr>
          <w:spacing w:val="-22"/>
        </w:rPr>
        <w:t xml:space="preserve"> </w:t>
      </w:r>
      <w:r>
        <w:t>rules?</w:t>
      </w:r>
    </w:p>
    <w:p w14:paraId="507F5478" w14:textId="3633E1DA" w:rsidR="00F41911" w:rsidRDefault="00FE087E">
      <w:pPr>
        <w:pStyle w:val="BodyText"/>
        <w:ind w:left="120" w:right="112"/>
      </w:pPr>
      <w:r>
        <w:t xml:space="preserve">Does the fact that many radars are mobile mean that they will not be used in close proximity to communication devices for extended periods of time, thus limiting any potential for causing interference to short durations?  Further, we </w:t>
      </w:r>
      <w:r w:rsidR="009D38B3" w:rsidRPr="009D38B3">
        <w:rPr>
          <w:highlight w:val="yellow"/>
        </w:rPr>
        <w:t>seek comment</w:t>
      </w:r>
      <w:r>
        <w:t xml:space="preserve"> on the benefits or costs of the proposed change to the EIRP</w:t>
      </w:r>
    </w:p>
    <w:p w14:paraId="3FD862A6" w14:textId="77777777" w:rsidR="00F41911" w:rsidRDefault="004D2E02">
      <w:pPr>
        <w:pStyle w:val="BodyText"/>
        <w:spacing w:before="3"/>
        <w:rPr>
          <w:sz w:val="9"/>
        </w:rPr>
      </w:pPr>
      <w:r>
        <w:pict w14:anchorId="16188296">
          <v:line id="_x0000_s1041" style="position:absolute;z-index:251654656;mso-wrap-distance-left:0;mso-wrap-distance-right:0;mso-position-horizontal-relative:page" from="1in,7.7pt" to="215.5pt,7.7pt" strokeweight=".72pt">
            <w10:wrap type="topAndBottom" anchorx="page"/>
          </v:line>
        </w:pict>
      </w:r>
    </w:p>
    <w:p w14:paraId="6B4D5916" w14:textId="77777777" w:rsidR="00F41911" w:rsidRDefault="00FE087E">
      <w:pPr>
        <w:spacing w:before="69"/>
        <w:ind w:left="120" w:right="354"/>
        <w:rPr>
          <w:sz w:val="20"/>
        </w:rPr>
      </w:pPr>
      <w:r>
        <w:rPr>
          <w:position w:val="6"/>
          <w:sz w:val="13"/>
        </w:rPr>
        <w:t xml:space="preserve">52 </w:t>
      </w:r>
      <w:r>
        <w:rPr>
          <w:i/>
          <w:sz w:val="20"/>
        </w:rPr>
        <w:t>See, e.g.</w:t>
      </w:r>
      <w:r>
        <w:rPr>
          <w:sz w:val="20"/>
        </w:rPr>
        <w:t xml:space="preserve">, </w:t>
      </w:r>
      <w:r>
        <w:rPr>
          <w:i/>
          <w:sz w:val="20"/>
        </w:rPr>
        <w:t>Vayyar Imaging Ltd. Modification of Request for Limited Waiver of 47 CFR 15.255</w:t>
      </w:r>
      <w:r>
        <w:rPr>
          <w:sz w:val="20"/>
        </w:rPr>
        <w:t>, ET Docket 20-15 (filed May 5, 2020) at 4.</w:t>
      </w:r>
    </w:p>
    <w:p w14:paraId="115F9895" w14:textId="77777777" w:rsidR="00F41911" w:rsidRDefault="00FE087E">
      <w:pPr>
        <w:spacing w:before="119"/>
        <w:ind w:left="120" w:right="165"/>
        <w:rPr>
          <w:sz w:val="20"/>
        </w:rPr>
      </w:pPr>
      <w:r>
        <w:rPr>
          <w:position w:val="6"/>
          <w:sz w:val="13"/>
        </w:rPr>
        <w:t xml:space="preserve">53 </w:t>
      </w:r>
      <w:r>
        <w:rPr>
          <w:i/>
          <w:sz w:val="20"/>
        </w:rPr>
        <w:t>See In the Matter of Leica Geosystems AG’s Request for Waiver of part 15 of the Commission’s Rules to Market a UAV Collision Avoidance Radar</w:t>
      </w:r>
      <w:r>
        <w:rPr>
          <w:sz w:val="20"/>
        </w:rPr>
        <w:t xml:space="preserve">, ET Docket No. 19-350, Order, 35 FCC Rcd 7929 (2020). </w:t>
      </w:r>
      <w:r>
        <w:rPr>
          <w:i/>
          <w:sz w:val="20"/>
        </w:rPr>
        <w:t xml:space="preserve">See also supra </w:t>
      </w:r>
      <w:hyperlink w:anchor="_bookmark0" w:history="1">
        <w:r>
          <w:rPr>
            <w:sz w:val="20"/>
          </w:rPr>
          <w:t>para 8</w:t>
        </w:r>
      </w:hyperlink>
      <w:r>
        <w:rPr>
          <w:sz w:val="20"/>
        </w:rPr>
        <w:t xml:space="preserve"> (discussing this waiver).</w:t>
      </w:r>
    </w:p>
    <w:p w14:paraId="1B6D3BB6" w14:textId="77777777" w:rsidR="00F41911" w:rsidRDefault="00FE087E">
      <w:pPr>
        <w:spacing w:before="119"/>
        <w:ind w:left="120" w:right="771"/>
        <w:rPr>
          <w:sz w:val="20"/>
        </w:rPr>
      </w:pPr>
      <w:r>
        <w:rPr>
          <w:position w:val="6"/>
          <w:sz w:val="13"/>
        </w:rPr>
        <w:t xml:space="preserve">54 </w:t>
      </w:r>
      <w:r>
        <w:rPr>
          <w:sz w:val="20"/>
        </w:rPr>
        <w:t xml:space="preserve">All the 60 GHz waiver requests asked for 13 dBm EIRP, which is the same level we granted in the </w:t>
      </w:r>
      <w:r>
        <w:rPr>
          <w:i/>
          <w:sz w:val="20"/>
        </w:rPr>
        <w:t>Google Waiver</w:t>
      </w:r>
      <w:r>
        <w:rPr>
          <w:sz w:val="20"/>
        </w:rPr>
        <w:t>.</w:t>
      </w:r>
    </w:p>
    <w:p w14:paraId="489875B5" w14:textId="77777777" w:rsidR="00F41911" w:rsidRDefault="00FE087E">
      <w:pPr>
        <w:spacing w:before="119"/>
        <w:ind w:left="120" w:right="765"/>
        <w:rPr>
          <w:sz w:val="20"/>
        </w:rPr>
      </w:pPr>
      <w:r>
        <w:rPr>
          <w:position w:val="6"/>
          <w:sz w:val="13"/>
        </w:rPr>
        <w:t xml:space="preserve">55 </w:t>
      </w:r>
      <w:r>
        <w:rPr>
          <w:sz w:val="20"/>
        </w:rPr>
        <w:t>Although IEEE standard-based protocols may employ a sensing mechanism before transmitting, this is not required for devices operating under the Part 15.255 rules.</w:t>
      </w:r>
    </w:p>
    <w:p w14:paraId="1BE86A43" w14:textId="77777777" w:rsidR="00F41911" w:rsidRDefault="00FE087E">
      <w:pPr>
        <w:spacing w:before="119"/>
        <w:ind w:left="120"/>
        <w:rPr>
          <w:sz w:val="20"/>
        </w:rPr>
      </w:pPr>
      <w:r>
        <w:rPr>
          <w:position w:val="6"/>
          <w:sz w:val="13"/>
        </w:rPr>
        <w:t xml:space="preserve">56  </w:t>
      </w:r>
      <w:r>
        <w:rPr>
          <w:i/>
          <w:sz w:val="20"/>
        </w:rPr>
        <w:t xml:space="preserve">See supra </w:t>
      </w:r>
      <w:hyperlink w:anchor="_bookmark4" w:history="1">
        <w:r>
          <w:rPr>
            <w:sz w:val="20"/>
          </w:rPr>
          <w:t>note 39.</w:t>
        </w:r>
      </w:hyperlink>
    </w:p>
    <w:p w14:paraId="3E414716" w14:textId="77777777" w:rsidR="00F41911" w:rsidRDefault="00F41911">
      <w:pPr>
        <w:rPr>
          <w:sz w:val="20"/>
        </w:rPr>
        <w:sectPr w:rsidR="00F41911">
          <w:pgSz w:w="12240" w:h="15840"/>
          <w:pgMar w:top="980" w:right="1320" w:bottom="960" w:left="1320" w:header="729" w:footer="713" w:gutter="0"/>
          <w:cols w:space="720"/>
        </w:sectPr>
      </w:pPr>
    </w:p>
    <w:p w14:paraId="6950DA0D" w14:textId="77777777" w:rsidR="00F41911" w:rsidRDefault="00F41911">
      <w:pPr>
        <w:pStyle w:val="BodyText"/>
        <w:rPr>
          <w:sz w:val="20"/>
        </w:rPr>
      </w:pPr>
    </w:p>
    <w:p w14:paraId="5DCA145D" w14:textId="77777777" w:rsidR="00F41911" w:rsidRDefault="00F41911">
      <w:pPr>
        <w:pStyle w:val="BodyText"/>
        <w:spacing w:before="6"/>
      </w:pPr>
    </w:p>
    <w:p w14:paraId="2C7C265A" w14:textId="77777777" w:rsidR="00F41911" w:rsidRDefault="00FE087E">
      <w:pPr>
        <w:pStyle w:val="BodyText"/>
        <w:ind w:left="120" w:right="227"/>
      </w:pPr>
      <w:r>
        <w:t>limit with respect to 60 GHz authorized users. How would this change, if adopted, benefit stakeholders, consumers and others? Parties that oppose these proposed rules should: cite specific harms that they believe will result from changing the rules in the manner proposed, estimate the costs of such potential harms, and specify under what parameters they believe radar systems can coexist with communications systems in the band.</w:t>
      </w:r>
    </w:p>
    <w:p w14:paraId="31D81A1F" w14:textId="7650CEE5" w:rsidR="00F41911" w:rsidRDefault="00FE087E">
      <w:pPr>
        <w:pStyle w:val="ListParagraph"/>
        <w:numPr>
          <w:ilvl w:val="0"/>
          <w:numId w:val="7"/>
        </w:numPr>
        <w:tabs>
          <w:tab w:val="left" w:pos="1559"/>
          <w:tab w:val="left" w:pos="1561"/>
        </w:tabs>
        <w:ind w:right="144" w:firstLine="720"/>
      </w:pPr>
      <w:r>
        <w:t xml:space="preserve">Because 60 GHz FDS devices will need to coexist with 60 GHz communications devices, we also </w:t>
      </w:r>
      <w:r w:rsidR="009D38B3" w:rsidRPr="009D38B3">
        <w:rPr>
          <w:highlight w:val="yellow"/>
        </w:rPr>
        <w:t>seek comment</w:t>
      </w:r>
      <w:r>
        <w:t xml:space="preserve"> on the state of development in the 60 GHz communications device ecosystem. What is the current state of deployment of 60 GHz communications systems? What use cases are supported by 60 GHz communications systems today, and what use cases are contemplated for these systems in the future? Do 60 GHz communications systems generally take advantage of the higher EIRP limits permitted under our rules?  Facebook, Intel, and Qualcomm assert that the 60 GHz band will be used by unlicensed devices for latency-sensitive</w:t>
      </w:r>
      <w:r>
        <w:rPr>
          <w:position w:val="6"/>
          <w:sz w:val="13"/>
        </w:rPr>
        <w:t xml:space="preserve">57 </w:t>
      </w:r>
      <w:r>
        <w:t>augmented reality/virtual reality/extended reality (AR/VR/XR)</w:t>
      </w:r>
      <w:r>
        <w:rPr>
          <w:position w:val="6"/>
          <w:sz w:val="13"/>
        </w:rPr>
        <w:t xml:space="preserve">58 </w:t>
      </w:r>
      <w:r>
        <w:t>applications.</w:t>
      </w:r>
      <w:r>
        <w:rPr>
          <w:position w:val="6"/>
          <w:sz w:val="13"/>
        </w:rPr>
        <w:t xml:space="preserve">59 </w:t>
      </w:r>
      <w:r>
        <w:t>Is this likely to be a widely-deployed use case in the 60 GHz band? Do AR/VR/XR applications present distinct interference scenarios or raise other considerations compared to other 60 GHz WLAN applications? Do 60 GHz unlicensed communications systems operate throughout the entirety of the 60 GHz band? Could these systems operate effectively in a subsection of the overall band, for example, the 64-71 GHz band</w:t>
      </w:r>
      <w:r>
        <w:rPr>
          <w:spacing w:val="-8"/>
        </w:rPr>
        <w:t xml:space="preserve"> </w:t>
      </w:r>
      <w:r>
        <w:t>segment?</w:t>
      </w:r>
    </w:p>
    <w:p w14:paraId="4A6EDF6B" w14:textId="77777777" w:rsidR="00F41911" w:rsidRDefault="00FE087E">
      <w:pPr>
        <w:pStyle w:val="ListParagraph"/>
        <w:numPr>
          <w:ilvl w:val="0"/>
          <w:numId w:val="7"/>
        </w:numPr>
        <w:tabs>
          <w:tab w:val="left" w:pos="1559"/>
          <w:tab w:val="left" w:pos="1561"/>
        </w:tabs>
        <w:ind w:right="131" w:firstLine="720"/>
      </w:pPr>
      <w:r>
        <w:rPr>
          <w:i/>
        </w:rPr>
        <w:t>Transmitter Conducted Output Power Limit</w:t>
      </w:r>
      <w:r>
        <w:t>. The rules currently permit FDS devices to operate at a maximum -10 dBm transmitter conducted output power, whereas 60 GHz WLAN devices are allowed up to 27 dBm.</w:t>
      </w:r>
      <w:r>
        <w:rPr>
          <w:position w:val="6"/>
          <w:sz w:val="13"/>
        </w:rPr>
        <w:t xml:space="preserve">60 </w:t>
      </w:r>
      <w:r>
        <w:t>We propose to allow FDS devices to operate at a maximum 10 dBm conducted output power, consistent with the waivers the Commission has already granted in the band. We note that the ETSI standard specifies the conducted output power as a mean (average) limit, rather than a peak limit as our rules do.</w:t>
      </w:r>
      <w:r>
        <w:rPr>
          <w:position w:val="6"/>
          <w:sz w:val="13"/>
        </w:rPr>
        <w:t xml:space="preserve">61 </w:t>
      </w:r>
      <w:r>
        <w:t>We seek input on whether the Commission should consider average transmitter conducted output power limit and what impact this would have on the different types of FDS devices (e.g., FMCW, pulse, etc.). On the other hand, we note that for 60 GHz transmitters, including communications and radar devices, that are implemented at the chip level, access to the transmitter output port may not be available, rendering a demonstration of compliance to this requirement burdensome. We seek input on whether this requirement is necessary in view of the technological evolution of</w:t>
      </w:r>
      <w:r>
        <w:rPr>
          <w:spacing w:val="-20"/>
        </w:rPr>
        <w:t xml:space="preserve"> </w:t>
      </w:r>
      <w:r>
        <w:t>such</w:t>
      </w:r>
    </w:p>
    <w:p w14:paraId="1A7DE2A4" w14:textId="77777777" w:rsidR="00F41911" w:rsidRDefault="00FE087E">
      <w:pPr>
        <w:pStyle w:val="BodyText"/>
        <w:ind w:left="120" w:right="278"/>
      </w:pPr>
      <w:r>
        <w:t>system-on-chip devices.</w:t>
      </w:r>
      <w:r>
        <w:rPr>
          <w:position w:val="6"/>
          <w:sz w:val="13"/>
        </w:rPr>
        <w:t xml:space="preserve">62 </w:t>
      </w:r>
      <w:r>
        <w:t>A 10 dBm transmitter conducted output power limit along with a 20 dBm EIRP limit implies a limit on transmit antenna gain. We inquire as to whether the transmitter conducted output power limit instead should be replaced by an antenna gain limit. If so, what limit would be appropriate?  Should an antenna gain limit be applied to all 60 GHz transmitters, including 60 GHz</w:t>
      </w:r>
    </w:p>
    <w:p w14:paraId="6A6C6E17" w14:textId="77777777" w:rsidR="00F41911" w:rsidRDefault="004D2E02">
      <w:pPr>
        <w:pStyle w:val="BodyText"/>
        <w:spacing w:before="3"/>
        <w:rPr>
          <w:sz w:val="23"/>
        </w:rPr>
      </w:pPr>
      <w:r>
        <w:pict w14:anchorId="45566BCA">
          <v:line id="_x0000_s1040" style="position:absolute;z-index:251655680;mso-wrap-distance-left:0;mso-wrap-distance-right:0;mso-position-horizontal-relative:page" from="1in,15.75pt" to="215.5pt,15.75pt" strokeweight=".72pt">
            <w10:wrap type="topAndBottom" anchorx="page"/>
          </v:line>
        </w:pict>
      </w:r>
    </w:p>
    <w:p w14:paraId="5CC85141" w14:textId="77777777" w:rsidR="00F41911" w:rsidRDefault="00FE087E">
      <w:pPr>
        <w:spacing w:before="69"/>
        <w:ind w:left="120"/>
        <w:rPr>
          <w:sz w:val="20"/>
        </w:rPr>
      </w:pPr>
      <w:r>
        <w:rPr>
          <w:position w:val="6"/>
          <w:sz w:val="13"/>
        </w:rPr>
        <w:t xml:space="preserve">57 </w:t>
      </w:r>
      <w:r>
        <w:rPr>
          <w:i/>
          <w:sz w:val="20"/>
        </w:rPr>
        <w:t xml:space="preserve">Latency </w:t>
      </w:r>
      <w:r>
        <w:rPr>
          <w:sz w:val="20"/>
        </w:rPr>
        <w:t>refers to how much time it takes for a signal to travel to its destination and back.</w:t>
      </w:r>
    </w:p>
    <w:p w14:paraId="0BE20FD8" w14:textId="77777777" w:rsidR="00F41911" w:rsidRDefault="00FE087E">
      <w:pPr>
        <w:spacing w:before="119"/>
        <w:ind w:left="120" w:right="296"/>
        <w:rPr>
          <w:sz w:val="20"/>
        </w:rPr>
      </w:pPr>
      <w:r>
        <w:rPr>
          <w:position w:val="6"/>
          <w:sz w:val="13"/>
        </w:rPr>
        <w:t xml:space="preserve">58 </w:t>
      </w:r>
      <w:r>
        <w:rPr>
          <w:i/>
          <w:sz w:val="20"/>
        </w:rPr>
        <w:t xml:space="preserve">Augmented Reality </w:t>
      </w:r>
      <w:r>
        <w:rPr>
          <w:sz w:val="20"/>
        </w:rPr>
        <w:t xml:space="preserve">(AR) is the digital creation of a fabricated set of objects that can be interspersed with real world elements, usually through a headset that overlays the objects on the lens, as the user also views their real surroundings. </w:t>
      </w:r>
      <w:r>
        <w:rPr>
          <w:i/>
          <w:sz w:val="20"/>
        </w:rPr>
        <w:t xml:space="preserve">Virtual Reality </w:t>
      </w:r>
      <w:r>
        <w:rPr>
          <w:sz w:val="20"/>
        </w:rPr>
        <w:t xml:space="preserve">(VR) is the digital creation of a fabricated immersive world, typically via a headset technology, that generates all the photons that the eye sees. </w:t>
      </w:r>
      <w:r>
        <w:rPr>
          <w:i/>
          <w:color w:val="292929"/>
          <w:sz w:val="20"/>
        </w:rPr>
        <w:t xml:space="preserve">Extended Reality </w:t>
      </w:r>
      <w:r>
        <w:rPr>
          <w:color w:val="292929"/>
          <w:sz w:val="20"/>
        </w:rPr>
        <w:t xml:space="preserve">(XR) refers to all real-and-virtual combined environments and human-machine interactions generated by computer technology and wearables. </w:t>
      </w:r>
      <w:r>
        <w:rPr>
          <w:i/>
          <w:sz w:val="20"/>
        </w:rPr>
        <w:t xml:space="preserve">See, e.g., </w:t>
      </w:r>
      <w:r>
        <w:rPr>
          <w:sz w:val="20"/>
        </w:rPr>
        <w:t xml:space="preserve">Y. Ghasempour, C. R. C. M. da Silva, C. Cordeiro and E. W. Knightly, "IEEE 802.11ay: Next-Generation 60 GHz Communication for 100 Gb/s Wi-Fi," in </w:t>
      </w:r>
      <w:r>
        <w:rPr>
          <w:i/>
          <w:sz w:val="20"/>
        </w:rPr>
        <w:t>IEEE Communications Magazine</w:t>
      </w:r>
      <w:r>
        <w:rPr>
          <w:sz w:val="20"/>
        </w:rPr>
        <w:t>, vol. 55, no. 12, pp. 186-192, Dec. 2017, doi: 10.1109/MCOM.2017.1700393.</w:t>
      </w:r>
    </w:p>
    <w:p w14:paraId="7A869427" w14:textId="77777777" w:rsidR="00F41911" w:rsidRDefault="00FE087E">
      <w:pPr>
        <w:spacing w:before="119"/>
        <w:ind w:left="120"/>
        <w:rPr>
          <w:sz w:val="20"/>
        </w:rPr>
      </w:pPr>
      <w:r>
        <w:rPr>
          <w:position w:val="6"/>
          <w:sz w:val="13"/>
        </w:rPr>
        <w:t xml:space="preserve">59 </w:t>
      </w:r>
      <w:r>
        <w:rPr>
          <w:sz w:val="20"/>
        </w:rPr>
        <w:t>Letter from Alan Norman, Facebook, Inc.; Carlos Cordeiro, Intel Corporation; and John Kuzin, Qualcomm Inc., to Marlene Dortch, FCC, ET Docket No. 21-48 (filed May 10, 2021) at 2, 9, 10.</w:t>
      </w:r>
    </w:p>
    <w:p w14:paraId="17EE8F56" w14:textId="77777777" w:rsidR="00F41911" w:rsidRDefault="00FE087E">
      <w:pPr>
        <w:spacing w:before="119"/>
        <w:ind w:left="120"/>
        <w:rPr>
          <w:sz w:val="20"/>
        </w:rPr>
      </w:pPr>
      <w:r>
        <w:rPr>
          <w:position w:val="6"/>
          <w:sz w:val="13"/>
        </w:rPr>
        <w:t xml:space="preserve">60  </w:t>
      </w:r>
      <w:r>
        <w:rPr>
          <w:sz w:val="20"/>
        </w:rPr>
        <w:t>47 CFR § 15.255(e).</w:t>
      </w:r>
    </w:p>
    <w:p w14:paraId="35FD90C3" w14:textId="77777777" w:rsidR="00F41911" w:rsidRDefault="00FE087E">
      <w:pPr>
        <w:spacing w:before="119"/>
        <w:ind w:left="120"/>
        <w:rPr>
          <w:sz w:val="20"/>
        </w:rPr>
      </w:pPr>
      <w:r>
        <w:rPr>
          <w:position w:val="6"/>
          <w:sz w:val="13"/>
        </w:rPr>
        <w:t xml:space="preserve">61  </w:t>
      </w:r>
      <w:r>
        <w:rPr>
          <w:i/>
          <w:sz w:val="20"/>
        </w:rPr>
        <w:t xml:space="preserve">See supra </w:t>
      </w:r>
      <w:hyperlink w:anchor="_bookmark2" w:history="1">
        <w:r>
          <w:rPr>
            <w:sz w:val="20"/>
          </w:rPr>
          <w:t>note 30.</w:t>
        </w:r>
      </w:hyperlink>
    </w:p>
    <w:p w14:paraId="5BA75D5C" w14:textId="77777777" w:rsidR="00F41911" w:rsidRDefault="00FE087E">
      <w:pPr>
        <w:spacing w:before="119"/>
        <w:ind w:left="120" w:right="227"/>
        <w:rPr>
          <w:sz w:val="20"/>
        </w:rPr>
      </w:pPr>
      <w:r>
        <w:rPr>
          <w:position w:val="6"/>
          <w:sz w:val="13"/>
        </w:rPr>
        <w:t xml:space="preserve">62 </w:t>
      </w:r>
      <w:r>
        <w:rPr>
          <w:sz w:val="20"/>
        </w:rPr>
        <w:t>A system on a chip (SoC) is an integrated circuit (also known as a "chip") that integrates all or most components of the central control circuit, e.g., transmitter and antenna circuitry, of a device, in contrast to the common traditional motherboard-based architecture, which separates components based on function and connects them through a central interfacing circuit board.</w:t>
      </w:r>
    </w:p>
    <w:p w14:paraId="3EB56811" w14:textId="77777777" w:rsidR="00F41911" w:rsidRDefault="00F41911">
      <w:pPr>
        <w:rPr>
          <w:sz w:val="20"/>
        </w:rPr>
        <w:sectPr w:rsidR="00F41911">
          <w:pgSz w:w="12240" w:h="15840"/>
          <w:pgMar w:top="980" w:right="1320" w:bottom="960" w:left="1320" w:header="729" w:footer="713" w:gutter="0"/>
          <w:cols w:space="720"/>
        </w:sectPr>
      </w:pPr>
    </w:p>
    <w:p w14:paraId="50661F41" w14:textId="77777777" w:rsidR="00F41911" w:rsidRDefault="00F41911">
      <w:pPr>
        <w:pStyle w:val="BodyText"/>
        <w:rPr>
          <w:sz w:val="20"/>
        </w:rPr>
      </w:pPr>
    </w:p>
    <w:p w14:paraId="78C9DA99" w14:textId="77777777" w:rsidR="00F41911" w:rsidRDefault="00F41911">
      <w:pPr>
        <w:pStyle w:val="BodyText"/>
        <w:spacing w:before="6"/>
      </w:pPr>
    </w:p>
    <w:p w14:paraId="72D4258D" w14:textId="2B024DA3" w:rsidR="00F41911" w:rsidRDefault="00FE087E">
      <w:pPr>
        <w:pStyle w:val="BodyText"/>
        <w:ind w:left="120" w:right="124"/>
      </w:pPr>
      <w:r>
        <w:t xml:space="preserve">communication devices, since these devices also have transmitters implemented at the chip level, and thus would encounter the same measurement difficulties? We also </w:t>
      </w:r>
      <w:r w:rsidR="009D38B3" w:rsidRPr="009D38B3">
        <w:rPr>
          <w:highlight w:val="yellow"/>
        </w:rPr>
        <w:t>seek comment</w:t>
      </w:r>
      <w:r>
        <w:t xml:space="preserve"> on whether a transmitter conducted output limit is necessary for 60 GHz transmitters, including communications and radar devices. We seek input on this issue in order to develop a comprehensive record. We also </w:t>
      </w:r>
      <w:r w:rsidR="009D38B3" w:rsidRPr="009D38B3">
        <w:rPr>
          <w:highlight w:val="yellow"/>
        </w:rPr>
        <w:t>seek comment</w:t>
      </w:r>
      <w:r>
        <w:t xml:space="preserve"> on the benefits or costs of the proposed change to the transmitter conducted output power with respect to 60 GHz authorized users.  Proponents of such a change should provide specific details regarding measurement difficulties than might be encountered for system-on-a-chip devices as well as details on what maximum antenna gain they believe should be specified and whether there are circumstances under which that gain can be exceeded (e.g., with a corresponding EIRP</w:t>
      </w:r>
      <w:r>
        <w:rPr>
          <w:spacing w:val="-13"/>
        </w:rPr>
        <w:t xml:space="preserve"> </w:t>
      </w:r>
      <w:r>
        <w:t>reduction).</w:t>
      </w:r>
    </w:p>
    <w:p w14:paraId="4FB189BC" w14:textId="7CBC767E" w:rsidR="00F41911" w:rsidRDefault="00FE087E">
      <w:pPr>
        <w:pStyle w:val="ListParagraph"/>
        <w:numPr>
          <w:ilvl w:val="0"/>
          <w:numId w:val="7"/>
        </w:numPr>
        <w:tabs>
          <w:tab w:val="left" w:pos="1559"/>
          <w:tab w:val="left" w:pos="1561"/>
        </w:tabs>
        <w:ind w:right="124" w:firstLine="720"/>
      </w:pPr>
      <w:r>
        <w:rPr>
          <w:i/>
        </w:rPr>
        <w:t xml:space="preserve">Power Spectral Density Limit.  </w:t>
      </w:r>
      <w:r>
        <w:t xml:space="preserve">The existing rules do not restrict the power spectral density for 60 GHz devices. We propose to require a 13 dBm/MHz EIRP power spectral density on FDS devices, to be consistent with the ETSI limit. This is the same restriction we placed on Google and other parties operating FDS devices pursuant to Commission issued waivers.  We </w:t>
      </w:r>
      <w:r w:rsidR="009D38B3" w:rsidRPr="009D38B3">
        <w:rPr>
          <w:highlight w:val="yellow"/>
        </w:rPr>
        <w:t>seek comment</w:t>
      </w:r>
      <w:r>
        <w:t xml:space="preserve"> on the proposed power spectral density limit. Is there a need for a power spectral density limit, and if so, what is the appropriate limit and for which types of devices should it apply?  For example, would a power spectral density limit be necessary for FDS devices using frequency-modulated continuous wave (FMCW),</w:t>
      </w:r>
      <w:r>
        <w:rPr>
          <w:position w:val="6"/>
          <w:sz w:val="13"/>
        </w:rPr>
        <w:t xml:space="preserve">63 </w:t>
      </w:r>
      <w:r>
        <w:t>or pulse/impulse</w:t>
      </w:r>
      <w:r>
        <w:rPr>
          <w:position w:val="6"/>
          <w:sz w:val="13"/>
        </w:rPr>
        <w:t xml:space="preserve">64  </w:t>
      </w:r>
      <w:r>
        <w:t>transmissions?</w:t>
      </w:r>
      <w:r>
        <w:rPr>
          <w:position w:val="6"/>
          <w:sz w:val="13"/>
        </w:rPr>
        <w:t xml:space="preserve">65  </w:t>
      </w:r>
      <w:r>
        <w:t xml:space="preserve">Although we are mindful of harmonizing the technical rules that we adopt with the existing ETSI standards, we seek input and technical analyses on the utility of this proposed requirement.  FMCW sensors generally modulate their transmission over a frequency band in order to obtain the necessary target resolution. At any given time, FMCW sensor emissions are limited to a small portion of the spectrum. As such, implementing a PSD limit appears to be an appropriate measure for spectrum sharing for these types of sensors. We </w:t>
      </w:r>
      <w:r w:rsidR="009D38B3" w:rsidRPr="009D38B3">
        <w:rPr>
          <w:highlight w:val="yellow"/>
        </w:rPr>
        <w:t>seek comment</w:t>
      </w:r>
      <w:r>
        <w:t xml:space="preserve"> on whether a PSD limit alone is a sufficient power limit to facilitate sharing between field disturbance sensors and communication devices. Are there other FDS modulation techniques that would benefit from a power spectral density limit?  We also </w:t>
      </w:r>
      <w:r w:rsidR="009D38B3" w:rsidRPr="009D38B3">
        <w:rPr>
          <w:highlight w:val="yellow"/>
        </w:rPr>
        <w:t>seek comment</w:t>
      </w:r>
      <w:r>
        <w:t xml:space="preserve"> on the benefits or costs of the proposed power spectral density limit for FDS devices with respect to 60 GHz authorized users. If we do not adopt a power spectral density limit, what are the ramifications if devices are permitted to operate with all of their energy concentrated in a narrow bandwidth? Parties that oppose these proposed rules should cite specific harms that they believe would result by imposing a power spectral density</w:t>
      </w:r>
      <w:r>
        <w:rPr>
          <w:spacing w:val="-14"/>
        </w:rPr>
        <w:t xml:space="preserve"> </w:t>
      </w:r>
      <w:r>
        <w:t>requirement.</w:t>
      </w:r>
    </w:p>
    <w:p w14:paraId="68FDC058" w14:textId="4CB41D78" w:rsidR="00F41911" w:rsidRDefault="00FE087E">
      <w:pPr>
        <w:pStyle w:val="ListParagraph"/>
        <w:numPr>
          <w:ilvl w:val="0"/>
          <w:numId w:val="7"/>
        </w:numPr>
        <w:tabs>
          <w:tab w:val="left" w:pos="1559"/>
          <w:tab w:val="left" w:pos="1561"/>
        </w:tabs>
        <w:ind w:right="210" w:firstLine="720"/>
      </w:pPr>
      <w:r>
        <w:t>We note that the EIRP, transmitter conducted output power, and power density limits proposed here are consistent with those stipulated by the ETSI standard EN 305 550. This standard has been in existence since 2014, thus these limits have been tested and deployed in other geographic regions with similar spectrum allocations.</w:t>
      </w:r>
      <w:r>
        <w:rPr>
          <w:position w:val="6"/>
          <w:sz w:val="13"/>
        </w:rPr>
        <w:t xml:space="preserve">66 </w:t>
      </w:r>
      <w:r>
        <w:t xml:space="preserve">In fact, ETSI released an updated draft of this standard in 2017 and did not recommend changes to the limits. Thus, it appears that these proposed power levels have been successful in providing an environment that supports robust sharing of the 60 GHz spectrum among various users as we are proposing to allow here.  We </w:t>
      </w:r>
      <w:r w:rsidR="009D38B3" w:rsidRPr="009D38B3">
        <w:rPr>
          <w:highlight w:val="yellow"/>
        </w:rPr>
        <w:t>seek comment</w:t>
      </w:r>
      <w:r>
        <w:t xml:space="preserve"> on this view.  We also seek input</w:t>
      </w:r>
      <w:r>
        <w:rPr>
          <w:spacing w:val="-17"/>
        </w:rPr>
        <w:t xml:space="preserve"> </w:t>
      </w:r>
      <w:r>
        <w:t>on</w:t>
      </w:r>
    </w:p>
    <w:p w14:paraId="69C8E202" w14:textId="77777777" w:rsidR="00F41911" w:rsidRDefault="004D2E02">
      <w:pPr>
        <w:pStyle w:val="BodyText"/>
        <w:spacing w:before="2"/>
        <w:rPr>
          <w:sz w:val="16"/>
        </w:rPr>
      </w:pPr>
      <w:r>
        <w:pict w14:anchorId="1F72002C">
          <v:line id="_x0000_s1039" style="position:absolute;z-index:251656704;mso-wrap-distance-left:0;mso-wrap-distance-right:0;mso-position-horizontal-relative:page" from="1in,11.65pt" to="215.5pt,11.65pt" strokeweight=".72pt">
            <w10:wrap type="topAndBottom" anchorx="page"/>
          </v:line>
        </w:pict>
      </w:r>
    </w:p>
    <w:p w14:paraId="5A935219" w14:textId="77777777" w:rsidR="00F41911" w:rsidRDefault="00FE087E">
      <w:pPr>
        <w:spacing w:before="69"/>
        <w:ind w:left="120"/>
        <w:rPr>
          <w:sz w:val="20"/>
        </w:rPr>
      </w:pPr>
      <w:r>
        <w:rPr>
          <w:position w:val="6"/>
          <w:sz w:val="13"/>
        </w:rPr>
        <w:t xml:space="preserve">63 </w:t>
      </w:r>
      <w:r>
        <w:rPr>
          <w:sz w:val="20"/>
        </w:rPr>
        <w:t>In frequency-modulated continuous-wave (FMCW) radars, the transmitted signal of a known stable</w:t>
      </w:r>
    </w:p>
    <w:p w14:paraId="60C16E15" w14:textId="77777777" w:rsidR="00F41911" w:rsidRDefault="00FE087E">
      <w:pPr>
        <w:ind w:left="120" w:right="118"/>
        <w:rPr>
          <w:sz w:val="20"/>
        </w:rPr>
      </w:pPr>
      <w:r>
        <w:rPr>
          <w:sz w:val="20"/>
        </w:rPr>
        <w:t>frequency continuous wave varies up and down in frequency over a fixed period of time by a modulating signal. The frequency difference between the receive signal and the transmit signal increases with delay, and hence with distance.</w:t>
      </w:r>
    </w:p>
    <w:p w14:paraId="77A91622" w14:textId="77777777" w:rsidR="00F41911" w:rsidRDefault="00FE087E">
      <w:pPr>
        <w:spacing w:before="120"/>
        <w:ind w:left="120"/>
        <w:rPr>
          <w:sz w:val="20"/>
        </w:rPr>
      </w:pPr>
      <w:r>
        <w:rPr>
          <w:position w:val="6"/>
          <w:sz w:val="13"/>
        </w:rPr>
        <w:t xml:space="preserve">64 </w:t>
      </w:r>
      <w:r>
        <w:rPr>
          <w:sz w:val="20"/>
        </w:rPr>
        <w:t>In contrast to FMCW radars, p</w:t>
      </w:r>
      <w:r>
        <w:rPr>
          <w:color w:val="222222"/>
          <w:sz w:val="20"/>
        </w:rPr>
        <w:t>ulse radar systems transmit short pulses and calculate the distance to an illuminated target by measuring the time delay between a transmitted pulse and the returning reflected signal.</w:t>
      </w:r>
    </w:p>
    <w:p w14:paraId="2CC315E2" w14:textId="77777777" w:rsidR="00F41911" w:rsidRDefault="00FE087E">
      <w:pPr>
        <w:spacing w:before="119"/>
        <w:ind w:left="120" w:right="289"/>
        <w:rPr>
          <w:sz w:val="20"/>
        </w:rPr>
      </w:pPr>
      <w:r>
        <w:rPr>
          <w:position w:val="6"/>
          <w:sz w:val="13"/>
        </w:rPr>
        <w:t xml:space="preserve">65 </w:t>
      </w:r>
      <w:r>
        <w:rPr>
          <w:sz w:val="20"/>
        </w:rPr>
        <w:t>Typically, a power spectral density is specified to prevent concentration of power into a single channel or carrier while still satisfying the power limit over the entire band; this concern is not applicable to FDS devices using FMCW or pulse/impulse transmissions.</w:t>
      </w:r>
    </w:p>
    <w:p w14:paraId="532B3892" w14:textId="77777777" w:rsidR="00F41911" w:rsidRDefault="00FE087E">
      <w:pPr>
        <w:spacing w:before="119"/>
        <w:ind w:left="120" w:right="142"/>
        <w:rPr>
          <w:sz w:val="20"/>
        </w:rPr>
      </w:pPr>
      <w:r>
        <w:rPr>
          <w:position w:val="6"/>
          <w:sz w:val="13"/>
        </w:rPr>
        <w:t xml:space="preserve">66 </w:t>
      </w:r>
      <w:r>
        <w:rPr>
          <w:sz w:val="20"/>
        </w:rPr>
        <w:t>European Standards (EN) are technical standards which have been ratified by one of the three European standards organizations: European Committee for Standardization (CEN), European Committee for Electrotechnical Standardization (CENELEC), or European Telecommunications Standards Institute (ETSI). European Standards are a key component of the Single European Market, which includes 27 EU member states and 4 non-EU member states.</w:t>
      </w:r>
    </w:p>
    <w:p w14:paraId="3C261F18" w14:textId="77777777" w:rsidR="00F41911" w:rsidRDefault="00F41911">
      <w:pPr>
        <w:rPr>
          <w:sz w:val="20"/>
        </w:rPr>
        <w:sectPr w:rsidR="00F41911">
          <w:pgSz w:w="12240" w:h="15840"/>
          <w:pgMar w:top="980" w:right="1320" w:bottom="960" w:left="1320" w:header="729" w:footer="713" w:gutter="0"/>
          <w:cols w:space="720"/>
        </w:sectPr>
      </w:pPr>
    </w:p>
    <w:p w14:paraId="1D839E55" w14:textId="77777777" w:rsidR="00F41911" w:rsidRDefault="00F41911">
      <w:pPr>
        <w:pStyle w:val="BodyText"/>
        <w:rPr>
          <w:sz w:val="20"/>
        </w:rPr>
      </w:pPr>
    </w:p>
    <w:p w14:paraId="5D5DE8B6" w14:textId="77777777" w:rsidR="00F41911" w:rsidRDefault="00F41911">
      <w:pPr>
        <w:pStyle w:val="BodyText"/>
        <w:spacing w:before="6"/>
      </w:pPr>
    </w:p>
    <w:p w14:paraId="76B5730B" w14:textId="4280F374" w:rsidR="00F41911" w:rsidRDefault="00FE087E">
      <w:pPr>
        <w:pStyle w:val="BodyText"/>
        <w:ind w:left="120" w:right="119"/>
      </w:pPr>
      <w:r>
        <w:t xml:space="preserve">the development status of the draft 2017 ETSI EN 305 550 Standard with respect to the technical parameters we are proposing herein. We understand that </w:t>
      </w:r>
      <w:r>
        <w:rPr>
          <w:color w:val="1F1F1E"/>
        </w:rPr>
        <w:t>ETSI is undertaking a major revision of EN 305 550 to address receiver performance parameters, which the 2014 Harmonized version did not address.</w:t>
      </w:r>
      <w:r>
        <w:rPr>
          <w:position w:val="6"/>
          <w:sz w:val="13"/>
        </w:rPr>
        <w:t xml:space="preserve">67 </w:t>
      </w:r>
      <w:r>
        <w:rPr>
          <w:color w:val="1F1F1E"/>
        </w:rPr>
        <w:t xml:space="preserve">We </w:t>
      </w:r>
      <w:r w:rsidR="009D38B3" w:rsidRPr="009D38B3">
        <w:rPr>
          <w:color w:val="1F1F1E"/>
          <w:highlight w:val="yellow"/>
        </w:rPr>
        <w:t>seek comment</w:t>
      </w:r>
      <w:r>
        <w:rPr>
          <w:color w:val="1F1F1E"/>
        </w:rPr>
        <w:t xml:space="preserve"> on the status of this revision and what changes to the specification are anticipated. In light of this ongoing revision, are changes to our proposed rules warranted? </w:t>
      </w:r>
      <w:r>
        <w:t xml:space="preserve">To develop a comprehensive record, we seek input on current or planned standards, both domestic and international, regarding operation of FDS devices in the 57-71 GHz band, or any subset frequency band thereof. In addition, because radar resolution is generally dependent on bandwidth, we </w:t>
      </w:r>
      <w:r w:rsidR="009D38B3" w:rsidRPr="009D38B3">
        <w:rPr>
          <w:highlight w:val="yellow"/>
        </w:rPr>
        <w:t>seek comment</w:t>
      </w:r>
      <w:r>
        <w:t xml:space="preserve"> on whether the proposed rules will provide the sufficient resolution over the ranges needed for the applications envisioned for radars in the 60 GHz band.</w:t>
      </w:r>
    </w:p>
    <w:p w14:paraId="2A0B608A" w14:textId="2BDD2E9B" w:rsidR="00F41911" w:rsidRDefault="00FE087E">
      <w:pPr>
        <w:pStyle w:val="ListParagraph"/>
        <w:numPr>
          <w:ilvl w:val="0"/>
          <w:numId w:val="7"/>
        </w:numPr>
        <w:tabs>
          <w:tab w:val="left" w:pos="1559"/>
          <w:tab w:val="left" w:pos="1561"/>
        </w:tabs>
        <w:ind w:right="129" w:firstLine="720"/>
      </w:pPr>
      <w:r>
        <w:rPr>
          <w:i/>
        </w:rPr>
        <w:t>Peak vs. Average Power Limits</w:t>
      </w:r>
      <w:r>
        <w:t>. We note that, except for fixed FDS devices that contain their operating bandwidth within the 61.0-61.5 GHz band,</w:t>
      </w:r>
      <w:r>
        <w:rPr>
          <w:position w:val="6"/>
          <w:sz w:val="13"/>
        </w:rPr>
        <w:t xml:space="preserve">68 </w:t>
      </w:r>
      <w:r>
        <w:t>the existing rules for FDS devices do not specify an average power limit, but instead only a peak or maximum power limit,</w:t>
      </w:r>
      <w:r>
        <w:rPr>
          <w:position w:val="6"/>
          <w:sz w:val="13"/>
        </w:rPr>
        <w:t xml:space="preserve">69  </w:t>
      </w:r>
      <w:r>
        <w:t>unlike the power limits for 60 GHz communications devices, where we specify both an average EIRP and a peak EIRP of 3 dB above the average limit.</w:t>
      </w:r>
      <w:r>
        <w:rPr>
          <w:position w:val="6"/>
          <w:sz w:val="13"/>
        </w:rPr>
        <w:t xml:space="preserve">70 </w:t>
      </w:r>
      <w:r>
        <w:t>We observe that 60 GHz FDS and radar devices will mostly use constant- amplitude continuous-wave (CW),</w:t>
      </w:r>
      <w:r>
        <w:rPr>
          <w:position w:val="6"/>
          <w:sz w:val="13"/>
        </w:rPr>
        <w:t xml:space="preserve">71 </w:t>
      </w:r>
      <w:r>
        <w:t>frequency-modulated continuous wave (FMCW), or pulse/impulse transmissions. If the limits are applied only during active transmission (i.e., only over the chirp or pulse duration), then the peak and the average signals will be equivalent. We further note that by specifying the limits only in terms of average power, potential measurement instrument desensitization phenomena can be avoided.</w:t>
      </w:r>
      <w:r>
        <w:rPr>
          <w:position w:val="6"/>
          <w:sz w:val="13"/>
        </w:rPr>
        <w:t xml:space="preserve">72 </w:t>
      </w:r>
      <w:r>
        <w:t xml:space="preserve">We propose to define the power limits for FDS/radar devices in terms of average power and </w:t>
      </w:r>
      <w:r w:rsidR="009D38B3" w:rsidRPr="009D38B3">
        <w:rPr>
          <w:highlight w:val="yellow"/>
        </w:rPr>
        <w:t>seek comment</w:t>
      </w:r>
      <w:r>
        <w:t xml:space="preserve"> on the benefits of such a measurement. Are there consequences to specifying average power measurements rather than peak with respect to the potential to cause harmful interference to authorized users, or for unlicensed radar systems to coexist with unlicensed communications systems? Those who believe that such a change might result in harmful interference should estimate the costs of such interference. Would this change impact passive EESS users in the 57-59.3 GHz band? Are there are other possible FDS/radar modulation techniques that would make requiring a peak power limit</w:t>
      </w:r>
      <w:r>
        <w:rPr>
          <w:spacing w:val="-21"/>
        </w:rPr>
        <w:t xml:space="preserve"> </w:t>
      </w:r>
      <w:r>
        <w:t>necessary?</w:t>
      </w:r>
    </w:p>
    <w:p w14:paraId="11834535" w14:textId="77777777" w:rsidR="00F41911" w:rsidRDefault="00FE087E">
      <w:pPr>
        <w:pStyle w:val="Heading1"/>
        <w:tabs>
          <w:tab w:val="left" w:pos="2279"/>
        </w:tabs>
        <w:spacing w:before="120"/>
      </w:pPr>
      <w:r>
        <w:t>3.</w:t>
      </w:r>
      <w:r>
        <w:tab/>
        <w:t>Duty</w:t>
      </w:r>
      <w:r>
        <w:rPr>
          <w:spacing w:val="-8"/>
        </w:rPr>
        <w:t xml:space="preserve"> </w:t>
      </w:r>
      <w:r>
        <w:t>Cycle</w:t>
      </w:r>
    </w:p>
    <w:p w14:paraId="7402C922" w14:textId="77777777" w:rsidR="00F41911" w:rsidRDefault="00FE087E">
      <w:pPr>
        <w:pStyle w:val="ListParagraph"/>
        <w:numPr>
          <w:ilvl w:val="0"/>
          <w:numId w:val="7"/>
        </w:numPr>
        <w:tabs>
          <w:tab w:val="left" w:pos="1559"/>
          <w:tab w:val="left" w:pos="1561"/>
        </w:tabs>
        <w:ind w:right="154" w:firstLine="720"/>
      </w:pPr>
      <w:r>
        <w:t>The existing rules do not place a duty cycle restriction on 60 GHz devices. Similarly, the ETSI EN 305 550 standard does not stipulate a duty cycle limit for 60 GHz short-range devices; however, the standard does specify requirements for 60 GHz receivers to ensure that they can adequately handle interferer signals.</w:t>
      </w:r>
      <w:r>
        <w:rPr>
          <w:position w:val="6"/>
          <w:sz w:val="13"/>
        </w:rPr>
        <w:t xml:space="preserve">73   </w:t>
      </w:r>
      <w:r>
        <w:t xml:space="preserve">We imposed a 10% duty cycle limit in the </w:t>
      </w:r>
      <w:r>
        <w:rPr>
          <w:i/>
        </w:rPr>
        <w:t xml:space="preserve">Google Waiver Order </w:t>
      </w:r>
      <w:r>
        <w:t>and</w:t>
      </w:r>
      <w:r>
        <w:rPr>
          <w:spacing w:val="-23"/>
        </w:rPr>
        <w:t xml:space="preserve"> </w:t>
      </w:r>
      <w:r>
        <w:t>subsequent</w:t>
      </w:r>
    </w:p>
    <w:p w14:paraId="29EB171D" w14:textId="77777777" w:rsidR="00F41911" w:rsidRDefault="004D2E02">
      <w:pPr>
        <w:pStyle w:val="BodyText"/>
        <w:spacing w:before="10"/>
        <w:rPr>
          <w:sz w:val="14"/>
        </w:rPr>
      </w:pPr>
      <w:r>
        <w:pict w14:anchorId="737D5F03">
          <v:line id="_x0000_s1038" style="position:absolute;z-index:251657728;mso-wrap-distance-left:0;mso-wrap-distance-right:0;mso-position-horizontal-relative:page" from="1in,10.9pt" to="215.5pt,10.9pt" strokeweight=".72pt">
            <w10:wrap type="topAndBottom" anchorx="page"/>
          </v:line>
        </w:pict>
      </w:r>
    </w:p>
    <w:p w14:paraId="3AE26D75" w14:textId="77777777" w:rsidR="00F41911" w:rsidRDefault="00FE087E">
      <w:pPr>
        <w:spacing w:before="69"/>
        <w:ind w:left="120" w:right="405"/>
        <w:rPr>
          <w:sz w:val="20"/>
        </w:rPr>
      </w:pPr>
      <w:r>
        <w:rPr>
          <w:position w:val="6"/>
          <w:sz w:val="13"/>
        </w:rPr>
        <w:t xml:space="preserve">67 </w:t>
      </w:r>
      <w:r>
        <w:rPr>
          <w:i/>
          <w:color w:val="1F1F1E"/>
          <w:sz w:val="20"/>
        </w:rPr>
        <w:t xml:space="preserve">See </w:t>
      </w:r>
      <w:r>
        <w:rPr>
          <w:color w:val="1F1F1E"/>
          <w:sz w:val="20"/>
        </w:rPr>
        <w:t xml:space="preserve">Letter from </w:t>
      </w:r>
      <w:r>
        <w:rPr>
          <w:sz w:val="20"/>
        </w:rPr>
        <w:t>Alan Norman, Facebook, Inc.; Carlos Cordeiro, Intel Corporation; and John Kuzin, Qualcomm Inc., to Marlene Dortch, FCC, ET Docket No. 21-264 (filed July 2, 2021).</w:t>
      </w:r>
    </w:p>
    <w:p w14:paraId="1B8DE4A4" w14:textId="77777777" w:rsidR="00F41911" w:rsidRDefault="00FE087E">
      <w:pPr>
        <w:spacing w:before="119"/>
        <w:ind w:left="120" w:right="195"/>
        <w:rPr>
          <w:sz w:val="20"/>
        </w:rPr>
      </w:pPr>
      <w:r>
        <w:rPr>
          <w:position w:val="6"/>
          <w:sz w:val="13"/>
        </w:rPr>
        <w:t xml:space="preserve">68 </w:t>
      </w:r>
      <w:r>
        <w:rPr>
          <w:sz w:val="20"/>
        </w:rPr>
        <w:t xml:space="preserve">47 CFR § 15.255(c)(2). This provision was adopted in </w:t>
      </w:r>
      <w:r>
        <w:rPr>
          <w:i/>
          <w:sz w:val="20"/>
        </w:rPr>
        <w:t xml:space="preserve">Amendment of Parts 2, 15 and 97 of the Commission’s Rules to Permit Use of Radio Frequencies Above 40 GHz for New Radio Applications, </w:t>
      </w:r>
      <w:r>
        <w:rPr>
          <w:sz w:val="20"/>
        </w:rPr>
        <w:t>ET Docket No. 94-124, FCC 97-267, Memorandum Opinion and Order and Fourth Notice of Proposed Rulemaking, 12 FCC Rcd 12212 (1997). Because the fixed FDS devices operating under this 500-megahertz bandwidth provision are allowed the same power levels as the communication devices, peak and average limits were specified for consistency with the peak and average limits of communication devices.</w:t>
      </w:r>
    </w:p>
    <w:p w14:paraId="2D8937D4" w14:textId="77777777" w:rsidR="00F41911" w:rsidRDefault="00FE087E">
      <w:pPr>
        <w:spacing w:before="119"/>
        <w:ind w:left="120"/>
        <w:rPr>
          <w:sz w:val="20"/>
        </w:rPr>
      </w:pPr>
      <w:r>
        <w:rPr>
          <w:position w:val="6"/>
          <w:sz w:val="13"/>
        </w:rPr>
        <w:t xml:space="preserve">69  </w:t>
      </w:r>
      <w:r>
        <w:rPr>
          <w:sz w:val="20"/>
        </w:rPr>
        <w:t>47 CFR § 15.255(c)(3).</w:t>
      </w:r>
    </w:p>
    <w:p w14:paraId="042F881A" w14:textId="77777777" w:rsidR="00F41911" w:rsidRDefault="00FE087E">
      <w:pPr>
        <w:spacing w:before="119"/>
        <w:ind w:left="120"/>
        <w:rPr>
          <w:sz w:val="20"/>
        </w:rPr>
      </w:pPr>
      <w:r>
        <w:rPr>
          <w:position w:val="6"/>
          <w:sz w:val="13"/>
        </w:rPr>
        <w:t xml:space="preserve">70  </w:t>
      </w:r>
      <w:r>
        <w:rPr>
          <w:sz w:val="20"/>
        </w:rPr>
        <w:t>47 CFR § 15.255(c)(1).</w:t>
      </w:r>
    </w:p>
    <w:p w14:paraId="2E84F6E2" w14:textId="77777777" w:rsidR="00F41911" w:rsidRDefault="00FE087E">
      <w:pPr>
        <w:spacing w:before="119"/>
        <w:ind w:left="120" w:right="894"/>
        <w:rPr>
          <w:sz w:val="20"/>
        </w:rPr>
      </w:pPr>
      <w:r>
        <w:rPr>
          <w:position w:val="6"/>
          <w:sz w:val="13"/>
        </w:rPr>
        <w:t xml:space="preserve">71 </w:t>
      </w:r>
      <w:r>
        <w:rPr>
          <w:sz w:val="20"/>
        </w:rPr>
        <w:t>Continuous-wave radar (CW radar) is a type of radar system where a known stable frequency continuous wav</w:t>
      </w:r>
      <w:hyperlink r:id="rId32">
        <w:r>
          <w:rPr>
            <w:sz w:val="20"/>
          </w:rPr>
          <w:t>e radio</w:t>
        </w:r>
      </w:hyperlink>
      <w:r>
        <w:rPr>
          <w:sz w:val="20"/>
        </w:rPr>
        <w:t xml:space="preserve"> energy is transmitted and then received from any reflecting objects.</w:t>
      </w:r>
    </w:p>
    <w:p w14:paraId="3E0000BC" w14:textId="77777777" w:rsidR="00F41911" w:rsidRDefault="00FE087E">
      <w:pPr>
        <w:spacing w:before="119"/>
        <w:ind w:left="120"/>
        <w:rPr>
          <w:sz w:val="20"/>
        </w:rPr>
      </w:pPr>
      <w:r>
        <w:rPr>
          <w:position w:val="6"/>
          <w:sz w:val="13"/>
        </w:rPr>
        <w:t xml:space="preserve">72 </w:t>
      </w:r>
      <w:r>
        <w:rPr>
          <w:sz w:val="20"/>
        </w:rPr>
        <w:t>ETSI EN 305 550 standard only specifies average limits for SRD.</w:t>
      </w:r>
    </w:p>
    <w:p w14:paraId="212914D3" w14:textId="77777777" w:rsidR="00F41911" w:rsidRDefault="00FE087E">
      <w:pPr>
        <w:spacing w:before="119"/>
        <w:ind w:left="120" w:right="324"/>
        <w:rPr>
          <w:sz w:val="20"/>
        </w:rPr>
      </w:pPr>
      <w:r>
        <w:rPr>
          <w:position w:val="6"/>
          <w:sz w:val="13"/>
        </w:rPr>
        <w:t xml:space="preserve">73 </w:t>
      </w:r>
      <w:r>
        <w:rPr>
          <w:i/>
          <w:sz w:val="20"/>
        </w:rPr>
        <w:t>See Short Range Devices (SRD); Radio equipment to be used in the 40 GHz to 246 GHz frequency range; Harmonized Standard for access to radio spectrum</w:t>
      </w:r>
      <w:r>
        <w:rPr>
          <w:sz w:val="20"/>
        </w:rPr>
        <w:t>, Draft ETSI EN 305 550 V2.1.0 (2017-10), at 18 (stating that “interferer signal handling, defined as the capability of the device to operate as intended in coexistence with interferers, is a receiver parameter for radio applications”).  The standard, which is an updated version of the 2014</w:t>
      </w:r>
    </w:p>
    <w:p w14:paraId="4010A50A" w14:textId="77777777" w:rsidR="00F41911" w:rsidRDefault="00FE087E">
      <w:pPr>
        <w:ind w:right="118"/>
        <w:jc w:val="right"/>
        <w:rPr>
          <w:sz w:val="20"/>
        </w:rPr>
      </w:pPr>
      <w:r>
        <w:rPr>
          <w:sz w:val="20"/>
        </w:rPr>
        <w:t>(continued….)</w:t>
      </w:r>
    </w:p>
    <w:p w14:paraId="599847EC" w14:textId="77777777" w:rsidR="00F41911" w:rsidRDefault="00F41911">
      <w:pPr>
        <w:jc w:val="right"/>
        <w:rPr>
          <w:sz w:val="20"/>
        </w:rPr>
        <w:sectPr w:rsidR="00F41911">
          <w:pgSz w:w="12240" w:h="15840"/>
          <w:pgMar w:top="980" w:right="1320" w:bottom="900" w:left="1320" w:header="729" w:footer="713" w:gutter="0"/>
          <w:cols w:space="720"/>
        </w:sectPr>
      </w:pPr>
    </w:p>
    <w:p w14:paraId="420C1A07" w14:textId="77777777" w:rsidR="00F41911" w:rsidRDefault="00F41911">
      <w:pPr>
        <w:pStyle w:val="BodyText"/>
        <w:rPr>
          <w:sz w:val="20"/>
        </w:rPr>
      </w:pPr>
    </w:p>
    <w:p w14:paraId="654F4A98" w14:textId="77777777" w:rsidR="00F41911" w:rsidRDefault="00F41911">
      <w:pPr>
        <w:pStyle w:val="BodyText"/>
        <w:spacing w:before="6"/>
      </w:pPr>
    </w:p>
    <w:p w14:paraId="2DED9112" w14:textId="77777777" w:rsidR="00F41911" w:rsidRDefault="00FE087E">
      <w:pPr>
        <w:pStyle w:val="BodyText"/>
        <w:ind w:left="120" w:right="142"/>
      </w:pPr>
      <w:r>
        <w:t>waivers for 60 GHz FDS devices operating under higher emission limits than permitted in the rules.</w:t>
      </w:r>
      <w:r>
        <w:rPr>
          <w:position w:val="6"/>
          <w:sz w:val="13"/>
        </w:rPr>
        <w:t xml:space="preserve">74  </w:t>
      </w:r>
      <w:r>
        <w:t>This 10% duty cycle is based on a maximum 3.3 ms transmission time in every 33 ms interval and was derived from Google’s 2018 final agreement with stakeholders from the WLAN communications industry whose technology operates in the 60 GHz spectrum.</w:t>
      </w:r>
      <w:r>
        <w:rPr>
          <w:position w:val="6"/>
          <w:sz w:val="13"/>
        </w:rPr>
        <w:t xml:space="preserve">75 </w:t>
      </w:r>
      <w:r>
        <w:t>We propose to require the same duty cycle restriction as that imposed in the multiple</w:t>
      </w:r>
      <w:r>
        <w:rPr>
          <w:spacing w:val="-18"/>
        </w:rPr>
        <w:t xml:space="preserve"> </w:t>
      </w:r>
      <w:r>
        <w:t>waivers.</w:t>
      </w:r>
    </w:p>
    <w:p w14:paraId="0DE32FF1" w14:textId="77777777" w:rsidR="00F41911" w:rsidRDefault="00FE087E">
      <w:pPr>
        <w:pStyle w:val="ListParagraph"/>
        <w:numPr>
          <w:ilvl w:val="0"/>
          <w:numId w:val="7"/>
        </w:numPr>
        <w:tabs>
          <w:tab w:val="left" w:pos="1559"/>
          <w:tab w:val="left" w:pos="1561"/>
        </w:tabs>
        <w:ind w:right="123" w:firstLine="720"/>
      </w:pPr>
      <w:r>
        <w:t>However, we note that in some of the waiver requests, parties asked for a longer transmission time frame.</w:t>
      </w:r>
      <w:r>
        <w:rPr>
          <w:position w:val="6"/>
          <w:sz w:val="13"/>
        </w:rPr>
        <w:t xml:space="preserve">76   </w:t>
      </w:r>
      <w:r>
        <w:t>We further note certain parties recommend modifying the duty cycle restriction adopted in the waivers to read that “any radar off-time period between two successive radar pulses that is less than 2 ms shall be considered ‘on time’ for purposes of computing the duty cycle.”</w:t>
      </w:r>
      <w:r>
        <w:rPr>
          <w:position w:val="6"/>
          <w:sz w:val="13"/>
        </w:rPr>
        <w:t xml:space="preserve">77 </w:t>
      </w:r>
      <w:r>
        <w:t>These parties express concern that the duty cycle requirement in the waivers will not promote coexistence with communications applications, including AR/VR/XR communication devices which require very high data throughput and very low latency.</w:t>
      </w:r>
      <w:r>
        <w:rPr>
          <w:position w:val="6"/>
          <w:sz w:val="13"/>
        </w:rPr>
        <w:t xml:space="preserve">78 </w:t>
      </w:r>
      <w:r>
        <w:t xml:space="preserve">They point out that the 10% duty cycle requirement could lead to certain radars transmitting very short bursts (in micro-second durations) followed by similarly short silent periods (also in the micro-second durations) during the entire total 33 ms </w:t>
      </w:r>
      <w:bookmarkStart w:id="6" w:name="_bookmark6"/>
      <w:bookmarkEnd w:id="6"/>
      <w:r>
        <w:t>interval.</w:t>
      </w:r>
      <w:r>
        <w:rPr>
          <w:position w:val="6"/>
          <w:sz w:val="13"/>
        </w:rPr>
        <w:t xml:space="preserve">79 </w:t>
      </w:r>
      <w:r>
        <w:t>This would result in interspersed, non-contiguous micro-second short silent intervals during which 60 GHz AR/VR communication devices may have difficulty accessing the spectrum due to the briefness of the radars’ quiet intervals; yet, when added together, the total amount of transmission time and silent intervals would comply with the “10% on, 90% off” definition of a 10% duty</w:t>
      </w:r>
      <w:r>
        <w:rPr>
          <w:spacing w:val="-8"/>
        </w:rPr>
        <w:t xml:space="preserve"> </w:t>
      </w:r>
      <w:r>
        <w:t>cycle.</w:t>
      </w:r>
    </w:p>
    <w:p w14:paraId="5FB2E034" w14:textId="77777777" w:rsidR="00F41911" w:rsidRDefault="00FE087E">
      <w:pPr>
        <w:pStyle w:val="ListParagraph"/>
        <w:numPr>
          <w:ilvl w:val="0"/>
          <w:numId w:val="7"/>
        </w:numPr>
        <w:tabs>
          <w:tab w:val="left" w:pos="1559"/>
          <w:tab w:val="left" w:pos="1561"/>
        </w:tabs>
        <w:ind w:right="307" w:firstLine="720"/>
      </w:pPr>
      <w:r>
        <w:t>On the other hand, other parties indicate that “regulatory guarantees of such latency targets would substantially degrade performance of FMCW radars, which generally need to transmit frequent chirps (to prevent velocity aliasing)</w:t>
      </w:r>
      <w:r>
        <w:rPr>
          <w:position w:val="6"/>
          <w:sz w:val="13"/>
        </w:rPr>
        <w:t xml:space="preserve">80 </w:t>
      </w:r>
      <w:r>
        <w:t>and span a sufficient burst time to enable good velocity resolution.”</w:t>
      </w:r>
      <w:r>
        <w:rPr>
          <w:position w:val="6"/>
          <w:sz w:val="13"/>
        </w:rPr>
        <w:t xml:space="preserve">81 </w:t>
      </w:r>
      <w:r>
        <w:t>These parties argue that a duty cycle rule restricting radars to “guarantee that at least 99% of WiGig packets experience on-air latency of no more than a few milliseconds” would be</w:t>
      </w:r>
      <w:r>
        <w:rPr>
          <w:spacing w:val="-11"/>
        </w:rPr>
        <w:t xml:space="preserve"> </w:t>
      </w:r>
      <w:r>
        <w:t>unnecessary</w:t>
      </w:r>
    </w:p>
    <w:p w14:paraId="6C5018CF" w14:textId="77777777" w:rsidR="00F41911" w:rsidRDefault="004D2E02">
      <w:pPr>
        <w:pStyle w:val="BodyText"/>
        <w:rPr>
          <w:sz w:val="10"/>
        </w:rPr>
      </w:pPr>
      <w:r>
        <w:pict w14:anchorId="2BB2FDC9">
          <v:line id="_x0000_s1037" style="position:absolute;z-index:251658752;mso-wrap-distance-left:0;mso-wrap-distance-right:0;mso-position-horizontal-relative:page" from="1in,8.1pt" to="215.5pt,8.1pt" strokeweight=".72pt">
            <w10:wrap type="topAndBottom" anchorx="page"/>
          </v:line>
        </w:pict>
      </w:r>
    </w:p>
    <w:p w14:paraId="57D4A8F2" w14:textId="77777777" w:rsidR="00F41911" w:rsidRDefault="00FE087E">
      <w:pPr>
        <w:spacing w:before="69"/>
        <w:ind w:left="120" w:right="227"/>
        <w:rPr>
          <w:sz w:val="20"/>
        </w:rPr>
      </w:pPr>
      <w:r>
        <w:rPr>
          <w:sz w:val="20"/>
        </w:rPr>
        <w:t xml:space="preserve">standard, is available at: </w:t>
      </w:r>
      <w:hyperlink r:id="rId33">
        <w:r>
          <w:rPr>
            <w:color w:val="0000FF"/>
            <w:sz w:val="20"/>
            <w:u w:val="single" w:color="0000FF"/>
          </w:rPr>
          <w:t>http://www.etsi.org/deliver/etsi_en/305500_305599/305550/02.01.00_20/en_305550v020100a.pdf</w:t>
        </w:r>
      </w:hyperlink>
      <w:r>
        <w:rPr>
          <w:sz w:val="20"/>
        </w:rPr>
        <w:t xml:space="preserve">. </w:t>
      </w:r>
      <w:r>
        <w:rPr>
          <w:i/>
          <w:sz w:val="20"/>
        </w:rPr>
        <w:t xml:space="preserve">See supra </w:t>
      </w:r>
      <w:r>
        <w:rPr>
          <w:sz w:val="20"/>
        </w:rPr>
        <w:t xml:space="preserve">note </w:t>
      </w:r>
      <w:hyperlink w:anchor="_bookmark2" w:history="1">
        <w:r>
          <w:rPr>
            <w:sz w:val="20"/>
          </w:rPr>
          <w:t>30.</w:t>
        </w:r>
      </w:hyperlink>
    </w:p>
    <w:p w14:paraId="14622D8C" w14:textId="77777777" w:rsidR="00F41911" w:rsidRDefault="00FE087E">
      <w:pPr>
        <w:spacing w:before="119"/>
        <w:ind w:left="120" w:right="139"/>
        <w:rPr>
          <w:sz w:val="20"/>
        </w:rPr>
      </w:pPr>
      <w:r>
        <w:rPr>
          <w:position w:val="6"/>
          <w:sz w:val="13"/>
        </w:rPr>
        <w:t xml:space="preserve">74 </w:t>
      </w:r>
      <w:r>
        <w:rPr>
          <w:sz w:val="20"/>
        </w:rPr>
        <w:t xml:space="preserve">Duty cycle is defined as the fraction of one period in which transmission is active. A period is the time it takes for a signal to complete an </w:t>
      </w:r>
      <w:hyperlink r:id="rId34">
        <w:r>
          <w:rPr>
            <w:sz w:val="20"/>
          </w:rPr>
          <w:t>on-and-off cycle</w:t>
        </w:r>
      </w:hyperlink>
      <w:r>
        <w:rPr>
          <w:sz w:val="20"/>
        </w:rPr>
        <w:t>.  Duty cycle is commonly expressed as a percentage or a ratio.</w:t>
      </w:r>
    </w:p>
    <w:p w14:paraId="157A2157" w14:textId="77777777" w:rsidR="00F41911" w:rsidRDefault="00FE087E">
      <w:pPr>
        <w:spacing w:before="119"/>
        <w:ind w:left="120" w:right="121"/>
        <w:rPr>
          <w:sz w:val="20"/>
        </w:rPr>
      </w:pPr>
      <w:r>
        <w:rPr>
          <w:position w:val="6"/>
          <w:sz w:val="13"/>
        </w:rPr>
        <w:t xml:space="preserve">75 </w:t>
      </w:r>
      <w:r>
        <w:rPr>
          <w:i/>
          <w:sz w:val="20"/>
        </w:rPr>
        <w:t xml:space="preserve">See </w:t>
      </w:r>
      <w:r>
        <w:rPr>
          <w:sz w:val="20"/>
        </w:rPr>
        <w:t>Letter from Megan Anne Stull, Google LLC, and Pankaj Venugopal, Facebook, Inc., to Marlene Dortch, FCC, ET Docket No. 18-70 (filed Sept. 7, 2018). Google agreed to the 3.3 ms duty cycle restriction after extensive consultation with Facebook and other stakeholders, as outlined in the above filing.</w:t>
      </w:r>
    </w:p>
    <w:p w14:paraId="095DB30B" w14:textId="77777777" w:rsidR="00F41911" w:rsidRDefault="00FE087E">
      <w:pPr>
        <w:spacing w:before="119"/>
        <w:ind w:left="120" w:right="227"/>
        <w:rPr>
          <w:sz w:val="20"/>
        </w:rPr>
      </w:pPr>
      <w:r>
        <w:rPr>
          <w:position w:val="6"/>
          <w:sz w:val="13"/>
        </w:rPr>
        <w:t xml:space="preserve">76 </w:t>
      </w:r>
      <w:r>
        <w:rPr>
          <w:sz w:val="20"/>
        </w:rPr>
        <w:t xml:space="preserve">For example, Valeo North America Inc. asked to operate its radar with a 16 ms transmission time in each 160 ms time period, to cover multi-sensor situations. Valeo Reply Comments, ET Docket No. 20-121 at 5 (rec. June 23, 2020). Leica Geosystems AG requested 50% duty cycle over 40 ms time period. </w:t>
      </w:r>
      <w:r>
        <w:rPr>
          <w:i/>
          <w:sz w:val="20"/>
        </w:rPr>
        <w:t>Leica Geosystems AG’s Request for Waiver of part 15 of the Commission’s Rules to Market a UAV Collision Avoidance Radar</w:t>
      </w:r>
      <w:r>
        <w:rPr>
          <w:sz w:val="20"/>
        </w:rPr>
        <w:t>, ET Docket No. 19- 350 (filed Sept. 5, 2019) at 5.</w:t>
      </w:r>
    </w:p>
    <w:p w14:paraId="6AAA5575" w14:textId="77777777" w:rsidR="00F41911" w:rsidRDefault="00FE087E">
      <w:pPr>
        <w:spacing w:before="119"/>
        <w:ind w:left="120" w:right="119"/>
        <w:rPr>
          <w:sz w:val="20"/>
        </w:rPr>
      </w:pPr>
      <w:r>
        <w:rPr>
          <w:position w:val="6"/>
          <w:sz w:val="13"/>
        </w:rPr>
        <w:t xml:space="preserve">77 </w:t>
      </w:r>
      <w:r>
        <w:rPr>
          <w:sz w:val="20"/>
        </w:rPr>
        <w:t>Letter from Alan Norman, Facebook, Inc.; Carlos Cordeiro, Intel Corporation; and John Kuzin, Qualcomm Inc., to Marlene Dortch, FCC, ET Docket No. 21-48 (filed May 10, 2021) at 2. This letter highlights the issues of coexistence between AR/VR communication devices and FDS devices and recommends modifying the existing duty cycle restriction in the multiple waivers to clarify that very short successive radar pulses should be counted as a contiguous on-time transmission interval.</w:t>
      </w:r>
    </w:p>
    <w:p w14:paraId="239D46A4" w14:textId="77777777" w:rsidR="00F41911" w:rsidRDefault="00FE087E">
      <w:pPr>
        <w:spacing w:before="119"/>
        <w:ind w:left="120" w:right="369"/>
        <w:rPr>
          <w:sz w:val="20"/>
        </w:rPr>
      </w:pPr>
      <w:r>
        <w:rPr>
          <w:position w:val="6"/>
          <w:sz w:val="13"/>
        </w:rPr>
        <w:t xml:space="preserve">78 </w:t>
      </w:r>
      <w:r>
        <w:rPr>
          <w:i/>
          <w:sz w:val="20"/>
        </w:rPr>
        <w:t xml:space="preserve">Throughput </w:t>
      </w:r>
      <w:r>
        <w:rPr>
          <w:sz w:val="20"/>
        </w:rPr>
        <w:t xml:space="preserve">is the rate of successful message delivery over a communication channel. </w:t>
      </w:r>
      <w:r>
        <w:rPr>
          <w:i/>
          <w:sz w:val="20"/>
        </w:rPr>
        <w:t xml:space="preserve">Latency </w:t>
      </w:r>
      <w:r>
        <w:rPr>
          <w:sz w:val="20"/>
        </w:rPr>
        <w:t>refers to how much time it takes for a signal to travel to its destination and back.</w:t>
      </w:r>
    </w:p>
    <w:p w14:paraId="63ABD2F3" w14:textId="77777777" w:rsidR="00F41911" w:rsidRDefault="00FE087E">
      <w:pPr>
        <w:spacing w:before="119"/>
        <w:ind w:left="120"/>
        <w:rPr>
          <w:sz w:val="20"/>
        </w:rPr>
      </w:pPr>
      <w:r>
        <w:rPr>
          <w:position w:val="6"/>
          <w:sz w:val="13"/>
        </w:rPr>
        <w:t xml:space="preserve">79 </w:t>
      </w:r>
      <w:r>
        <w:rPr>
          <w:sz w:val="20"/>
        </w:rPr>
        <w:t>Letter from Alan Norman, Facebook, Inc.; Carlos Cordeiro, Intel Corporation; and John Kuzin, Qualcomm Inc., to Marlene Dortch, FCC, ET Docket No. 21-48 (filed May 10, 2021) at 2.</w:t>
      </w:r>
    </w:p>
    <w:p w14:paraId="51C89828" w14:textId="77777777" w:rsidR="00F41911" w:rsidRDefault="00FE087E">
      <w:pPr>
        <w:spacing w:before="119"/>
        <w:ind w:left="120" w:right="278"/>
        <w:rPr>
          <w:sz w:val="20"/>
        </w:rPr>
      </w:pPr>
      <w:r>
        <w:rPr>
          <w:position w:val="6"/>
          <w:sz w:val="13"/>
        </w:rPr>
        <w:t xml:space="preserve">80 </w:t>
      </w:r>
      <w:r>
        <w:rPr>
          <w:sz w:val="20"/>
        </w:rPr>
        <w:t>“Velocity aliasing” occurs when reflections arrive from reflectors moving fast enough for the Doppler frequency to exceed the pulse repetition frequency (PRF), thus resulting in errors.</w:t>
      </w:r>
    </w:p>
    <w:p w14:paraId="1782153E" w14:textId="77777777" w:rsidR="00F41911" w:rsidRDefault="00FE087E">
      <w:pPr>
        <w:spacing w:before="119"/>
        <w:ind w:left="120" w:right="332"/>
        <w:rPr>
          <w:sz w:val="20"/>
        </w:rPr>
      </w:pPr>
      <w:r>
        <w:rPr>
          <w:position w:val="6"/>
          <w:sz w:val="13"/>
        </w:rPr>
        <w:t xml:space="preserve">81 </w:t>
      </w:r>
      <w:r>
        <w:rPr>
          <w:i/>
          <w:sz w:val="20"/>
        </w:rPr>
        <w:t xml:space="preserve">See </w:t>
      </w:r>
      <w:r>
        <w:rPr>
          <w:sz w:val="20"/>
        </w:rPr>
        <w:t>Letter from Megan Anne Stull, Google LLC, to Marlene Dortch, FCC, ET Docket No. 21-48 (filed May 17, 2021), at 2.</w:t>
      </w:r>
    </w:p>
    <w:p w14:paraId="7475B5C6" w14:textId="77777777" w:rsidR="00F41911" w:rsidRDefault="00F41911">
      <w:pPr>
        <w:rPr>
          <w:sz w:val="20"/>
        </w:rPr>
        <w:sectPr w:rsidR="00F41911">
          <w:pgSz w:w="12240" w:h="15840"/>
          <w:pgMar w:top="980" w:right="1320" w:bottom="960" w:left="1320" w:header="729" w:footer="713" w:gutter="0"/>
          <w:cols w:space="720"/>
        </w:sectPr>
      </w:pPr>
    </w:p>
    <w:p w14:paraId="62CB6D5B" w14:textId="77777777" w:rsidR="00F41911" w:rsidRDefault="00F41911">
      <w:pPr>
        <w:pStyle w:val="BodyText"/>
        <w:rPr>
          <w:sz w:val="20"/>
        </w:rPr>
      </w:pPr>
    </w:p>
    <w:p w14:paraId="312F22C9" w14:textId="77777777" w:rsidR="00F41911" w:rsidRDefault="00F41911">
      <w:pPr>
        <w:pStyle w:val="BodyText"/>
        <w:spacing w:before="6"/>
      </w:pPr>
    </w:p>
    <w:p w14:paraId="785653FB" w14:textId="38FC8063" w:rsidR="00F41911" w:rsidRDefault="00FE087E">
      <w:pPr>
        <w:pStyle w:val="BodyText"/>
        <w:ind w:left="120" w:right="150"/>
      </w:pPr>
      <w:r>
        <w:t>due to “radars’ low transmission power, low potential to generate interference, and antenna directionality, as well as propagation loss in the 60 GHz band.”</w:t>
      </w:r>
      <w:r>
        <w:rPr>
          <w:position w:val="6"/>
          <w:sz w:val="13"/>
        </w:rPr>
        <w:t xml:space="preserve">82 </w:t>
      </w:r>
      <w:r>
        <w:t>A regulatory latency target will have a similar impact on pulse radars as well, as the radar’s observable maximum velocity and velocity resolution both depend on the pulse repetition frequency.</w:t>
      </w:r>
      <w:r>
        <w:rPr>
          <w:position w:val="6"/>
          <w:sz w:val="13"/>
        </w:rPr>
        <w:t xml:space="preserve">83 </w:t>
      </w:r>
      <w:r>
        <w:t>As such, should duty cycle be defined differently for radar systems with different modulation techniques (FMCW, pulse, etc.) operating on different time scales?</w:t>
      </w:r>
      <w:r>
        <w:rPr>
          <w:position w:val="6"/>
          <w:sz w:val="13"/>
        </w:rPr>
        <w:t xml:space="preserve">84 </w:t>
      </w:r>
      <w:r>
        <w:t xml:space="preserve">On the other hand, in view of these apparent limitations with respect to maximum velocity and velocity resolution, is duty cycle a suitable parameter for regulation? Can limiting peak and average power within a defined band be a better approach than specifying a duty cycle?  If regulating the duty cycle is necessary, then how should it be defined? We </w:t>
      </w:r>
      <w:r w:rsidR="009D38B3" w:rsidRPr="009D38B3">
        <w:rPr>
          <w:highlight w:val="yellow"/>
        </w:rPr>
        <w:t>seek comment</w:t>
      </w:r>
      <w:r>
        <w:t xml:space="preserve"> and technical input on appropriate parameters for regulation including definition/characterization of the duty cycle with respect to radar devices. We seek input on this issue to maximize the efficiency of both communications and radar operations without unduly degrading the operating environment for unlicensed users of the band or causing harmful interference to authorized users in the band. We also </w:t>
      </w:r>
      <w:r w:rsidR="009D38B3" w:rsidRPr="009D38B3">
        <w:rPr>
          <w:highlight w:val="yellow"/>
        </w:rPr>
        <w:t>seek comment</w:t>
      </w:r>
      <w:r>
        <w:t xml:space="preserve"> on whether radar signals could mimic the spectrum access protocols of communications devices to appear like any other communication signal thereby making a duty cycle restriction unnecessary.  We </w:t>
      </w:r>
      <w:r w:rsidR="009D38B3" w:rsidRPr="009D38B3">
        <w:rPr>
          <w:highlight w:val="yellow"/>
        </w:rPr>
        <w:t>seek comment</w:t>
      </w:r>
      <w:r>
        <w:t xml:space="preserve"> on whether the recent activities in the IEEE standards group examining channel access protocols that would enable the same 60 GHz system transmitting communication signals to transmit radar signals address this issue. Commenters should provide technical detail, studies and analyses supporting their position on how a duty cycle requirement for FDS devices should be specified.</w:t>
      </w:r>
    </w:p>
    <w:p w14:paraId="22E0B1A8" w14:textId="77777777" w:rsidR="00F41911" w:rsidRDefault="00FE087E">
      <w:pPr>
        <w:pStyle w:val="Heading1"/>
        <w:tabs>
          <w:tab w:val="left" w:pos="2279"/>
        </w:tabs>
        <w:spacing w:before="120"/>
      </w:pPr>
      <w:r>
        <w:t>4.</w:t>
      </w:r>
      <w:r>
        <w:tab/>
        <w:t>60 GHz Coexistence Study Group (60CSG)</w:t>
      </w:r>
      <w:r>
        <w:rPr>
          <w:spacing w:val="-22"/>
        </w:rPr>
        <w:t xml:space="preserve"> </w:t>
      </w:r>
      <w:r>
        <w:t>Activities</w:t>
      </w:r>
    </w:p>
    <w:p w14:paraId="210C3C0C" w14:textId="77777777" w:rsidR="00F41911" w:rsidRDefault="00FE087E">
      <w:pPr>
        <w:pStyle w:val="ListParagraph"/>
        <w:numPr>
          <w:ilvl w:val="0"/>
          <w:numId w:val="7"/>
        </w:numPr>
        <w:tabs>
          <w:tab w:val="left" w:pos="1559"/>
          <w:tab w:val="left" w:pos="1561"/>
        </w:tabs>
        <w:ind w:right="199" w:firstLine="720"/>
      </w:pPr>
      <w:r>
        <w:t>We note that the 60 GHz Co-existence Study Group’s activities have been geared toward developing “a consensus approach” to a framework for a potential Commission rulemaking, with discussions concerning duty cycles; transmission on- and off-times; operating bandwidth and channelization (e.g., radar implementations with 2-gigahertz, 4-gigahertz, 7-gigahertz-bandwidth); contention-based protocols; transmit power; and antenna gain.”</w:t>
      </w:r>
      <w:r>
        <w:rPr>
          <w:position w:val="6"/>
          <w:sz w:val="13"/>
        </w:rPr>
        <w:t xml:space="preserve">85 </w:t>
      </w:r>
      <w:r>
        <w:t>Although representatives from the 60CSG recently informed us that the group has yet to achieve consensus on a recommended regulatory approach to accomplish coexistence among the diverse operations in the 60 GHz band, they also described several potential “frameworks” for further unlicensed development in this frequency range.</w:t>
      </w:r>
      <w:r>
        <w:rPr>
          <w:position w:val="6"/>
          <w:sz w:val="13"/>
        </w:rPr>
        <w:t xml:space="preserve">86 </w:t>
      </w:r>
      <w:r>
        <w:t>These include establishing a single rule for radar operations in the 57-64 GHz portion of the 60 GHz band,</w:t>
      </w:r>
      <w:r>
        <w:rPr>
          <w:position w:val="6"/>
          <w:sz w:val="13"/>
        </w:rPr>
        <w:t xml:space="preserve">87 </w:t>
      </w:r>
      <w:r>
        <w:t>establishing a rule based on average power and/or average PSD limits that draws from the ETSI EN 305 550 standard, taking a channelization approach to radars in the 60 GHz band,</w:t>
      </w:r>
      <w:r>
        <w:rPr>
          <w:position w:val="6"/>
          <w:sz w:val="13"/>
        </w:rPr>
        <w:t xml:space="preserve">88  </w:t>
      </w:r>
      <w:r>
        <w:t>and amending</w:t>
      </w:r>
      <w:r>
        <w:rPr>
          <w:spacing w:val="-31"/>
        </w:rPr>
        <w:t xml:space="preserve"> </w:t>
      </w:r>
      <w:r>
        <w:t>the</w:t>
      </w:r>
    </w:p>
    <w:p w14:paraId="6D684CCF" w14:textId="77777777" w:rsidR="00F41911" w:rsidRDefault="004D2E02">
      <w:pPr>
        <w:pStyle w:val="BodyText"/>
        <w:spacing w:before="3"/>
        <w:rPr>
          <w:sz w:val="25"/>
        </w:rPr>
      </w:pPr>
      <w:r>
        <w:pict w14:anchorId="0CBEE010">
          <v:line id="_x0000_s1036" style="position:absolute;z-index:251659776;mso-wrap-distance-left:0;mso-wrap-distance-right:0;mso-position-horizontal-relative:page" from="1in,16.9pt" to="215.5pt,16.9pt" strokeweight=".72pt">
            <w10:wrap type="topAndBottom" anchorx="page"/>
          </v:line>
        </w:pict>
      </w:r>
    </w:p>
    <w:p w14:paraId="555780BB" w14:textId="77777777" w:rsidR="00F41911" w:rsidRDefault="00FE087E">
      <w:pPr>
        <w:spacing w:before="69"/>
        <w:ind w:left="120"/>
        <w:rPr>
          <w:sz w:val="20"/>
        </w:rPr>
      </w:pPr>
      <w:r>
        <w:rPr>
          <w:position w:val="6"/>
          <w:sz w:val="13"/>
        </w:rPr>
        <w:t xml:space="preserve">82  </w:t>
      </w:r>
      <w:r>
        <w:rPr>
          <w:i/>
          <w:sz w:val="20"/>
        </w:rPr>
        <w:t>Id</w:t>
      </w:r>
      <w:r>
        <w:rPr>
          <w:sz w:val="20"/>
        </w:rPr>
        <w:t>. at 3.</w:t>
      </w:r>
    </w:p>
    <w:p w14:paraId="18F2768E" w14:textId="77777777" w:rsidR="00F41911" w:rsidRDefault="00FE087E">
      <w:pPr>
        <w:spacing w:before="119"/>
        <w:ind w:left="120" w:right="150"/>
        <w:rPr>
          <w:sz w:val="20"/>
        </w:rPr>
      </w:pPr>
      <w:r>
        <w:rPr>
          <w:position w:val="6"/>
          <w:sz w:val="13"/>
        </w:rPr>
        <w:t xml:space="preserve">83 </w:t>
      </w:r>
      <w:r>
        <w:rPr>
          <w:i/>
          <w:sz w:val="20"/>
        </w:rPr>
        <w:t xml:space="preserve">See </w:t>
      </w:r>
      <w:r>
        <w:rPr>
          <w:sz w:val="20"/>
        </w:rPr>
        <w:t xml:space="preserve">Pulse Doppler Radar, </w:t>
      </w:r>
      <w:hyperlink r:id="rId35">
        <w:r>
          <w:rPr>
            <w:color w:val="0000FF"/>
            <w:sz w:val="20"/>
            <w:u w:val="single" w:color="0000FF"/>
          </w:rPr>
          <w:t xml:space="preserve">http://user.engineering.uiowa.edu/~ece195/2006/docs/Doppler.pdf </w:t>
        </w:r>
      </w:hyperlink>
      <w:r>
        <w:rPr>
          <w:sz w:val="20"/>
        </w:rPr>
        <w:t xml:space="preserve">(last visited on June 21, 2021); </w:t>
      </w:r>
      <w:r>
        <w:rPr>
          <w:i/>
          <w:sz w:val="20"/>
        </w:rPr>
        <w:t xml:space="preserve">See also </w:t>
      </w:r>
      <w:r>
        <w:rPr>
          <w:sz w:val="20"/>
        </w:rPr>
        <w:t xml:space="preserve">Wikipedia, Pulse-Doppler Radar, </w:t>
      </w:r>
      <w:hyperlink r:id="rId36">
        <w:r>
          <w:rPr>
            <w:color w:val="0000FF"/>
            <w:sz w:val="20"/>
            <w:u w:val="single" w:color="0000FF"/>
          </w:rPr>
          <w:t>https://en.wikipedia.org</w:t>
        </w:r>
      </w:hyperlink>
      <w:hyperlink r:id="rId37">
        <w:r>
          <w:rPr>
            <w:color w:val="0000FF"/>
            <w:sz w:val="20"/>
            <w:u w:val="single" w:color="0000FF"/>
          </w:rPr>
          <w:t xml:space="preserve">/wiki/Pulse-Doppler_radar </w:t>
        </w:r>
      </w:hyperlink>
      <w:r>
        <w:rPr>
          <w:sz w:val="20"/>
        </w:rPr>
        <w:t>(last visited on June 21, 2021).</w:t>
      </w:r>
    </w:p>
    <w:p w14:paraId="28BAD94A" w14:textId="77777777" w:rsidR="00F41911" w:rsidRDefault="00FE087E">
      <w:pPr>
        <w:spacing w:before="119"/>
        <w:ind w:left="120"/>
        <w:rPr>
          <w:sz w:val="20"/>
        </w:rPr>
      </w:pPr>
      <w:r>
        <w:rPr>
          <w:position w:val="6"/>
          <w:sz w:val="13"/>
        </w:rPr>
        <w:t xml:space="preserve">84 </w:t>
      </w:r>
      <w:r>
        <w:rPr>
          <w:sz w:val="20"/>
        </w:rPr>
        <w:t>Letter from Laura Stefani, counsel to Acconeer AB, to Marlene Dortch, FCC, ET Docket No. 21-264 (filed July 2, 2021), at 2.</w:t>
      </w:r>
    </w:p>
    <w:p w14:paraId="232EAC19" w14:textId="77777777" w:rsidR="00F41911" w:rsidRDefault="00FE087E">
      <w:pPr>
        <w:spacing w:before="119"/>
        <w:ind w:left="120" w:right="332"/>
        <w:rPr>
          <w:sz w:val="20"/>
        </w:rPr>
      </w:pPr>
      <w:r>
        <w:rPr>
          <w:position w:val="6"/>
          <w:sz w:val="13"/>
        </w:rPr>
        <w:t xml:space="preserve">85 </w:t>
      </w:r>
      <w:r>
        <w:rPr>
          <w:i/>
          <w:sz w:val="20"/>
        </w:rPr>
        <w:t xml:space="preserve">See </w:t>
      </w:r>
      <w:r>
        <w:rPr>
          <w:sz w:val="20"/>
        </w:rPr>
        <w:t>Letter from Megan Anne Stull, Google LLC, to Marlene Dortch, FCC, ET Docket No. 21-48 (filed May 17, 2021), at 3.</w:t>
      </w:r>
    </w:p>
    <w:p w14:paraId="508D081C" w14:textId="77777777" w:rsidR="00F41911" w:rsidRDefault="00FE087E">
      <w:pPr>
        <w:spacing w:before="119"/>
        <w:ind w:left="120" w:right="162"/>
        <w:rPr>
          <w:sz w:val="20"/>
        </w:rPr>
      </w:pPr>
      <w:r>
        <w:rPr>
          <w:position w:val="6"/>
          <w:sz w:val="13"/>
        </w:rPr>
        <w:t xml:space="preserve">86 </w:t>
      </w:r>
      <w:r>
        <w:rPr>
          <w:sz w:val="20"/>
        </w:rPr>
        <w:t>Letter from Acconeer AB, Continental Automotive GmbH, Facebook, Inc., Google LLC, IEE Sensing Inc., Infineon Technologies, Intel Corporation, Qualcomm Incorporated, Peraso Technologies, Inc., Samsung Electronics America, Socionext, America, Texas Instruments, Inc., and Vayyar Imaging Ltd., to Marlene Dortch, FCC, ET Docket No. 21-48 (filed June 17, 2021).</w:t>
      </w:r>
    </w:p>
    <w:p w14:paraId="4D7CE985" w14:textId="77777777" w:rsidR="00F41911" w:rsidRDefault="00FE087E">
      <w:pPr>
        <w:spacing w:before="119"/>
        <w:ind w:left="120" w:right="245"/>
        <w:rPr>
          <w:i/>
          <w:sz w:val="20"/>
        </w:rPr>
      </w:pPr>
      <w:r>
        <w:rPr>
          <w:position w:val="6"/>
          <w:sz w:val="13"/>
        </w:rPr>
        <w:t xml:space="preserve">87 </w:t>
      </w:r>
      <w:r>
        <w:rPr>
          <w:sz w:val="20"/>
        </w:rPr>
        <w:t xml:space="preserve">This approach would specify parameters for peak EIRP and peak conducted power, with potential inclusion of limits on duty cycle. Some members of the 60CSG also suggest including a maximum time-on value (longest contiguous radar transmission) and/or a minimum time-off value (minimum time between radar transmissions such that the gap is considered “off” from the perspective of duty cycle calculation). </w:t>
      </w:r>
      <w:r>
        <w:rPr>
          <w:i/>
          <w:sz w:val="20"/>
        </w:rPr>
        <w:t>Id.</w:t>
      </w:r>
    </w:p>
    <w:p w14:paraId="4C177ADE" w14:textId="77777777" w:rsidR="00F41911" w:rsidRDefault="00FE087E">
      <w:pPr>
        <w:spacing w:before="119"/>
        <w:ind w:left="120"/>
        <w:rPr>
          <w:sz w:val="20"/>
        </w:rPr>
      </w:pPr>
      <w:r>
        <w:rPr>
          <w:position w:val="6"/>
          <w:sz w:val="13"/>
        </w:rPr>
        <w:t xml:space="preserve">88  </w:t>
      </w:r>
      <w:r>
        <w:rPr>
          <w:sz w:val="20"/>
        </w:rPr>
        <w:t>Under this approach, lower bandwidth radars could be aligned with existing IEEE 802.11 WiGig channels at the</w:t>
      </w:r>
    </w:p>
    <w:p w14:paraId="3BD17189" w14:textId="77777777" w:rsidR="00F41911" w:rsidRDefault="00F41911">
      <w:pPr>
        <w:rPr>
          <w:sz w:val="20"/>
        </w:rPr>
        <w:sectPr w:rsidR="00F41911">
          <w:footerReference w:type="default" r:id="rId38"/>
          <w:pgSz w:w="12240" w:h="15840"/>
          <w:pgMar w:top="980" w:right="1320" w:bottom="1140" w:left="1320" w:header="729" w:footer="943" w:gutter="0"/>
          <w:pgNumType w:start="15"/>
          <w:cols w:space="720"/>
        </w:sectPr>
      </w:pPr>
    </w:p>
    <w:p w14:paraId="6CFD7B45" w14:textId="77777777" w:rsidR="00F41911" w:rsidRDefault="00F41911">
      <w:pPr>
        <w:pStyle w:val="BodyText"/>
        <w:rPr>
          <w:sz w:val="20"/>
        </w:rPr>
      </w:pPr>
    </w:p>
    <w:p w14:paraId="536EF27D" w14:textId="77777777" w:rsidR="00F41911" w:rsidRDefault="00F41911">
      <w:pPr>
        <w:pStyle w:val="BodyText"/>
        <w:spacing w:before="6"/>
      </w:pPr>
    </w:p>
    <w:p w14:paraId="625978F4" w14:textId="6434D908" w:rsidR="00F41911" w:rsidRDefault="00FE087E">
      <w:pPr>
        <w:pStyle w:val="BodyText"/>
        <w:ind w:left="120" w:right="137"/>
      </w:pPr>
      <w:r>
        <w:t xml:space="preserve">rules to reflect different categories of technologies that operate in the 60 GHz band, such as allowing for different operating parameters when operating in a vehicle, indoors, or outdoors, or between implementations that are fixed, mobile, or portable. We </w:t>
      </w:r>
      <w:r w:rsidR="009D38B3" w:rsidRPr="009D38B3">
        <w:rPr>
          <w:highlight w:val="yellow"/>
        </w:rPr>
        <w:t>seek comment</w:t>
      </w:r>
      <w:r>
        <w:t xml:space="preserve"> on the 60 GHz CSG filing. What are the technical trade-offs and cost/benefits for each framework? What parts of these four frameworks can we incorporate into our final rules to optimize the benefits and minimize the costs to all authorized 60 GHz users, and help us achieve our objective of fostering a greater variety of unlicensed uses in the 60 GHz band? We also seek input on the work results of any other coexistence standards activities (international and domestic) and/or cooperative works between communications and FDS study groups that may have taken place, and how such work may inform our proposals to expand unlicensed use of the band.</w:t>
      </w:r>
    </w:p>
    <w:p w14:paraId="1D8216CA" w14:textId="77777777" w:rsidR="00F41911" w:rsidRDefault="00FE087E">
      <w:pPr>
        <w:pStyle w:val="Heading1"/>
        <w:tabs>
          <w:tab w:val="left" w:pos="2279"/>
        </w:tabs>
        <w:spacing w:before="120"/>
        <w:ind w:left="2280" w:right="651" w:hanging="720"/>
      </w:pPr>
      <w:r>
        <w:t>5.</w:t>
      </w:r>
      <w:r>
        <w:tab/>
        <w:t>Removal of the special designation for motion-sensing mobile</w:t>
      </w:r>
      <w:r>
        <w:rPr>
          <w:spacing w:val="-22"/>
        </w:rPr>
        <w:t xml:space="preserve"> </w:t>
      </w:r>
      <w:r>
        <w:t>radars</w:t>
      </w:r>
      <w:r>
        <w:rPr>
          <w:spacing w:val="-4"/>
        </w:rPr>
        <w:t xml:space="preserve"> </w:t>
      </w:r>
      <w:r>
        <w:t>as SRIMS</w:t>
      </w:r>
    </w:p>
    <w:p w14:paraId="22B0F74F" w14:textId="1C2D3D96" w:rsidR="00F41911" w:rsidRDefault="00FE087E">
      <w:pPr>
        <w:pStyle w:val="ListParagraph"/>
        <w:numPr>
          <w:ilvl w:val="0"/>
          <w:numId w:val="7"/>
        </w:numPr>
        <w:tabs>
          <w:tab w:val="left" w:pos="1559"/>
          <w:tab w:val="left" w:pos="1561"/>
        </w:tabs>
        <w:ind w:right="124" w:firstLine="720"/>
      </w:pPr>
      <w:r>
        <w:t>Because we are proposing to permit fixed and mobile radars to operate in the 60 GHz band, we believe it is no longer necessary to qualify an application as SRIMS to operate as a mobile radar under section 15.255. We therefore propose to remove this designation from the rules and replace it with the general designation of FDS devices for both fixed and mobile radars. As indicated, when adopting the rule for SRIMS, the Commission stated that it intended it to be a narrow application of mobile radar use, while continuing to prohibit general mobile radar use in section 15.255. As such, the Commission did not adopt a definition for SRIMS. Over the last few years, there has been much confusion on which 60 GHz mobile and fixed radar applications should qualify under the SRIMS designation.</w:t>
      </w:r>
      <w:r>
        <w:rPr>
          <w:position w:val="6"/>
          <w:sz w:val="13"/>
        </w:rPr>
        <w:t xml:space="preserve">89 </w:t>
      </w:r>
      <w:r>
        <w:t>The Commission also requested input in response to the multiple 60 GHz waiver requests but was not able to make a bright-line determination for certain applications.</w:t>
      </w:r>
      <w:r>
        <w:rPr>
          <w:position w:val="6"/>
          <w:sz w:val="13"/>
        </w:rPr>
        <w:t xml:space="preserve">90 </w:t>
      </w:r>
      <w:r>
        <w:t xml:space="preserve">We </w:t>
      </w:r>
      <w:r w:rsidR="009D38B3" w:rsidRPr="009D38B3">
        <w:rPr>
          <w:highlight w:val="yellow"/>
        </w:rPr>
        <w:t>seek comment</w:t>
      </w:r>
      <w:r>
        <w:t xml:space="preserve"> on the proposal to remove the SRIMS exception from section 15.255 and replace it with general rules covering all FDS devices. We also </w:t>
      </w:r>
      <w:r w:rsidR="009D38B3" w:rsidRPr="009D38B3">
        <w:rPr>
          <w:highlight w:val="yellow"/>
        </w:rPr>
        <w:t>seek comment</w:t>
      </w:r>
      <w:r>
        <w:t xml:space="preserve"> on the benefits or costs of this proposal with respect to 60 GHz authorized users. Parties that oppose removing the SRIMS designation from the rules should cite specific harms that they believe would result from making this change to the</w:t>
      </w:r>
      <w:r>
        <w:rPr>
          <w:spacing w:val="-10"/>
        </w:rPr>
        <w:t xml:space="preserve"> </w:t>
      </w:r>
      <w:r>
        <w:t>rules.</w:t>
      </w:r>
    </w:p>
    <w:p w14:paraId="7A0C66D1" w14:textId="77777777" w:rsidR="00F41911" w:rsidRDefault="00FE087E">
      <w:pPr>
        <w:pStyle w:val="Heading1"/>
        <w:numPr>
          <w:ilvl w:val="1"/>
          <w:numId w:val="8"/>
        </w:numPr>
        <w:tabs>
          <w:tab w:val="left" w:pos="1559"/>
          <w:tab w:val="left" w:pos="1561"/>
        </w:tabs>
        <w:spacing w:before="120"/>
        <w:ind w:hanging="720"/>
      </w:pPr>
      <w:r>
        <w:t>Mobile Use of FDS Devices Operating within 61.0-61.5 GHz</w:t>
      </w:r>
      <w:r>
        <w:rPr>
          <w:spacing w:val="-19"/>
        </w:rPr>
        <w:t xml:space="preserve"> </w:t>
      </w:r>
      <w:r>
        <w:t>band</w:t>
      </w:r>
    </w:p>
    <w:p w14:paraId="48D146F4" w14:textId="77777777" w:rsidR="00F41911" w:rsidRDefault="00FE087E">
      <w:pPr>
        <w:pStyle w:val="ListParagraph"/>
        <w:numPr>
          <w:ilvl w:val="0"/>
          <w:numId w:val="7"/>
        </w:numPr>
        <w:tabs>
          <w:tab w:val="left" w:pos="1559"/>
          <w:tab w:val="left" w:pos="1561"/>
        </w:tabs>
        <w:ind w:right="268" w:firstLine="720"/>
      </w:pPr>
      <w:r>
        <w:t>We next address Section 15.255(c)(2) of our rules, which permits a fixed FDS device to operate at up to 40 dBm average EIRP and at up to 43 dBm peak EIRP in the 61.0-61.5 GHz band segment.</w:t>
      </w:r>
      <w:r>
        <w:rPr>
          <w:position w:val="6"/>
          <w:sz w:val="13"/>
        </w:rPr>
        <w:t xml:space="preserve">91 </w:t>
      </w:r>
      <w:r>
        <w:t>Under this rule, a fixed FDS device’s occupied bandwidth must be fully contained within the 500-megahertz bandwidth of the 61.0-61.5 GHz band; and it must attenuate its signals outside the</w:t>
      </w:r>
      <w:r>
        <w:rPr>
          <w:spacing w:val="-16"/>
        </w:rPr>
        <w:t xml:space="preserve"> </w:t>
      </w:r>
      <w:r>
        <w:t>61.0-</w:t>
      </w:r>
    </w:p>
    <w:p w14:paraId="1F9BCF31" w14:textId="77777777" w:rsidR="00F41911" w:rsidRDefault="00FE087E">
      <w:pPr>
        <w:pStyle w:val="BodyText"/>
        <w:ind w:left="120" w:right="154"/>
      </w:pPr>
      <w:r>
        <w:t>61.5 GHz band, but still within the 57-71 GHz band, to less than 10 dBm average EIRP and 13 dBm peak EIRP.</w:t>
      </w:r>
      <w:r>
        <w:rPr>
          <w:position w:val="6"/>
          <w:sz w:val="13"/>
        </w:rPr>
        <w:t xml:space="preserve">92   </w:t>
      </w:r>
      <w:r>
        <w:t>We believe that this rule is valuable insofar that it permits the operation of fixed FDS devices at</w:t>
      </w:r>
    </w:p>
    <w:p w14:paraId="37684865" w14:textId="77777777" w:rsidR="00F41911" w:rsidRDefault="004D2E02">
      <w:pPr>
        <w:pStyle w:val="BodyText"/>
        <w:spacing w:before="3"/>
        <w:rPr>
          <w:sz w:val="21"/>
        </w:rPr>
      </w:pPr>
      <w:r>
        <w:pict w14:anchorId="11A689B3">
          <v:line id="_x0000_s1035" style="position:absolute;z-index:251660800;mso-wrap-distance-left:0;mso-wrap-distance-right:0;mso-position-horizontal-relative:page" from="1in,14.6pt" to="215.5pt,14.6pt" strokeweight=".72pt">
            <w10:wrap type="topAndBottom" anchorx="page"/>
          </v:line>
        </w:pict>
      </w:r>
    </w:p>
    <w:p w14:paraId="36AE0A02" w14:textId="77777777" w:rsidR="00F41911" w:rsidRDefault="00FE087E">
      <w:pPr>
        <w:spacing w:before="69"/>
        <w:ind w:left="120"/>
        <w:rPr>
          <w:sz w:val="20"/>
        </w:rPr>
      </w:pPr>
      <w:r>
        <w:rPr>
          <w:sz w:val="20"/>
        </w:rPr>
        <w:t>bottom of 57-64 GHz: 2.4 GHz radar in 57.0-59.4 GHz (WiGig channel 1), 4.5 GHz radar in 57.0-61.56 GHz</w:t>
      </w:r>
    </w:p>
    <w:p w14:paraId="4DC2B4DC" w14:textId="77777777" w:rsidR="00F41911" w:rsidRDefault="00FE087E">
      <w:pPr>
        <w:ind w:left="120" w:right="139"/>
        <w:rPr>
          <w:i/>
          <w:sz w:val="20"/>
        </w:rPr>
      </w:pPr>
      <w:r>
        <w:rPr>
          <w:sz w:val="20"/>
        </w:rPr>
        <w:t xml:space="preserve">(WiGig channels 1 + 2), and 7 GHz radar in 57.0–64.0 GHz (WiGig channels 1 + 2 + 3). Different regulations (e.g., radar power and/or duty cycle) would apply to different radar bandwidths, with the principle of more flexible rules for narrower band radars (i.e., 2.4 GHz rules &gt; 4.5 GHz rules &gt; 7 GHz rules) to encourage channelization and use of only the required radar bandwidth. A further option could be added for radars that employ a contention-based protocol like listen-before-talk (LBT) or detect-and-avoid (DAA), to enable such radars more flexible operation. </w:t>
      </w:r>
      <w:r>
        <w:rPr>
          <w:i/>
          <w:sz w:val="20"/>
        </w:rPr>
        <w:t>Id.</w:t>
      </w:r>
    </w:p>
    <w:p w14:paraId="41A1365C" w14:textId="77777777" w:rsidR="00F41911" w:rsidRDefault="00F41911">
      <w:pPr>
        <w:pStyle w:val="BodyText"/>
        <w:spacing w:before="5"/>
        <w:rPr>
          <w:i/>
          <w:sz w:val="30"/>
        </w:rPr>
      </w:pPr>
    </w:p>
    <w:p w14:paraId="60AF4A7A" w14:textId="77777777" w:rsidR="00F41911" w:rsidRDefault="00FE087E">
      <w:pPr>
        <w:ind w:left="120" w:right="227"/>
        <w:rPr>
          <w:sz w:val="20"/>
        </w:rPr>
      </w:pPr>
      <w:r>
        <w:rPr>
          <w:position w:val="6"/>
          <w:sz w:val="13"/>
        </w:rPr>
        <w:t xml:space="preserve">89 </w:t>
      </w:r>
      <w:r>
        <w:rPr>
          <w:sz w:val="20"/>
        </w:rPr>
        <w:t xml:space="preserve">Many of the waiver requests filed with the Commission for higher power operation in section 15.255 argued that their devices are SRIMS to avoid asking for waiver of the definitional scope in 47 CFR § 15.255(a)(2), which prohibits mobile radars that do not qualify as SRIMS. </w:t>
      </w:r>
      <w:r>
        <w:rPr>
          <w:i/>
          <w:sz w:val="20"/>
        </w:rPr>
        <w:t>See, e.g.</w:t>
      </w:r>
      <w:r>
        <w:rPr>
          <w:sz w:val="20"/>
        </w:rPr>
        <w:t xml:space="preserve">, </w:t>
      </w:r>
      <w:r>
        <w:rPr>
          <w:i/>
          <w:sz w:val="20"/>
        </w:rPr>
        <w:t>Valeo North America, Inc. Waiver Request</w:t>
      </w:r>
      <w:r>
        <w:rPr>
          <w:sz w:val="20"/>
        </w:rPr>
        <w:t>, ET Docket No. 20-121 (filed Mar. 31, 2020).</w:t>
      </w:r>
    </w:p>
    <w:p w14:paraId="3FC9091B" w14:textId="77777777" w:rsidR="00F41911" w:rsidRDefault="00FE087E">
      <w:pPr>
        <w:spacing w:before="119"/>
        <w:ind w:left="120"/>
        <w:rPr>
          <w:sz w:val="20"/>
        </w:rPr>
      </w:pPr>
      <w:r>
        <w:rPr>
          <w:position w:val="6"/>
          <w:sz w:val="13"/>
        </w:rPr>
        <w:t xml:space="preserve">90  </w:t>
      </w:r>
      <w:r>
        <w:rPr>
          <w:i/>
          <w:sz w:val="20"/>
        </w:rPr>
        <w:t xml:space="preserve">See supra </w:t>
      </w:r>
      <w:hyperlink w:anchor="_bookmark1" w:history="1">
        <w:r>
          <w:rPr>
            <w:sz w:val="20"/>
          </w:rPr>
          <w:t>note 21.</w:t>
        </w:r>
      </w:hyperlink>
    </w:p>
    <w:p w14:paraId="1E6F2209" w14:textId="77777777" w:rsidR="00F41911" w:rsidRDefault="00FE087E">
      <w:pPr>
        <w:spacing w:before="119"/>
        <w:ind w:left="120"/>
        <w:rPr>
          <w:sz w:val="20"/>
        </w:rPr>
      </w:pPr>
      <w:r>
        <w:rPr>
          <w:position w:val="6"/>
          <w:sz w:val="13"/>
        </w:rPr>
        <w:t xml:space="preserve">91  </w:t>
      </w:r>
      <w:r>
        <w:rPr>
          <w:sz w:val="20"/>
        </w:rPr>
        <w:t>This band is also an Industrial, Scientific and Medical (ISM) frequency band.  47 CFR § 18.301.</w:t>
      </w:r>
    </w:p>
    <w:p w14:paraId="287962DA" w14:textId="77777777" w:rsidR="00F41911" w:rsidRDefault="00FE087E">
      <w:pPr>
        <w:spacing w:before="119"/>
        <w:ind w:left="120" w:right="112"/>
        <w:rPr>
          <w:sz w:val="20"/>
        </w:rPr>
      </w:pPr>
      <w:r>
        <w:rPr>
          <w:position w:val="6"/>
          <w:sz w:val="13"/>
        </w:rPr>
        <w:t xml:space="preserve">92 </w:t>
      </w:r>
      <w:r>
        <w:rPr>
          <w:sz w:val="20"/>
        </w:rPr>
        <w:t xml:space="preserve">47 CFR § 15.255(c)(2). This special provision was added in 1997 in </w:t>
      </w:r>
      <w:r>
        <w:rPr>
          <w:i/>
          <w:sz w:val="20"/>
        </w:rPr>
        <w:t>Amendment of Parts 2, 15, and 97 of the Commission's Rules to Permit Use of Radio Frequencies Above 40 GHz for New Radio Applications</w:t>
      </w:r>
      <w:r>
        <w:rPr>
          <w:sz w:val="20"/>
        </w:rPr>
        <w:t>, ET Docket No.</w:t>
      </w:r>
    </w:p>
    <w:p w14:paraId="53D205C8" w14:textId="77777777" w:rsidR="00F41911" w:rsidRDefault="00F41911">
      <w:pPr>
        <w:rPr>
          <w:sz w:val="20"/>
        </w:rPr>
        <w:sectPr w:rsidR="00F41911">
          <w:pgSz w:w="12240" w:h="15840"/>
          <w:pgMar w:top="980" w:right="1320" w:bottom="1140" w:left="1320" w:header="729" w:footer="943" w:gutter="0"/>
          <w:cols w:space="720"/>
        </w:sectPr>
      </w:pPr>
    </w:p>
    <w:p w14:paraId="3B34B986" w14:textId="77777777" w:rsidR="00F41911" w:rsidRDefault="00F41911">
      <w:pPr>
        <w:pStyle w:val="BodyText"/>
        <w:rPr>
          <w:sz w:val="20"/>
        </w:rPr>
      </w:pPr>
    </w:p>
    <w:p w14:paraId="70BE2AC9" w14:textId="77777777" w:rsidR="00F41911" w:rsidRDefault="00F41911">
      <w:pPr>
        <w:pStyle w:val="BodyText"/>
        <w:spacing w:before="6"/>
      </w:pPr>
    </w:p>
    <w:p w14:paraId="4A7C4A71" w14:textId="7277F4E8" w:rsidR="00F41911" w:rsidRDefault="00FE087E">
      <w:pPr>
        <w:pStyle w:val="BodyText"/>
        <w:ind w:left="120" w:right="137"/>
      </w:pPr>
      <w:r>
        <w:t xml:space="preserve">power levels as high as communication devices, albeit restricted to a more narrow operating bandwidth, without being restricted to a specific duty cycle limit. As such, we propose to retain Section 15.255(c)(2) but also </w:t>
      </w:r>
      <w:r w:rsidR="009D38B3" w:rsidRPr="009D38B3">
        <w:rPr>
          <w:highlight w:val="yellow"/>
        </w:rPr>
        <w:t>seek comment</w:t>
      </w:r>
      <w:r>
        <w:t xml:space="preserve"> on whether we should expand this provision to apply to both fixed and mobile FDS applications. We </w:t>
      </w:r>
      <w:r w:rsidR="009D38B3" w:rsidRPr="009D38B3">
        <w:rPr>
          <w:highlight w:val="yellow"/>
        </w:rPr>
        <w:t>seek comment</w:t>
      </w:r>
      <w:r>
        <w:t xml:space="preserve"> on how useful this 500-megahertz bandwidth provision has been in practice in facilitating FDS device deployment, given that radars typically achieve better resolution with a wider bandwidth.</w:t>
      </w:r>
      <w:r>
        <w:rPr>
          <w:position w:val="6"/>
          <w:sz w:val="13"/>
        </w:rPr>
        <w:t xml:space="preserve">93 </w:t>
      </w:r>
      <w:r>
        <w:t xml:space="preserve">What FDS applications currently are being enabled using the higher power levels permitted in the 61.0-61.5 GHz band? Could we expect that expanding Section 15.255(c)(2) would result in new mobile FDS applications, and if so would they perform functions that otherwise would not be possible under the existing rules? How would expanding the rule affect the spectrum environment for all users of the band? What costs and benefits would be associated with such an action?  In particular, we </w:t>
      </w:r>
      <w:r w:rsidR="009D38B3" w:rsidRPr="009D38B3">
        <w:rPr>
          <w:highlight w:val="yellow"/>
        </w:rPr>
        <w:t>seek comment</w:t>
      </w:r>
      <w:r>
        <w:t xml:space="preserve"> and technical analyses on these issues to develop a comprehensive record.</w:t>
      </w:r>
    </w:p>
    <w:p w14:paraId="1D40C0C5" w14:textId="1F5F869D" w:rsidR="00F41911" w:rsidRDefault="00FE087E">
      <w:pPr>
        <w:pStyle w:val="ListParagraph"/>
        <w:numPr>
          <w:ilvl w:val="0"/>
          <w:numId w:val="7"/>
        </w:numPr>
        <w:tabs>
          <w:tab w:val="left" w:pos="1559"/>
          <w:tab w:val="left" w:pos="1561"/>
        </w:tabs>
        <w:ind w:right="187" w:firstLine="720"/>
      </w:pPr>
      <w:r>
        <w:t xml:space="preserve">Section 15.255(c)(2) requires the average power of any emission outside of the 61.0-61.5 GHz band, measured during the transmit interval, to be less than or equal to 10 dBm, and similarly the peak power of any emission to be less than or equal to 13 dBm. Because no measurement bandwidth is currently specified in the rule, we </w:t>
      </w:r>
      <w:r w:rsidR="009D38B3" w:rsidRPr="009D38B3">
        <w:rPr>
          <w:highlight w:val="yellow"/>
        </w:rPr>
        <w:t>seek comment</w:t>
      </w:r>
      <w:r>
        <w:t xml:space="preserve"> on whether this requirement is sufficiently specific. Should these limits be specified in terms of power spectral density (PSD)? If so, what are the required peak and average power densities outside of the 61.0-61.5 GHz band? The reference bandwidth that the Commission often uses for specification of the spurious domain emission levels for frequency bands above 1 GHz is 1 megahertz.</w:t>
      </w:r>
      <w:r>
        <w:rPr>
          <w:position w:val="6"/>
          <w:sz w:val="13"/>
        </w:rPr>
        <w:t xml:space="preserve">94 </w:t>
      </w:r>
      <w:r>
        <w:t xml:space="preserve">We </w:t>
      </w:r>
      <w:r w:rsidR="009D38B3" w:rsidRPr="009D38B3">
        <w:rPr>
          <w:highlight w:val="yellow"/>
        </w:rPr>
        <w:t>seek comment</w:t>
      </w:r>
      <w:r>
        <w:t xml:space="preserve"> on the appropriate reference bandwidth for PSD for emission outside of the 61.0-61.5 GHz band.  Are any other additional requirements</w:t>
      </w:r>
      <w:r>
        <w:rPr>
          <w:spacing w:val="-12"/>
        </w:rPr>
        <w:t xml:space="preserve"> </w:t>
      </w:r>
      <w:r>
        <w:t>necessary?</w:t>
      </w:r>
    </w:p>
    <w:p w14:paraId="583018BC" w14:textId="7C3ADF95" w:rsidR="00F41911" w:rsidRDefault="00FE087E">
      <w:pPr>
        <w:pStyle w:val="ListParagraph"/>
        <w:numPr>
          <w:ilvl w:val="0"/>
          <w:numId w:val="7"/>
        </w:numPr>
        <w:tabs>
          <w:tab w:val="left" w:pos="1559"/>
          <w:tab w:val="left" w:pos="1561"/>
        </w:tabs>
        <w:ind w:right="130" w:firstLine="720"/>
      </w:pPr>
      <w:r>
        <w:t xml:space="preserve">To the extent that we retain provisions in section 15.255 that specifically permit fixed FDS operations, we </w:t>
      </w:r>
      <w:r w:rsidR="009D38B3" w:rsidRPr="009D38B3">
        <w:rPr>
          <w:highlight w:val="yellow"/>
        </w:rPr>
        <w:t>seek comment</w:t>
      </w:r>
      <w:r>
        <w:t xml:space="preserve"> on how we should interpret “fixed” and whether we should incorporate a specific definition for the term into our Part 15 rules.</w:t>
      </w:r>
      <w:r>
        <w:rPr>
          <w:position w:val="6"/>
          <w:sz w:val="13"/>
        </w:rPr>
        <w:t xml:space="preserve">95 </w:t>
      </w:r>
      <w:r>
        <w:t>When OET granted the automotive waivers, it noted that the Commission did not specifically address whether the rule permits something</w:t>
      </w:r>
      <w:r>
        <w:rPr>
          <w:spacing w:val="-29"/>
        </w:rPr>
        <w:t xml:space="preserve"> </w:t>
      </w:r>
      <w:r>
        <w:t>that is inherently mobile (such as an automobile) to be treated as fixed in certain circumstances, and left any determination of what constitutes “fixed” and “mobile” operation under the rule for separate consideration.</w:t>
      </w:r>
      <w:r>
        <w:rPr>
          <w:position w:val="6"/>
          <w:sz w:val="13"/>
        </w:rPr>
        <w:t xml:space="preserve">96 </w:t>
      </w:r>
      <w:r>
        <w:t>A review of the 1998 Report and Order that first permitted fixed FDS use in the band would suggest that the Commission was anticipating a narrow set of applications that would be used</w:t>
      </w:r>
      <w:r>
        <w:rPr>
          <w:spacing w:val="-27"/>
        </w:rPr>
        <w:t xml:space="preserve"> </w:t>
      </w:r>
      <w:r>
        <w:t>in</w:t>
      </w:r>
    </w:p>
    <w:p w14:paraId="4831D5F7" w14:textId="77777777" w:rsidR="00F41911" w:rsidRDefault="00F41911">
      <w:pPr>
        <w:pStyle w:val="BodyText"/>
        <w:rPr>
          <w:sz w:val="20"/>
        </w:rPr>
      </w:pPr>
    </w:p>
    <w:p w14:paraId="3AEA2D43" w14:textId="77777777" w:rsidR="00F41911" w:rsidRDefault="00F41911">
      <w:pPr>
        <w:pStyle w:val="BodyText"/>
        <w:rPr>
          <w:sz w:val="20"/>
        </w:rPr>
      </w:pPr>
    </w:p>
    <w:p w14:paraId="44D73696" w14:textId="77777777" w:rsidR="00F41911" w:rsidRDefault="004D2E02">
      <w:pPr>
        <w:pStyle w:val="BodyText"/>
        <w:spacing w:before="8"/>
        <w:rPr>
          <w:sz w:val="21"/>
        </w:rPr>
      </w:pPr>
      <w:r>
        <w:pict w14:anchorId="3CFD613C">
          <v:line id="_x0000_s1034" style="position:absolute;z-index:251661824;mso-wrap-distance-left:0;mso-wrap-distance-right:0;mso-position-horizontal-relative:page" from="1in,14.85pt" to="215.5pt,14.85pt" strokeweight=".72pt">
            <w10:wrap type="topAndBottom" anchorx="page"/>
          </v:line>
        </w:pict>
      </w:r>
    </w:p>
    <w:p w14:paraId="0F55EAC4" w14:textId="77777777" w:rsidR="00F41911" w:rsidRDefault="00FE087E">
      <w:pPr>
        <w:spacing w:before="69"/>
        <w:ind w:left="120" w:right="360"/>
        <w:rPr>
          <w:sz w:val="20"/>
        </w:rPr>
      </w:pPr>
      <w:r>
        <w:rPr>
          <w:sz w:val="20"/>
        </w:rPr>
        <w:t xml:space="preserve">94-124, FCC 87-267, Memorandum Opinion and Order and Fourth Notice of Proposed Rulemaking, </w:t>
      </w:r>
      <w:r>
        <w:rPr>
          <w:color w:val="1C2B3E"/>
          <w:sz w:val="20"/>
        </w:rPr>
        <w:t>12 FCC Rcd 12212 (1997).</w:t>
      </w:r>
    </w:p>
    <w:p w14:paraId="6E1C259C" w14:textId="77777777" w:rsidR="00F41911" w:rsidRDefault="00FE087E">
      <w:pPr>
        <w:spacing w:before="119"/>
        <w:ind w:left="120" w:right="473"/>
        <w:rPr>
          <w:sz w:val="20"/>
        </w:rPr>
      </w:pPr>
      <w:r>
        <w:rPr>
          <w:position w:val="6"/>
          <w:sz w:val="13"/>
        </w:rPr>
        <w:t xml:space="preserve">93 </w:t>
      </w:r>
      <w:r>
        <w:rPr>
          <w:sz w:val="20"/>
        </w:rPr>
        <w:t xml:space="preserve">Since the provision of 47 CFR 15.255(c)(2) was adopted in 1997, there are 3 certification grants shown in the FCC Equipment Authorization database for radars operating under this provision. </w:t>
      </w:r>
      <w:r>
        <w:rPr>
          <w:i/>
          <w:color w:val="333333"/>
          <w:sz w:val="20"/>
        </w:rPr>
        <w:t xml:space="preserve">See </w:t>
      </w:r>
      <w:r>
        <w:rPr>
          <w:color w:val="333333"/>
          <w:sz w:val="20"/>
        </w:rPr>
        <w:t xml:space="preserve">Symeo Gmbh, FCC ID </w:t>
      </w:r>
      <w:r>
        <w:rPr>
          <w:sz w:val="20"/>
        </w:rPr>
        <w:t>W5ILPR-1DHP (2012); Google LLC, FCC ID A4R-G4CVZ (2020); and Vayyar Imaging Ltd., FCC ID 2AHIS-</w:t>
      </w:r>
    </w:p>
    <w:p w14:paraId="48DBCBA8" w14:textId="77777777" w:rsidR="00F41911" w:rsidRDefault="00FE087E">
      <w:pPr>
        <w:ind w:left="120" w:right="102"/>
        <w:rPr>
          <w:sz w:val="20"/>
        </w:rPr>
      </w:pPr>
      <w:r>
        <w:rPr>
          <w:sz w:val="20"/>
        </w:rPr>
        <w:t xml:space="preserve">V60G-HOME-I (2021.) </w:t>
      </w:r>
      <w:r>
        <w:rPr>
          <w:i/>
          <w:sz w:val="20"/>
        </w:rPr>
        <w:t>See also</w:t>
      </w:r>
      <w:r>
        <w:rPr>
          <w:sz w:val="20"/>
        </w:rPr>
        <w:t xml:space="preserve">, </w:t>
      </w:r>
      <w:r>
        <w:rPr>
          <w:i/>
          <w:sz w:val="20"/>
        </w:rPr>
        <w:t xml:space="preserve">Amendment of Parts 2, 15 and 97 of the Commission’s Rules to Permit Use of Radio Frequencies Above 40 GHz for New Radio Applications, </w:t>
      </w:r>
      <w:r>
        <w:rPr>
          <w:sz w:val="20"/>
        </w:rPr>
        <w:t xml:space="preserve">ET Docket No. 94-124, FCC 97-267, Memorandum Opinion and Order and Fourth Notice of Proposed Rulemaking, </w:t>
      </w:r>
      <w:r>
        <w:rPr>
          <w:color w:val="1C2B3E"/>
          <w:sz w:val="20"/>
        </w:rPr>
        <w:t>12 FCC Rcd 12212</w:t>
      </w:r>
      <w:r>
        <w:rPr>
          <w:sz w:val="20"/>
        </w:rPr>
        <w:t xml:space="preserve">, 12214-15 (1997). We note for example that IEE Sensing Inc. (IEE Sensing) has requested a waiver of the 500-megahertz bandwidth requirement of 47 CFR § 15.255(c)(3) because its VitaSense radar needs a bandwidth of four gigahertz to eliminate errors in detection.  </w:t>
      </w:r>
      <w:r>
        <w:rPr>
          <w:i/>
          <w:sz w:val="20"/>
        </w:rPr>
        <w:t xml:space="preserve">See IEE Sensing Inc. Request for Waiver of Sections 15.255(c)(2) and (c)(3) of the Commission’s Rules for Vehicle Radar Operation in the frequency band 60-64 GHz, </w:t>
      </w:r>
      <w:r>
        <w:rPr>
          <w:sz w:val="20"/>
        </w:rPr>
        <w:t>ET Docket No. 20-435 (filed Nov. 16, 2020).</w:t>
      </w:r>
    </w:p>
    <w:p w14:paraId="3320BAC8" w14:textId="77777777" w:rsidR="00F41911" w:rsidRDefault="00FE087E">
      <w:pPr>
        <w:spacing w:before="120"/>
        <w:ind w:left="120" w:right="139"/>
        <w:rPr>
          <w:sz w:val="20"/>
        </w:rPr>
      </w:pPr>
      <w:r>
        <w:rPr>
          <w:position w:val="6"/>
          <w:sz w:val="13"/>
        </w:rPr>
        <w:t xml:space="preserve">94 </w:t>
      </w:r>
      <w:r>
        <w:rPr>
          <w:i/>
          <w:sz w:val="20"/>
        </w:rPr>
        <w:t>See Use of Spectrum Bands Above 24 GHz For Mobile Radio Services</w:t>
      </w:r>
      <w:r>
        <w:rPr>
          <w:sz w:val="20"/>
        </w:rPr>
        <w:t xml:space="preserve">, GN Docket 14-177, FCC 168916-89, Report and Order and Further Notice of Proposed Rulemaking, 31 FCC Rcd 8014, 8121, para. 304 (2016). </w:t>
      </w:r>
      <w:r>
        <w:rPr>
          <w:i/>
          <w:sz w:val="20"/>
        </w:rPr>
        <w:t>See also</w:t>
      </w:r>
      <w:r>
        <w:rPr>
          <w:sz w:val="20"/>
        </w:rPr>
        <w:t xml:space="preserve">, </w:t>
      </w:r>
      <w:r>
        <w:rPr>
          <w:i/>
          <w:sz w:val="20"/>
        </w:rPr>
        <w:t>Use of Spectrum Bands Above 24 GHz For Mobile Radio Services</w:t>
      </w:r>
      <w:r>
        <w:rPr>
          <w:sz w:val="20"/>
        </w:rPr>
        <w:t>, GN Docket 14-177, FCC 15-138, Notice of Proposed Rulemaking, 30 FCC Rcd 11878, 11959, para. 281 (2015).</w:t>
      </w:r>
    </w:p>
    <w:p w14:paraId="09AA60D4" w14:textId="77777777" w:rsidR="00F41911" w:rsidRDefault="00FE087E">
      <w:pPr>
        <w:spacing w:before="119"/>
        <w:ind w:left="120" w:right="227"/>
        <w:rPr>
          <w:sz w:val="20"/>
        </w:rPr>
      </w:pPr>
      <w:r>
        <w:rPr>
          <w:position w:val="6"/>
          <w:sz w:val="13"/>
        </w:rPr>
        <w:t xml:space="preserve">95 </w:t>
      </w:r>
      <w:r>
        <w:rPr>
          <w:sz w:val="20"/>
        </w:rPr>
        <w:t>The general definitions in Part 2 of our rules provide no guidance. Section 2.1 defines “Fixed Service” as “A radiocommunication service between specified fixed points,” which is not relevant to FDS operations.</w:t>
      </w:r>
    </w:p>
    <w:p w14:paraId="68515425" w14:textId="77777777" w:rsidR="00F41911" w:rsidRDefault="00FE087E">
      <w:pPr>
        <w:spacing w:before="119"/>
        <w:ind w:left="120"/>
        <w:rPr>
          <w:sz w:val="20"/>
        </w:rPr>
      </w:pPr>
      <w:r>
        <w:rPr>
          <w:position w:val="6"/>
          <w:sz w:val="13"/>
        </w:rPr>
        <w:t xml:space="preserve">96  </w:t>
      </w:r>
      <w:r>
        <w:rPr>
          <w:i/>
          <w:sz w:val="20"/>
        </w:rPr>
        <w:t>60 GHz Vehicle Radar Waiver</w:t>
      </w:r>
      <w:r>
        <w:rPr>
          <w:sz w:val="20"/>
        </w:rPr>
        <w:t>, ET Docket Nos. 20-15, 20-121, 20-263, 20-264, 20-434, 20-435, DA 21-407,</w:t>
      </w:r>
    </w:p>
    <w:p w14:paraId="1315F2F3" w14:textId="77777777" w:rsidR="00F41911" w:rsidRDefault="00FE087E">
      <w:pPr>
        <w:ind w:left="120"/>
        <w:rPr>
          <w:sz w:val="20"/>
        </w:rPr>
      </w:pPr>
      <w:r>
        <w:rPr>
          <w:sz w:val="20"/>
        </w:rPr>
        <w:t>Order (2021) at para. 48.</w:t>
      </w:r>
    </w:p>
    <w:p w14:paraId="4C161025" w14:textId="77777777" w:rsidR="00F41911" w:rsidRDefault="00F41911">
      <w:pPr>
        <w:rPr>
          <w:sz w:val="20"/>
        </w:rPr>
        <w:sectPr w:rsidR="00F41911">
          <w:footerReference w:type="default" r:id="rId39"/>
          <w:pgSz w:w="12240" w:h="15840"/>
          <w:pgMar w:top="980" w:right="1320" w:bottom="900" w:left="1320" w:header="729" w:footer="713" w:gutter="0"/>
          <w:pgNumType w:start="17"/>
          <w:cols w:space="720"/>
        </w:sectPr>
      </w:pPr>
    </w:p>
    <w:p w14:paraId="05763A4E" w14:textId="77777777" w:rsidR="00F41911" w:rsidRDefault="00F41911">
      <w:pPr>
        <w:pStyle w:val="BodyText"/>
        <w:rPr>
          <w:sz w:val="20"/>
        </w:rPr>
      </w:pPr>
    </w:p>
    <w:p w14:paraId="23A7742A" w14:textId="77777777" w:rsidR="00F41911" w:rsidRDefault="00F41911">
      <w:pPr>
        <w:pStyle w:val="BodyText"/>
        <w:spacing w:before="6"/>
      </w:pPr>
    </w:p>
    <w:p w14:paraId="6A204114" w14:textId="174329A1" w:rsidR="00F41911" w:rsidRDefault="00FE087E">
      <w:pPr>
        <w:pStyle w:val="BodyText"/>
        <w:ind w:left="120" w:right="223"/>
      </w:pPr>
      <w:r>
        <w:t>industrial settings where the equipment would rarely if ever be moved.</w:t>
      </w:r>
      <w:r>
        <w:rPr>
          <w:position w:val="6"/>
          <w:sz w:val="13"/>
        </w:rPr>
        <w:t xml:space="preserve">97 </w:t>
      </w:r>
      <w:r>
        <w:t xml:space="preserve">However, in light of the wide range of potential FDS applications that now have been identified for the 60 GHz band and our general inclination to provide as expansive an opportunity for unlicensed operations in a particular band as is practical, we tentatively conclude that a broader view is appropriate. We tentatively conclude that we should interpret fixed FDS operations as those instances where an FDS device is stationary and is operating at a discrete location for an indefinite – </w:t>
      </w:r>
      <w:r>
        <w:rPr>
          <w:i/>
        </w:rPr>
        <w:t>i.e.</w:t>
      </w:r>
      <w:r>
        <w:t xml:space="preserve">, more than mere transitory – period. We envision this interpretation would allow for a device that is used in a household and easily moved from room to room to operate in different parts of the residence, but that an automotive-mounted radar that operates when the car is stopped while the ignition is engaged would be too transitory to qualify. We </w:t>
      </w:r>
      <w:r w:rsidR="009D38B3" w:rsidRPr="009D38B3">
        <w:rPr>
          <w:highlight w:val="yellow"/>
        </w:rPr>
        <w:t>seek comment</w:t>
      </w:r>
      <w:r>
        <w:t xml:space="preserve"> on this proposal. Does it provide a sufficient bright-line rule for device operation? Will it provide other unlicensed and authorized users in the 60 GHz band with sufficient confidence that they will be able to identify and resolve any degradation of the operational environment caused by these fixed users?</w:t>
      </w:r>
      <w:r>
        <w:rPr>
          <w:position w:val="6"/>
          <w:sz w:val="13"/>
        </w:rPr>
        <w:t xml:space="preserve">98   </w:t>
      </w:r>
      <w:r>
        <w:t>Are there other interpretations that are more appropriate for defining fixed FDS operations?</w:t>
      </w:r>
    </w:p>
    <w:p w14:paraId="726D8397" w14:textId="77777777" w:rsidR="00F41911" w:rsidRDefault="00FE087E">
      <w:pPr>
        <w:pStyle w:val="Heading1"/>
        <w:numPr>
          <w:ilvl w:val="1"/>
          <w:numId w:val="8"/>
        </w:numPr>
        <w:tabs>
          <w:tab w:val="left" w:pos="1559"/>
          <w:tab w:val="left" w:pos="1561"/>
        </w:tabs>
        <w:spacing w:before="120"/>
        <w:ind w:right="142" w:hanging="720"/>
      </w:pPr>
      <w:r>
        <w:t>Use of Spectrum Sensing Technology for FDS Devices Operating in 57-71 GHz band with Higher</w:t>
      </w:r>
      <w:r>
        <w:rPr>
          <w:spacing w:val="-4"/>
        </w:rPr>
        <w:t xml:space="preserve"> </w:t>
      </w:r>
      <w:r>
        <w:t>Power</w:t>
      </w:r>
    </w:p>
    <w:p w14:paraId="6E5E2433" w14:textId="77777777" w:rsidR="00F41911" w:rsidRDefault="00FE087E">
      <w:pPr>
        <w:pStyle w:val="ListParagraph"/>
        <w:numPr>
          <w:ilvl w:val="0"/>
          <w:numId w:val="7"/>
        </w:numPr>
        <w:tabs>
          <w:tab w:val="left" w:pos="1559"/>
          <w:tab w:val="left" w:pos="1561"/>
        </w:tabs>
        <w:ind w:right="155" w:firstLine="720"/>
      </w:pPr>
      <w:r>
        <w:t>Our third area of discussion relates to whether we could permit FDS devices to operate at a higher power throughout the entire 57-71 GHz band. In its recommendation, the TAC suggests that we explore the possibility of allowing radars that incorporate a sensing technology such as listen-before-talk (LBT) to operate at the same emission limits as WLAN devices in the band, i.e., 40 dBm EIRP and 27 dBm transmitter conducted output power.</w:t>
      </w:r>
      <w:r>
        <w:rPr>
          <w:position w:val="6"/>
          <w:sz w:val="13"/>
        </w:rPr>
        <w:t xml:space="preserve">99 </w:t>
      </w:r>
      <w:r>
        <w:t>We seek input regarding the effect such higher power levels would have on authorized users who are entitled to interference protection, as well as how those power levels would affect the ability of unlicensed radar systems to coexist with unlicensed communications systems.  Are these EIRP and transmitter conducted output power levels appropriate for radar applications, given the implied high antenna gain/directivity?</w:t>
      </w:r>
      <w:r>
        <w:rPr>
          <w:position w:val="6"/>
          <w:sz w:val="13"/>
        </w:rPr>
        <w:t xml:space="preserve">100 </w:t>
      </w:r>
      <w:r>
        <w:t xml:space="preserve">What antenna gain do radars need in various applications? Are mobile radar applications limited by power consumption such that they would not be able to leverage these higher emission limits? With spectrum sensing capabilities, would a duty cycle restriction be necessary? We seek input and feedback as well as recommendations on these issues. Commenters should provide technical details and/or studies to show that it is practical for radars to operate at up to 40 dBm EIRP without causing harmful interference to existing authorized services in the band. We note that the </w:t>
      </w:r>
      <w:r>
        <w:rPr>
          <w:i/>
        </w:rPr>
        <w:t xml:space="preserve">2021 TAC Recommendation </w:t>
      </w:r>
      <w:r>
        <w:t>only mentions the listen-before-talk technique. Are there other spectrum contention avoidance techniques that would serve the same purpose and how effective are they?  What are the costs and benefits of such techniques?  Have there been any completed or ongoing studies regarding coexistence between radars and authorized 60 GHz users and, if so, what are the results and recommendations?  Should the same spectrum sensing technique be required for all devices operating in the 57-71 GHz band with the average power limit of 40 dBm EIRP? Have industry standards groups such as the 802.11 Standards Committee considered the use of spectrum sensing techniques for 60 GHz unlicensed devices? Will there be a need to regulate energy detection and observation time for LBT sensing?  If so, what are the appropriate limits?  Will usage of LBT</w:t>
      </w:r>
      <w:r>
        <w:rPr>
          <w:spacing w:val="-23"/>
        </w:rPr>
        <w:t xml:space="preserve"> </w:t>
      </w:r>
      <w:r>
        <w:t>provide</w:t>
      </w:r>
    </w:p>
    <w:p w14:paraId="2C9FAB8B" w14:textId="77777777" w:rsidR="00F41911" w:rsidRDefault="00F41911">
      <w:pPr>
        <w:pStyle w:val="BodyText"/>
        <w:rPr>
          <w:sz w:val="20"/>
        </w:rPr>
      </w:pPr>
    </w:p>
    <w:p w14:paraId="0484C672" w14:textId="77777777" w:rsidR="00F41911" w:rsidRDefault="004D2E02">
      <w:pPr>
        <w:pStyle w:val="BodyText"/>
        <w:spacing w:before="2"/>
        <w:rPr>
          <w:sz w:val="12"/>
        </w:rPr>
      </w:pPr>
      <w:r>
        <w:pict w14:anchorId="5F880007">
          <v:line id="_x0000_s1033" style="position:absolute;z-index:251662848;mso-wrap-distance-left:0;mso-wrap-distance-right:0;mso-position-horizontal-relative:page" from="1in,9.35pt" to="215.5pt,9.35pt" strokeweight=".72pt">
            <w10:wrap type="topAndBottom" anchorx="page"/>
          </v:line>
        </w:pict>
      </w:r>
    </w:p>
    <w:p w14:paraId="74BDB9CF" w14:textId="77777777" w:rsidR="00F41911" w:rsidRDefault="00FE087E">
      <w:pPr>
        <w:spacing w:before="69"/>
        <w:ind w:left="120" w:right="162"/>
        <w:rPr>
          <w:sz w:val="20"/>
        </w:rPr>
      </w:pPr>
      <w:r>
        <w:rPr>
          <w:position w:val="6"/>
          <w:sz w:val="13"/>
        </w:rPr>
        <w:t xml:space="preserve">97  </w:t>
      </w:r>
      <w:r>
        <w:rPr>
          <w:i/>
          <w:sz w:val="20"/>
        </w:rPr>
        <w:t>See Revision of Part 15 of the Commission’s Rules Regarding Operation in the 57-64 GHz Band</w:t>
      </w:r>
      <w:r>
        <w:rPr>
          <w:sz w:val="20"/>
        </w:rPr>
        <w:t xml:space="preserve">, Third Report and Order, 13 FCC Rcd 15074 (1998). The current rule’s provision allowing the FDS move within the fixed equipment would support, for example a piece of large-scale industrial machinery located on a factory floor. </w:t>
      </w:r>
      <w:r>
        <w:rPr>
          <w:i/>
          <w:sz w:val="20"/>
        </w:rPr>
        <w:t xml:space="preserve">See </w:t>
      </w:r>
      <w:r>
        <w:rPr>
          <w:sz w:val="20"/>
        </w:rPr>
        <w:t>47 CFR § 15.255(a)(2).</w:t>
      </w:r>
    </w:p>
    <w:p w14:paraId="2D8E3575" w14:textId="77777777" w:rsidR="00F41911" w:rsidRDefault="00FE087E">
      <w:pPr>
        <w:spacing w:before="119"/>
        <w:ind w:left="120" w:right="430"/>
        <w:rPr>
          <w:sz w:val="20"/>
        </w:rPr>
      </w:pPr>
      <w:r>
        <w:rPr>
          <w:position w:val="6"/>
          <w:sz w:val="13"/>
        </w:rPr>
        <w:t xml:space="preserve">98 </w:t>
      </w:r>
      <w:r>
        <w:rPr>
          <w:sz w:val="20"/>
        </w:rPr>
        <w:t>This could involve relocating or repositioning the fixed FDS device away from unlicensed communications devices in areas under exclusive control (e.g. a home or office), or being able to identify and locate the particular FDS device in the unlikely event that harmful interference is being experienced by authorized users.</w:t>
      </w:r>
    </w:p>
    <w:p w14:paraId="43A59BB3" w14:textId="77777777" w:rsidR="00F41911" w:rsidRDefault="00FE087E">
      <w:pPr>
        <w:spacing w:before="119"/>
        <w:ind w:left="120" w:right="189"/>
        <w:rPr>
          <w:sz w:val="20"/>
        </w:rPr>
      </w:pPr>
      <w:r>
        <w:rPr>
          <w:position w:val="6"/>
          <w:sz w:val="13"/>
        </w:rPr>
        <w:t xml:space="preserve">99 </w:t>
      </w:r>
      <w:r>
        <w:rPr>
          <w:i/>
          <w:sz w:val="20"/>
        </w:rPr>
        <w:t>See 2021 TAC Recommendation</w:t>
      </w:r>
      <w:r>
        <w:rPr>
          <w:sz w:val="20"/>
        </w:rPr>
        <w:t xml:space="preserve">, </w:t>
      </w:r>
      <w:r>
        <w:rPr>
          <w:i/>
          <w:sz w:val="20"/>
        </w:rPr>
        <w:t xml:space="preserve">supra </w:t>
      </w:r>
      <w:hyperlink w:anchor="_bookmark5" w:history="1">
        <w:r>
          <w:rPr>
            <w:sz w:val="20"/>
          </w:rPr>
          <w:t>note 41.</w:t>
        </w:r>
      </w:hyperlink>
      <w:r>
        <w:rPr>
          <w:sz w:val="20"/>
        </w:rPr>
        <w:t xml:space="preserve"> </w:t>
      </w:r>
      <w:r>
        <w:rPr>
          <w:i/>
          <w:sz w:val="20"/>
        </w:rPr>
        <w:t>See also</w:t>
      </w:r>
      <w:r>
        <w:rPr>
          <w:sz w:val="20"/>
        </w:rPr>
        <w:t xml:space="preserve">, Letter from Alan Norman, Facebook, Inc.; Carlos Cordeiro, Intel Corporation; and John Kuzin, Qualcomm Inc., to Marlene Dortch, FCC, ET Docket No. 21-48 (filed May 10, 2021), </w:t>
      </w:r>
      <w:r>
        <w:rPr>
          <w:i/>
          <w:sz w:val="20"/>
        </w:rPr>
        <w:t xml:space="preserve">supra </w:t>
      </w:r>
      <w:r>
        <w:rPr>
          <w:sz w:val="20"/>
        </w:rPr>
        <w:t xml:space="preserve">note </w:t>
      </w:r>
      <w:hyperlink w:anchor="_bookmark6" w:history="1">
        <w:r>
          <w:rPr>
            <w:sz w:val="20"/>
          </w:rPr>
          <w:t>79.</w:t>
        </w:r>
      </w:hyperlink>
    </w:p>
    <w:p w14:paraId="435305D5" w14:textId="77777777" w:rsidR="00F41911" w:rsidRDefault="00FE087E">
      <w:pPr>
        <w:spacing w:before="119"/>
        <w:ind w:left="120"/>
        <w:rPr>
          <w:sz w:val="20"/>
        </w:rPr>
      </w:pPr>
      <w:r>
        <w:rPr>
          <w:position w:val="6"/>
          <w:sz w:val="13"/>
        </w:rPr>
        <w:t xml:space="preserve">100  </w:t>
      </w:r>
      <w:r>
        <w:rPr>
          <w:sz w:val="20"/>
        </w:rPr>
        <w:t>A 40 dBm EIRP and 27 dBm transmitter conducted output power implies an antenna gain of 13 dBi.</w:t>
      </w:r>
    </w:p>
    <w:p w14:paraId="6313941E" w14:textId="77777777" w:rsidR="00F41911" w:rsidRDefault="00F41911">
      <w:pPr>
        <w:rPr>
          <w:sz w:val="20"/>
        </w:rPr>
        <w:sectPr w:rsidR="00F41911">
          <w:pgSz w:w="12240" w:h="15840"/>
          <w:pgMar w:top="980" w:right="1320" w:bottom="960" w:left="1320" w:header="729" w:footer="713" w:gutter="0"/>
          <w:cols w:space="720"/>
        </w:sectPr>
      </w:pPr>
    </w:p>
    <w:p w14:paraId="012637A4" w14:textId="77777777" w:rsidR="00F41911" w:rsidRDefault="00F41911">
      <w:pPr>
        <w:pStyle w:val="BodyText"/>
        <w:rPr>
          <w:sz w:val="20"/>
        </w:rPr>
      </w:pPr>
    </w:p>
    <w:p w14:paraId="323141E8" w14:textId="77777777" w:rsidR="00F41911" w:rsidRDefault="00F41911">
      <w:pPr>
        <w:pStyle w:val="BodyText"/>
        <w:spacing w:before="6"/>
      </w:pPr>
    </w:p>
    <w:p w14:paraId="26BA2505" w14:textId="77777777" w:rsidR="00F41911" w:rsidRDefault="00FE087E">
      <w:pPr>
        <w:pStyle w:val="BodyText"/>
        <w:ind w:left="120" w:right="227"/>
      </w:pPr>
      <w:r>
        <w:t>higher aggregate capacity? If so, does it justify the higher complexity necessary to support LBT? We solicit input on these issues to develop a comprehensive record on these matters.</w:t>
      </w:r>
    </w:p>
    <w:p w14:paraId="4E2AF796" w14:textId="77777777" w:rsidR="00F41911" w:rsidRDefault="00FE087E">
      <w:pPr>
        <w:pStyle w:val="Heading1"/>
        <w:numPr>
          <w:ilvl w:val="1"/>
          <w:numId w:val="8"/>
        </w:numPr>
        <w:tabs>
          <w:tab w:val="left" w:pos="1559"/>
          <w:tab w:val="left" w:pos="1561"/>
        </w:tabs>
        <w:spacing w:before="120"/>
        <w:ind w:hanging="720"/>
      </w:pPr>
      <w:r>
        <w:t>Additional</w:t>
      </w:r>
      <w:r>
        <w:rPr>
          <w:spacing w:val="-23"/>
        </w:rPr>
        <w:t xml:space="preserve"> </w:t>
      </w:r>
      <w:r>
        <w:t>Considerations</w:t>
      </w:r>
    </w:p>
    <w:p w14:paraId="6169119D" w14:textId="77777777" w:rsidR="00F41911" w:rsidRDefault="00FE087E">
      <w:pPr>
        <w:pStyle w:val="ListParagraph"/>
        <w:numPr>
          <w:ilvl w:val="2"/>
          <w:numId w:val="8"/>
        </w:numPr>
        <w:tabs>
          <w:tab w:val="left" w:pos="2279"/>
          <w:tab w:val="left" w:pos="2281"/>
        </w:tabs>
        <w:ind w:hanging="720"/>
        <w:rPr>
          <w:b/>
        </w:rPr>
      </w:pPr>
      <w:r>
        <w:rPr>
          <w:b/>
        </w:rPr>
        <w:t>On-board aircraft operational</w:t>
      </w:r>
      <w:r>
        <w:rPr>
          <w:b/>
          <w:spacing w:val="-4"/>
        </w:rPr>
        <w:t xml:space="preserve"> </w:t>
      </w:r>
      <w:r>
        <w:rPr>
          <w:b/>
        </w:rPr>
        <w:t>restriction</w:t>
      </w:r>
    </w:p>
    <w:p w14:paraId="16D5AD92" w14:textId="5FE1A205" w:rsidR="00F41911" w:rsidRDefault="00FE087E">
      <w:pPr>
        <w:pStyle w:val="ListParagraph"/>
        <w:numPr>
          <w:ilvl w:val="0"/>
          <w:numId w:val="6"/>
        </w:numPr>
        <w:tabs>
          <w:tab w:val="left" w:pos="1559"/>
          <w:tab w:val="left" w:pos="1561"/>
        </w:tabs>
        <w:ind w:right="136" w:firstLine="720"/>
        <w:rPr>
          <w:sz w:val="13"/>
        </w:rPr>
      </w:pPr>
      <w:r>
        <w:t xml:space="preserve">We do not propose to alter the existing restrictions relating to the use of 60 GHz band unlicensed devices on board aircraft which are contained in Section 15.255(b) of the rules, but we nevertheless </w:t>
      </w:r>
      <w:r w:rsidR="009D38B3" w:rsidRPr="009D38B3">
        <w:rPr>
          <w:highlight w:val="yellow"/>
        </w:rPr>
        <w:t>seek comment</w:t>
      </w:r>
      <w:r>
        <w:t xml:space="preserve"> as to whether we should expand the situations where such use is permissible. Currently, such operation is limited to when the aircraft is on the ground, and, for airborne use, only in closed exclusive communication networks within the aircraft.</w:t>
      </w:r>
      <w:r>
        <w:rPr>
          <w:position w:val="6"/>
          <w:sz w:val="13"/>
        </w:rPr>
        <w:t xml:space="preserve">101 </w:t>
      </w:r>
      <w:r>
        <w:t>To account for the important interest in protecting passive EESS users that operate in the 57-59.3 GHz band, the rule limits this use to aircraft with a high RF attenuation body (e.g. commercial airliners), and cannot be used in wireless avionics intra- communication applications where external structural sensors or external cameras are mounted on the outside of the aircraft</w:t>
      </w:r>
      <w:r>
        <w:rPr>
          <w:spacing w:val="-8"/>
        </w:rPr>
        <w:t xml:space="preserve"> </w:t>
      </w:r>
      <w:r>
        <w:t>structure.</w:t>
      </w:r>
      <w:r>
        <w:rPr>
          <w:position w:val="6"/>
          <w:sz w:val="13"/>
        </w:rPr>
        <w:t>102</w:t>
      </w:r>
    </w:p>
    <w:p w14:paraId="1E708558" w14:textId="31A26245" w:rsidR="00F41911" w:rsidRDefault="00FE087E">
      <w:pPr>
        <w:pStyle w:val="ListParagraph"/>
        <w:numPr>
          <w:ilvl w:val="0"/>
          <w:numId w:val="6"/>
        </w:numPr>
        <w:tabs>
          <w:tab w:val="left" w:pos="1559"/>
          <w:tab w:val="left" w:pos="1561"/>
        </w:tabs>
        <w:ind w:right="130" w:firstLine="720"/>
      </w:pPr>
      <w:r>
        <w:t>We do not believe that retaining the existing provisions regarding in-aircraft use of unlicensed devices would hinder the initial successful deployment of new applications and devices under our proposed rules. Many of the use opportunities that have been identified to date – such as inside and outside vehicles, and in personal safety, medical imaging, home automation, environmental control, and robotic appliances devices, for example – are not dependent on use on board an aircraft. Compliance options also exist for portable electronic devices</w:t>
      </w:r>
      <w:r>
        <w:rPr>
          <w:position w:val="6"/>
          <w:sz w:val="13"/>
        </w:rPr>
        <w:t xml:space="preserve">103 </w:t>
      </w:r>
      <w:r>
        <w:t xml:space="preserve">that may be brought aboard airplanes. These could include, for example, activation of “airplane mode” during flight or the use of sensors to disable operations when the device is above a particular height above ground. We </w:t>
      </w:r>
      <w:r w:rsidR="009D38B3" w:rsidRPr="009D38B3">
        <w:rPr>
          <w:highlight w:val="yellow"/>
        </w:rPr>
        <w:t>seek comment</w:t>
      </w:r>
      <w:r>
        <w:t xml:space="preserve"> on this tentative determination.</w:t>
      </w:r>
    </w:p>
    <w:p w14:paraId="5DB8497F" w14:textId="77777777" w:rsidR="00F41911" w:rsidRDefault="00FE087E">
      <w:pPr>
        <w:pStyle w:val="ListParagraph"/>
        <w:numPr>
          <w:ilvl w:val="0"/>
          <w:numId w:val="6"/>
        </w:numPr>
        <w:tabs>
          <w:tab w:val="left" w:pos="1669"/>
          <w:tab w:val="left" w:pos="1671"/>
        </w:tabs>
        <w:ind w:right="302" w:firstLine="720"/>
        <w:rPr>
          <w:sz w:val="13"/>
        </w:rPr>
      </w:pPr>
      <w:r>
        <w:t>Currently we have only authorized 60 GHz radars to operate on board aircraft beyond the uses permitted in the rules via two limited situations. Both were in conjunction with waiver grants that carefully evaluated how specific devices would be deployed in well-defined use cases. Leica Geosystems AG may operate a 60-64 GHz radar on an unmanned aircraft, but with very restrictive conditions on the number of deployed devices.</w:t>
      </w:r>
      <w:r>
        <w:rPr>
          <w:position w:val="6"/>
          <w:sz w:val="13"/>
        </w:rPr>
        <w:t xml:space="preserve">104 </w:t>
      </w:r>
      <w:r>
        <w:t>The Google Soli radar incorporated into a smartphone (e.g., the Google Pixel) allows control of a smartphone via gestures without touching the phone, and is not intended to be part of the aircraft communication</w:t>
      </w:r>
      <w:r>
        <w:rPr>
          <w:spacing w:val="-7"/>
        </w:rPr>
        <w:t xml:space="preserve"> </w:t>
      </w:r>
      <w:r>
        <w:t>network.</w:t>
      </w:r>
      <w:r>
        <w:rPr>
          <w:position w:val="6"/>
          <w:sz w:val="13"/>
        </w:rPr>
        <w:t>105</w:t>
      </w:r>
    </w:p>
    <w:p w14:paraId="01E886C0" w14:textId="5A059570" w:rsidR="00F41911" w:rsidRDefault="00FE087E">
      <w:pPr>
        <w:pStyle w:val="ListParagraph"/>
        <w:numPr>
          <w:ilvl w:val="0"/>
          <w:numId w:val="6"/>
        </w:numPr>
        <w:tabs>
          <w:tab w:val="left" w:pos="1559"/>
          <w:tab w:val="left" w:pos="1561"/>
        </w:tabs>
        <w:ind w:right="491" w:firstLine="720"/>
      </w:pPr>
      <w:r>
        <w:t xml:space="preserve">Although we propose to retain the existing rule, we nevertheless </w:t>
      </w:r>
      <w:r w:rsidR="009D38B3" w:rsidRPr="009D38B3">
        <w:rPr>
          <w:highlight w:val="yellow"/>
        </w:rPr>
        <w:t>seek comment</w:t>
      </w:r>
      <w:r>
        <w:t xml:space="preserve"> on whether we should allow for expanded use of 60 GHz radars on board aircraft and, if so, with what requirements and restrictions.  Given that our fundamental consideration has been and remains how</w:t>
      </w:r>
      <w:r>
        <w:rPr>
          <w:spacing w:val="-15"/>
        </w:rPr>
        <w:t xml:space="preserve"> </w:t>
      </w:r>
      <w:r>
        <w:t>to</w:t>
      </w:r>
    </w:p>
    <w:p w14:paraId="50861FA8" w14:textId="77777777" w:rsidR="00F41911" w:rsidRDefault="004D2E02">
      <w:pPr>
        <w:pStyle w:val="BodyText"/>
        <w:rPr>
          <w:sz w:val="12"/>
        </w:rPr>
      </w:pPr>
      <w:r>
        <w:pict w14:anchorId="7F760673">
          <v:line id="_x0000_s1032" style="position:absolute;z-index:251663872;mso-wrap-distance-left:0;mso-wrap-distance-right:0;mso-position-horizontal-relative:page" from="1in,9.25pt" to="215.5pt,9.25pt" strokeweight=".72pt">
            <w10:wrap type="topAndBottom" anchorx="page"/>
          </v:line>
        </w:pict>
      </w:r>
    </w:p>
    <w:p w14:paraId="44795ACE" w14:textId="77777777" w:rsidR="00F41911" w:rsidRDefault="00FE087E">
      <w:pPr>
        <w:spacing w:before="69"/>
        <w:ind w:left="120" w:right="134"/>
        <w:rPr>
          <w:sz w:val="20"/>
        </w:rPr>
      </w:pPr>
      <w:r>
        <w:rPr>
          <w:position w:val="6"/>
          <w:sz w:val="13"/>
        </w:rPr>
        <w:t xml:space="preserve">101 </w:t>
      </w:r>
      <w:r>
        <w:rPr>
          <w:sz w:val="20"/>
        </w:rPr>
        <w:t xml:space="preserve">47 CFR § 15.255(b)(2). The Commission addressed the effects of operations of 60 GHz transmitters on board aircraft in </w:t>
      </w:r>
      <w:r>
        <w:rPr>
          <w:i/>
          <w:sz w:val="20"/>
        </w:rPr>
        <w:t>Use of Spectrum Bands Above 24 GHz For Mobile Radio Services</w:t>
      </w:r>
      <w:r>
        <w:rPr>
          <w:sz w:val="20"/>
        </w:rPr>
        <w:t>, GN Docket No. 14177, Second Report and Order, 32 FCC Rcd 10988, 11012-11017, at paras. 75-87 (2017).</w:t>
      </w:r>
    </w:p>
    <w:p w14:paraId="7E9D7B75" w14:textId="77777777" w:rsidR="00F41911" w:rsidRDefault="00FE087E">
      <w:pPr>
        <w:spacing w:before="119"/>
        <w:ind w:left="120"/>
        <w:rPr>
          <w:sz w:val="20"/>
        </w:rPr>
      </w:pPr>
      <w:r>
        <w:rPr>
          <w:position w:val="6"/>
          <w:sz w:val="13"/>
        </w:rPr>
        <w:t xml:space="preserve">102  </w:t>
      </w:r>
      <w:r>
        <w:rPr>
          <w:sz w:val="20"/>
        </w:rPr>
        <w:t>47 CFR § 15.255(b)(2).</w:t>
      </w:r>
    </w:p>
    <w:p w14:paraId="7A96238C" w14:textId="77777777" w:rsidR="00F41911" w:rsidRDefault="00FE087E">
      <w:pPr>
        <w:spacing w:before="119"/>
        <w:ind w:left="120" w:right="158"/>
        <w:rPr>
          <w:sz w:val="20"/>
        </w:rPr>
      </w:pPr>
      <w:r>
        <w:rPr>
          <w:position w:val="6"/>
          <w:sz w:val="13"/>
        </w:rPr>
        <w:t xml:space="preserve">103 </w:t>
      </w:r>
      <w:r>
        <w:rPr>
          <w:sz w:val="20"/>
        </w:rPr>
        <w:t xml:space="preserve">The Federal Aviation Administration (FAA) describes portable electronic devices as any piece of lightweight, electrically-powered equipment. These devices are typically consumer electronic devices capable of communications, data processing and/or utility. Examples range from handheld, lightweight electronic devices such as tablets, e-readers, and smartphones to small devices such as MP3 players and electronic toys.  </w:t>
      </w:r>
      <w:r>
        <w:rPr>
          <w:i/>
          <w:sz w:val="20"/>
        </w:rPr>
        <w:t xml:space="preserve">See </w:t>
      </w:r>
      <w:r>
        <w:rPr>
          <w:sz w:val="20"/>
        </w:rPr>
        <w:t>FAA Fact Sheet – Portable Electronics on Airplanes Fact Sheet – Portable Electronic Devices Aviation Rulemaking Committee Report at: https:/</w:t>
      </w:r>
      <w:hyperlink r:id="rId40">
        <w:r>
          <w:rPr>
            <w:sz w:val="20"/>
          </w:rPr>
          <w:t>/www.faa.gov/news</w:t>
        </w:r>
      </w:hyperlink>
      <w:r>
        <w:rPr>
          <w:sz w:val="20"/>
        </w:rPr>
        <w:t>/</w:t>
      </w:r>
      <w:hyperlink r:id="rId41">
        <w:r>
          <w:rPr>
            <w:sz w:val="20"/>
          </w:rPr>
          <w:t>fact_sheets/news_story.cfm?newsId=15255.</w:t>
        </w:r>
      </w:hyperlink>
    </w:p>
    <w:p w14:paraId="6CDEAF5D" w14:textId="77777777" w:rsidR="00F41911" w:rsidRDefault="00FE087E">
      <w:pPr>
        <w:spacing w:before="119"/>
        <w:ind w:left="120" w:right="445"/>
        <w:rPr>
          <w:sz w:val="20"/>
        </w:rPr>
      </w:pPr>
      <w:r>
        <w:rPr>
          <w:position w:val="6"/>
          <w:sz w:val="13"/>
        </w:rPr>
        <w:t xml:space="preserve">104 </w:t>
      </w:r>
      <w:r>
        <w:rPr>
          <w:i/>
          <w:sz w:val="20"/>
        </w:rPr>
        <w:t>In the Matter of Leica Geosystems AG Request for Waiver of Section 15.255 of the Commission's Rules Applicable to Radars used on Unmanned Aerial Vehicles in the 60-64 GHz Frequency Band</w:t>
      </w:r>
      <w:r>
        <w:rPr>
          <w:sz w:val="20"/>
        </w:rPr>
        <w:t>, ET Docket No. 19- 350, DA 20-795, Order, FCC Rcd 7929 (2020).</w:t>
      </w:r>
    </w:p>
    <w:p w14:paraId="35FA6637" w14:textId="77777777" w:rsidR="00F41911" w:rsidRDefault="00FE087E">
      <w:pPr>
        <w:spacing w:before="119"/>
        <w:ind w:left="120" w:right="136"/>
        <w:jc w:val="both"/>
        <w:rPr>
          <w:sz w:val="20"/>
        </w:rPr>
      </w:pPr>
      <w:r>
        <w:rPr>
          <w:position w:val="6"/>
          <w:sz w:val="13"/>
        </w:rPr>
        <w:t xml:space="preserve">105 </w:t>
      </w:r>
      <w:r>
        <w:rPr>
          <w:i/>
          <w:sz w:val="20"/>
        </w:rPr>
        <w:t>Google LLC Request for Waiver of Section 15.255(c)(3) of the Commission's Rules Applicable to Radars used for Short Range Interactive Motion Sensing in the 57-64 GHz Frequency Band</w:t>
      </w:r>
      <w:r>
        <w:rPr>
          <w:sz w:val="20"/>
        </w:rPr>
        <w:t>, DA 18-1308, Order, 33 FCC Rcd 12542 (2018).</w:t>
      </w:r>
    </w:p>
    <w:p w14:paraId="62302751" w14:textId="77777777" w:rsidR="00F41911" w:rsidRDefault="00F41911">
      <w:pPr>
        <w:jc w:val="both"/>
        <w:rPr>
          <w:sz w:val="20"/>
        </w:rPr>
        <w:sectPr w:rsidR="00F41911">
          <w:pgSz w:w="12240" w:h="15840"/>
          <w:pgMar w:top="980" w:right="1320" w:bottom="960" w:left="1320" w:header="729" w:footer="713" w:gutter="0"/>
          <w:cols w:space="720"/>
        </w:sectPr>
      </w:pPr>
    </w:p>
    <w:p w14:paraId="6C61385F" w14:textId="77777777" w:rsidR="00F41911" w:rsidRDefault="00F41911">
      <w:pPr>
        <w:pStyle w:val="BodyText"/>
        <w:rPr>
          <w:sz w:val="20"/>
        </w:rPr>
      </w:pPr>
    </w:p>
    <w:p w14:paraId="68BC8E91" w14:textId="77777777" w:rsidR="00F41911" w:rsidRDefault="00F41911">
      <w:pPr>
        <w:pStyle w:val="BodyText"/>
        <w:spacing w:before="6"/>
      </w:pPr>
    </w:p>
    <w:p w14:paraId="24B64CD5" w14:textId="77777777" w:rsidR="00F41911" w:rsidRDefault="00FE087E">
      <w:pPr>
        <w:pStyle w:val="BodyText"/>
        <w:ind w:left="120" w:right="118"/>
      </w:pPr>
      <w:r>
        <w:t>ensure that passive EESS operations in the 57-59.3 GHz band continue to be protected from harmful interference that could be caused by airborne use of unlicensed 60 GHz devices, could airborne radar use be permitted above 59.3 GHz? We are not aware of any reports of harmful interference being caused by Google Soli devices during airborne use. Could we permit 60 GHz radars to operate on board aircraft for limited uses such as when incorporated into smartphones or similar portable electronic devices that may be carried by air travelers? Would we need to limit such use to the power levels associated with the Google Soli waiver, which operates at lower power levels than those we are proposing for 60 GHz radars? Are there other narrow use cases that we should allow?  For example, could our rules be modified to allow an aircraft’s entertainment system’s in-seat display monitors to incorporate radars that could be controlled remotely by air travelers’ gestures?</w:t>
      </w:r>
      <w:r>
        <w:rPr>
          <w:position w:val="6"/>
          <w:sz w:val="13"/>
        </w:rPr>
        <w:t xml:space="preserve">106 </w:t>
      </w:r>
      <w:r>
        <w:t>Commenters addressing expanded airborne use should provide detailed technical analyses, research, studies, etc. supporting potential recommendations to address whether harmful interference to authorized users in the band would result or if such systems can coexist and under what conditions. Would any adverse effects be anticipated from 60 GHz radars operating on aircraft?</w:t>
      </w:r>
      <w:r>
        <w:rPr>
          <w:position w:val="6"/>
          <w:sz w:val="13"/>
        </w:rPr>
        <w:t xml:space="preserve">107 </w:t>
      </w:r>
      <w:r>
        <w:t xml:space="preserve">Would the risk of harmful interference occurring to passive EESS be minimal from radars in aircraft with high RF attenuation characteristics? </w:t>
      </w:r>
      <w:r>
        <w:rPr>
          <w:position w:val="6"/>
          <w:sz w:val="13"/>
        </w:rPr>
        <w:t xml:space="preserve">108 </w:t>
      </w:r>
      <w:r>
        <w:t>What are the cost and benefits of such use?</w:t>
      </w:r>
    </w:p>
    <w:p w14:paraId="00AE6066" w14:textId="561703E6" w:rsidR="00F41911" w:rsidRDefault="00FE087E">
      <w:pPr>
        <w:pStyle w:val="ListParagraph"/>
        <w:numPr>
          <w:ilvl w:val="0"/>
          <w:numId w:val="6"/>
        </w:numPr>
        <w:tabs>
          <w:tab w:val="left" w:pos="1559"/>
          <w:tab w:val="left" w:pos="1561"/>
        </w:tabs>
        <w:ind w:right="120" w:firstLine="720"/>
      </w:pPr>
      <w:r>
        <w:t xml:space="preserve">In addition, we </w:t>
      </w:r>
      <w:r w:rsidR="009D38B3" w:rsidRPr="009D38B3">
        <w:rPr>
          <w:highlight w:val="yellow"/>
        </w:rPr>
        <w:t>seek comment</w:t>
      </w:r>
      <w:r>
        <w:t xml:space="preserve"> on the ramifications of permitting unlicensed 60 GHz radar operation on board aircraft with little or no RF attenuation characteristics, such as unmanned aerial systems (UAS)/drones and light and personal aircraft. The Commission has given a limited waiver to Leica Geosystems AG to operate a radar in the 60-64 GHz band on board a UAS to provide visual inspection of structures in engineering and scientific applications to prevent the UAS from colliding with the structure or other fixed objects that it is surveying.</w:t>
      </w:r>
      <w:r>
        <w:rPr>
          <w:position w:val="6"/>
          <w:sz w:val="13"/>
        </w:rPr>
        <w:t xml:space="preserve">109 </w:t>
      </w:r>
      <w:r>
        <w:t>We have also received informal inquiries indicating an interest in deploying unlicensed 60 GHz radar for applications involving, as an example, use on board crop-spraying aircraft. Commenters who support expanding the types of aircraft upon which unlicensed 60 GHz devices could be deployed should address how such use would not undermine the objective of preventing harmful interference to EESS operations in the 57-59.3 GHz portion of the</w:t>
      </w:r>
      <w:r>
        <w:rPr>
          <w:spacing w:val="-13"/>
        </w:rPr>
        <w:t xml:space="preserve"> </w:t>
      </w:r>
      <w:r>
        <w:t>band.</w:t>
      </w:r>
    </w:p>
    <w:p w14:paraId="3CB4D470" w14:textId="77777777" w:rsidR="00F41911" w:rsidRDefault="00FE087E">
      <w:pPr>
        <w:pStyle w:val="Heading1"/>
        <w:tabs>
          <w:tab w:val="left" w:pos="2279"/>
        </w:tabs>
        <w:spacing w:before="120"/>
      </w:pPr>
      <w:r>
        <w:t>2.</w:t>
      </w:r>
      <w:r>
        <w:tab/>
        <w:t>Compliance</w:t>
      </w:r>
      <w:r>
        <w:rPr>
          <w:spacing w:val="-11"/>
        </w:rPr>
        <w:t xml:space="preserve"> </w:t>
      </w:r>
      <w:r>
        <w:t>Testing</w:t>
      </w:r>
    </w:p>
    <w:p w14:paraId="0046AD0D" w14:textId="56D6971E" w:rsidR="00F41911" w:rsidRDefault="00FE087E">
      <w:pPr>
        <w:pStyle w:val="ListParagraph"/>
        <w:numPr>
          <w:ilvl w:val="0"/>
          <w:numId w:val="6"/>
        </w:numPr>
        <w:tabs>
          <w:tab w:val="left" w:pos="1559"/>
          <w:tab w:val="left" w:pos="1561"/>
        </w:tabs>
        <w:ind w:right="192" w:firstLine="720"/>
      </w:pPr>
      <w:r>
        <w:t xml:space="preserve">Compliance testing of modulated CW (e.g., FMCW) and pulse/impulse-based radar devices can be complex and typically requires careful consideration to ensure the proper characterization of technical parameters such as transmit bandwidth, output power and unwanted emissions levels in the out-of-band and spurious domains. As such, we </w:t>
      </w:r>
      <w:r w:rsidR="009D38B3" w:rsidRPr="009D38B3">
        <w:rPr>
          <w:highlight w:val="yellow"/>
        </w:rPr>
        <w:t>seek comment</w:t>
      </w:r>
      <w:r>
        <w:t xml:space="preserve"> on methodologies for performing such tests to obtain the data necessary to demonstrate compliance with the specified technical requirements for the types of radars anticipated to operate under section 15.255 rules. For example, should transmission bandwidth be represented only by the chirp or pulse specifications or should it be expressed as a measured occupied bandwidth, 20-dB bandwidth, or other representation? Similarly, should peak power measurements be avoided to eliminate potential for inaccurate amplitude results due to measurement instrumentation desensitization? Measured power levels for radio frequency (RF) pulses that are frequency modulated (chirped) vary as a function of the bandwidth in which the measurement is performed; if chirped pulses cause RF interference, the power levels of the pulses in victim receivers</w:t>
      </w:r>
      <w:r>
        <w:rPr>
          <w:spacing w:val="-15"/>
        </w:rPr>
        <w:t xml:space="preserve"> </w:t>
      </w:r>
      <w:r>
        <w:t>will</w:t>
      </w:r>
    </w:p>
    <w:p w14:paraId="32697AEE" w14:textId="77777777" w:rsidR="00F41911" w:rsidRDefault="004D2E02">
      <w:pPr>
        <w:pStyle w:val="BodyText"/>
        <w:spacing w:before="8"/>
        <w:rPr>
          <w:sz w:val="19"/>
        </w:rPr>
      </w:pPr>
      <w:r>
        <w:pict w14:anchorId="6DE257EB">
          <v:line id="_x0000_s1031" style="position:absolute;z-index:251664896;mso-wrap-distance-left:0;mso-wrap-distance-right:0;mso-position-horizontal-relative:page" from="1in,13.7pt" to="215.5pt,13.7pt" strokeweight=".72pt">
            <w10:wrap type="topAndBottom" anchorx="page"/>
          </v:line>
        </w:pict>
      </w:r>
    </w:p>
    <w:p w14:paraId="139DC093" w14:textId="77777777" w:rsidR="00F41911" w:rsidRDefault="00FE087E">
      <w:pPr>
        <w:spacing w:before="69"/>
        <w:ind w:left="120" w:right="227"/>
        <w:rPr>
          <w:sz w:val="20"/>
        </w:rPr>
      </w:pPr>
      <w:r>
        <w:rPr>
          <w:position w:val="6"/>
          <w:sz w:val="13"/>
        </w:rPr>
        <w:t xml:space="preserve">106 </w:t>
      </w:r>
      <w:r>
        <w:rPr>
          <w:sz w:val="20"/>
        </w:rPr>
        <w:t>We already allow 60 GHz WLAN signals on board aircraft at much higher power (i.e., 40 dBm EIRP) than the power we propose here for radar operation (20 dBm EIRP).</w:t>
      </w:r>
    </w:p>
    <w:p w14:paraId="25F18D8A" w14:textId="77777777" w:rsidR="00F41911" w:rsidRDefault="00FE087E">
      <w:pPr>
        <w:spacing w:before="119"/>
        <w:ind w:left="120" w:right="319"/>
        <w:rPr>
          <w:sz w:val="20"/>
        </w:rPr>
      </w:pPr>
      <w:r>
        <w:rPr>
          <w:position w:val="6"/>
          <w:sz w:val="13"/>
        </w:rPr>
        <w:t xml:space="preserve">107 </w:t>
      </w:r>
      <w:r>
        <w:rPr>
          <w:sz w:val="20"/>
        </w:rPr>
        <w:t>A typical commercial airliner with a 200-passenger average load could have 1-3 portable electronic devices per passenger as they may carry a smartphone, a tablet PC and/or a laptop.</w:t>
      </w:r>
    </w:p>
    <w:p w14:paraId="3ECF9B35" w14:textId="77777777" w:rsidR="00F41911" w:rsidRDefault="00FE087E">
      <w:pPr>
        <w:spacing w:before="119"/>
        <w:ind w:left="120" w:right="227"/>
        <w:rPr>
          <w:sz w:val="20"/>
        </w:rPr>
      </w:pPr>
      <w:r>
        <w:rPr>
          <w:position w:val="6"/>
          <w:sz w:val="13"/>
        </w:rPr>
        <w:t xml:space="preserve">108 </w:t>
      </w:r>
      <w:r>
        <w:rPr>
          <w:i/>
          <w:sz w:val="20"/>
        </w:rPr>
        <w:t>See Use of Spectrum Bands Above 24 GHz For Mobile Radio Services</w:t>
      </w:r>
      <w:r>
        <w:rPr>
          <w:sz w:val="20"/>
        </w:rPr>
        <w:t>, GN Docket 14-177, FCC 17-152, Report and Order, Order on Reconsideration, Further Notice of Proposed Rulemaking, Memorandum Opinion and Order, 32 FCC Rcd 10988, 11014-11015, at paras. 83-84 (2017).</w:t>
      </w:r>
    </w:p>
    <w:p w14:paraId="3D82234F" w14:textId="77777777" w:rsidR="00F41911" w:rsidRDefault="00FE087E">
      <w:pPr>
        <w:spacing w:before="119"/>
        <w:ind w:left="120" w:right="445"/>
        <w:rPr>
          <w:sz w:val="20"/>
        </w:rPr>
      </w:pPr>
      <w:r>
        <w:rPr>
          <w:position w:val="6"/>
          <w:sz w:val="13"/>
        </w:rPr>
        <w:t xml:space="preserve">109 </w:t>
      </w:r>
      <w:r>
        <w:rPr>
          <w:i/>
          <w:sz w:val="20"/>
        </w:rPr>
        <w:t>See In the Matter of Leica Geosystems AG Request for Waiver of Section 15.255 of the Commission's Rules Applicable to Radars used on Unmanned Aerial Vehicles in the 60-64 GHz Frequency Band</w:t>
      </w:r>
      <w:r>
        <w:rPr>
          <w:sz w:val="20"/>
        </w:rPr>
        <w:t>, ET Docket No. 19- 350, DA 20-795, Order, FCC Rcd 7929 (2020)</w:t>
      </w:r>
      <w:r>
        <w:rPr>
          <w:color w:val="1C2B3E"/>
          <w:sz w:val="20"/>
        </w:rPr>
        <w:t>.</w:t>
      </w:r>
    </w:p>
    <w:p w14:paraId="44916C7C" w14:textId="77777777" w:rsidR="00F41911" w:rsidRDefault="00F41911">
      <w:pPr>
        <w:rPr>
          <w:sz w:val="20"/>
        </w:rPr>
        <w:sectPr w:rsidR="00F41911">
          <w:pgSz w:w="12240" w:h="15840"/>
          <w:pgMar w:top="980" w:right="1320" w:bottom="960" w:left="1320" w:header="729" w:footer="713" w:gutter="0"/>
          <w:cols w:space="720"/>
        </w:sectPr>
      </w:pPr>
    </w:p>
    <w:p w14:paraId="19FBA246" w14:textId="77777777" w:rsidR="00F41911" w:rsidRDefault="00F41911">
      <w:pPr>
        <w:pStyle w:val="BodyText"/>
        <w:rPr>
          <w:sz w:val="20"/>
        </w:rPr>
      </w:pPr>
    </w:p>
    <w:p w14:paraId="658D0702" w14:textId="77777777" w:rsidR="00F41911" w:rsidRDefault="00F41911">
      <w:pPr>
        <w:pStyle w:val="BodyText"/>
        <w:spacing w:before="6"/>
      </w:pPr>
    </w:p>
    <w:p w14:paraId="6E52BEAD" w14:textId="48C867F8" w:rsidR="00F41911" w:rsidRDefault="00FE087E">
      <w:pPr>
        <w:pStyle w:val="BodyText"/>
        <w:ind w:left="120" w:right="265"/>
      </w:pPr>
      <w:r>
        <w:t>likewise vary as a function of receiver bandwidth. NTIA Technical Report TR-12-488 provides both heuristic and rigorous derivations of the relationships among chirped pulse parameters and the measured peak and average power levels of chirped pulses as a function of measurement bandwidth.</w:t>
      </w:r>
      <w:r>
        <w:rPr>
          <w:position w:val="6"/>
          <w:sz w:val="13"/>
        </w:rPr>
        <w:t xml:space="preserve">110 </w:t>
      </w:r>
      <w:r>
        <w:t xml:space="preserve">These relationships may be best understood via a single graph (Figure 3) presented in this report. This report supplements NTIA Technical Reports TR-05-420, TR-10-465 and TR-10-466, in which the formula for minimum bandwidth needed for measurement of full peak power in chirped pulses is presented but not derived. We </w:t>
      </w:r>
      <w:r w:rsidR="009D38B3" w:rsidRPr="009D38B3">
        <w:rPr>
          <w:highlight w:val="yellow"/>
        </w:rPr>
        <w:t>seek comment</w:t>
      </w:r>
      <w:r>
        <w:t xml:space="preserve"> on NTIA’s technical report and its applicability to measurements of chirped signals.</w:t>
      </w:r>
    </w:p>
    <w:p w14:paraId="7769E2B6" w14:textId="5C511707" w:rsidR="00F41911" w:rsidRDefault="00FE087E">
      <w:pPr>
        <w:pStyle w:val="ListParagraph"/>
        <w:numPr>
          <w:ilvl w:val="0"/>
          <w:numId w:val="6"/>
        </w:numPr>
        <w:tabs>
          <w:tab w:val="left" w:pos="1559"/>
          <w:tab w:val="left" w:pos="1561"/>
        </w:tabs>
        <w:ind w:right="131" w:firstLine="720"/>
      </w:pPr>
      <w:r>
        <w:t>We propose to exempt FMCW and other similar swept-frequency radars from the section 15.31(c) requirement to stop the frequency sweep when measuring the relevant technical parameters.</w:t>
      </w:r>
      <w:r>
        <w:rPr>
          <w:position w:val="6"/>
          <w:sz w:val="13"/>
        </w:rPr>
        <w:t xml:space="preserve">111 </w:t>
      </w:r>
      <w:r>
        <w:t>Stopping the sweep is physically impractical for most of these types of devices and can result in inaccurate measurements.</w:t>
      </w:r>
      <w:r>
        <w:rPr>
          <w:position w:val="6"/>
          <w:sz w:val="13"/>
        </w:rPr>
        <w:t xml:space="preserve">112  </w:t>
      </w:r>
      <w:r>
        <w:t>In addition, we propose to remove the section 15.255(c)(4) requirement to use an RF detector with a detection bandwidth that encompasses the 57-71 GHz frequency range for performing peak power measurements. We believe that this requirement is superseded by the more recent inclusion of section 15.255(i),</w:t>
      </w:r>
      <w:r>
        <w:rPr>
          <w:position w:val="6"/>
          <w:sz w:val="13"/>
        </w:rPr>
        <w:t xml:space="preserve">113 </w:t>
      </w:r>
      <w:r>
        <w:t>which sets out a flexible approach toward measurement that can be adapted more effectively as the technology of devices and test instrumentation evolve.  Finally, we propose to specify that the provision of section 15.35(c) that requires calculating average field strength over a complete pulse train or 100 milliseconds is not applicable to pulsed or burst radars that operate in the 60 GHz band.</w:t>
      </w:r>
      <w:r>
        <w:rPr>
          <w:position w:val="6"/>
          <w:sz w:val="13"/>
        </w:rPr>
        <w:t xml:space="preserve">114   </w:t>
      </w:r>
      <w:r>
        <w:t>This measurement requirement was originally designed for low frequency pulse- code modulated devices such as garage door openers and we believe it is not appropriate for high frequency radars.</w:t>
      </w:r>
      <w:r>
        <w:rPr>
          <w:position w:val="6"/>
          <w:sz w:val="13"/>
        </w:rPr>
        <w:t xml:space="preserve">115   </w:t>
      </w:r>
      <w:r>
        <w:t xml:space="preserve">We </w:t>
      </w:r>
      <w:r w:rsidR="009D38B3" w:rsidRPr="009D38B3">
        <w:rPr>
          <w:highlight w:val="yellow"/>
        </w:rPr>
        <w:t>seek comment</w:t>
      </w:r>
      <w:r>
        <w:t xml:space="preserve"> on these</w:t>
      </w:r>
      <w:r>
        <w:rPr>
          <w:spacing w:val="4"/>
        </w:rPr>
        <w:t xml:space="preserve"> </w:t>
      </w:r>
      <w:r>
        <w:t>proposals.</w:t>
      </w:r>
    </w:p>
    <w:p w14:paraId="342B67AA" w14:textId="77777777" w:rsidR="00F41911" w:rsidRDefault="00FE087E">
      <w:pPr>
        <w:pStyle w:val="Heading1"/>
        <w:numPr>
          <w:ilvl w:val="0"/>
          <w:numId w:val="10"/>
        </w:numPr>
        <w:tabs>
          <w:tab w:val="left" w:pos="839"/>
          <w:tab w:val="left" w:pos="841"/>
        </w:tabs>
        <w:spacing w:before="120"/>
        <w:ind w:hanging="720"/>
      </w:pPr>
      <w:r>
        <w:t>PROCEDURAL</w:t>
      </w:r>
      <w:r>
        <w:rPr>
          <w:spacing w:val="-1"/>
        </w:rPr>
        <w:t xml:space="preserve"> </w:t>
      </w:r>
      <w:r>
        <w:t>MATTERS</w:t>
      </w:r>
    </w:p>
    <w:p w14:paraId="0034AEDE" w14:textId="77777777" w:rsidR="00F41911" w:rsidRDefault="00FE087E">
      <w:pPr>
        <w:pStyle w:val="ListParagraph"/>
        <w:numPr>
          <w:ilvl w:val="0"/>
          <w:numId w:val="6"/>
        </w:numPr>
        <w:tabs>
          <w:tab w:val="left" w:pos="1559"/>
          <w:tab w:val="left" w:pos="1561"/>
        </w:tabs>
        <w:ind w:right="338" w:firstLine="720"/>
      </w:pPr>
      <w:r>
        <w:rPr>
          <w:i/>
        </w:rPr>
        <w:t>Initial Regulatory Flexibility Act</w:t>
      </w:r>
      <w:r>
        <w:t>. The Regulatory Flexibility Act of 1980, as amended (RFA),</w:t>
      </w:r>
      <w:r>
        <w:rPr>
          <w:position w:val="6"/>
          <w:sz w:val="13"/>
        </w:rPr>
        <w:t xml:space="preserve">116 </w:t>
      </w:r>
      <w:r>
        <w:t>requires that a regulatory flexibility analysis be prepared for notice and comment rulemaking proceedings, unless the agency certifies that “the rule will not, if promulgated, have a significant economic impact on a substantial number of small entities.”</w:t>
      </w:r>
      <w:r>
        <w:rPr>
          <w:position w:val="7"/>
          <w:sz w:val="14"/>
        </w:rPr>
        <w:t xml:space="preserve">117 </w:t>
      </w:r>
      <w:r>
        <w:t xml:space="preserve">Accordingly, the Commission has prepared an Initial Regulatory Flexibility Analysis (IRFA) concerning potential rule and policy changes contained in this </w:t>
      </w:r>
      <w:r>
        <w:rPr>
          <w:i/>
        </w:rPr>
        <w:t>Notice of Proposed Rulemaking</w:t>
      </w:r>
      <w:r>
        <w:t>.  The IRFA is set forth in Appendix</w:t>
      </w:r>
      <w:r>
        <w:rPr>
          <w:spacing w:val="-18"/>
        </w:rPr>
        <w:t xml:space="preserve"> </w:t>
      </w:r>
      <w:r>
        <w:t>B.</w:t>
      </w:r>
    </w:p>
    <w:p w14:paraId="0025206B" w14:textId="77777777" w:rsidR="00F41911" w:rsidRDefault="00FE087E">
      <w:pPr>
        <w:pStyle w:val="ListParagraph"/>
        <w:numPr>
          <w:ilvl w:val="0"/>
          <w:numId w:val="6"/>
        </w:numPr>
        <w:tabs>
          <w:tab w:val="left" w:pos="1559"/>
          <w:tab w:val="left" w:pos="1561"/>
        </w:tabs>
        <w:ind w:right="161" w:firstLine="720"/>
      </w:pPr>
      <w:r>
        <w:rPr>
          <w:i/>
        </w:rPr>
        <w:t xml:space="preserve">Initial Paperwork Reduction Act Analysis. </w:t>
      </w:r>
      <w:r>
        <w:t xml:space="preserve">This </w:t>
      </w:r>
      <w:r>
        <w:rPr>
          <w:i/>
        </w:rPr>
        <w:t xml:space="preserve">Notice of Proposed Rulemaking </w:t>
      </w:r>
      <w:r>
        <w:t>does not contain potential new or revised information collection</w:t>
      </w:r>
      <w:r>
        <w:rPr>
          <w:spacing w:val="-6"/>
        </w:rPr>
        <w:t xml:space="preserve"> </w:t>
      </w:r>
      <w:r>
        <w:t>requirements.</w:t>
      </w:r>
    </w:p>
    <w:p w14:paraId="2B594AF7" w14:textId="77777777" w:rsidR="00F41911" w:rsidRDefault="00FE087E">
      <w:pPr>
        <w:pStyle w:val="ListParagraph"/>
        <w:numPr>
          <w:ilvl w:val="0"/>
          <w:numId w:val="6"/>
        </w:numPr>
        <w:tabs>
          <w:tab w:val="left" w:pos="1559"/>
          <w:tab w:val="left" w:pos="1561"/>
        </w:tabs>
        <w:ind w:right="363" w:firstLine="720"/>
      </w:pPr>
      <w:r>
        <w:rPr>
          <w:i/>
        </w:rPr>
        <w:t>Filing Requirements</w:t>
      </w:r>
      <w:r>
        <w:t>—</w:t>
      </w:r>
      <w:r>
        <w:rPr>
          <w:i/>
        </w:rPr>
        <w:t>Comments and Replies</w:t>
      </w:r>
      <w:r>
        <w:t>. Pursuant to sections 1.415 and 1.419 of the Commission’s rules, 47 CFR §§ 1.415, 1.419, interested parties may file comments and reply comments on or before the dates indicated on the first page of this document.  Comments may be</w:t>
      </w:r>
      <w:r>
        <w:rPr>
          <w:spacing w:val="-11"/>
        </w:rPr>
        <w:t xml:space="preserve"> </w:t>
      </w:r>
      <w:r>
        <w:t>filed</w:t>
      </w:r>
    </w:p>
    <w:p w14:paraId="1B9DC062" w14:textId="77777777" w:rsidR="00F41911" w:rsidRDefault="00F41911">
      <w:pPr>
        <w:pStyle w:val="BodyText"/>
        <w:rPr>
          <w:sz w:val="20"/>
        </w:rPr>
      </w:pPr>
    </w:p>
    <w:p w14:paraId="0DEA3B8B" w14:textId="77777777" w:rsidR="00F41911" w:rsidRDefault="004D2E02">
      <w:pPr>
        <w:pStyle w:val="BodyText"/>
        <w:spacing w:before="1"/>
        <w:rPr>
          <w:sz w:val="29"/>
        </w:rPr>
      </w:pPr>
      <w:r>
        <w:pict w14:anchorId="1F53D32D">
          <v:line id="_x0000_s1030" style="position:absolute;z-index:251665920;mso-wrap-distance-left:0;mso-wrap-distance-right:0;mso-position-horizontal-relative:page" from="1in,19.1pt" to="215.5pt,19.1pt" strokeweight=".72pt">
            <w10:wrap type="topAndBottom" anchorx="page"/>
          </v:line>
        </w:pict>
      </w:r>
    </w:p>
    <w:p w14:paraId="6DFB0DB6" w14:textId="77777777" w:rsidR="00F41911" w:rsidRDefault="00FE087E">
      <w:pPr>
        <w:spacing w:before="69"/>
        <w:ind w:left="120" w:right="161"/>
        <w:rPr>
          <w:sz w:val="20"/>
        </w:rPr>
      </w:pPr>
      <w:r>
        <w:rPr>
          <w:position w:val="6"/>
          <w:sz w:val="13"/>
        </w:rPr>
        <w:t xml:space="preserve">110 </w:t>
      </w:r>
      <w:r>
        <w:rPr>
          <w:sz w:val="20"/>
        </w:rPr>
        <w:t xml:space="preserve">National Telecommunications and Information Administration Technical Report TR-12-488, </w:t>
      </w:r>
      <w:r>
        <w:rPr>
          <w:i/>
          <w:sz w:val="20"/>
        </w:rPr>
        <w:t xml:space="preserve">Relationships Between Measured Power and Measurement Bandwidth for Frequency-Modulated (Chirped) Pulses </w:t>
      </w:r>
      <w:r>
        <w:rPr>
          <w:sz w:val="20"/>
        </w:rPr>
        <w:t>(August 2012).</w:t>
      </w:r>
    </w:p>
    <w:p w14:paraId="5349E8E1" w14:textId="77777777" w:rsidR="00F41911" w:rsidRDefault="00FE087E">
      <w:pPr>
        <w:spacing w:before="119"/>
        <w:ind w:left="120"/>
        <w:rPr>
          <w:sz w:val="20"/>
        </w:rPr>
      </w:pPr>
      <w:r>
        <w:rPr>
          <w:position w:val="6"/>
          <w:sz w:val="13"/>
        </w:rPr>
        <w:t xml:space="preserve">111  </w:t>
      </w:r>
      <w:r>
        <w:rPr>
          <w:sz w:val="20"/>
        </w:rPr>
        <w:t>47 CFR § 15.31(c).</w:t>
      </w:r>
    </w:p>
    <w:p w14:paraId="5577D53B" w14:textId="77777777" w:rsidR="00F41911" w:rsidRDefault="00FE087E">
      <w:pPr>
        <w:spacing w:before="119"/>
        <w:ind w:left="120" w:right="182"/>
        <w:rPr>
          <w:sz w:val="20"/>
        </w:rPr>
      </w:pPr>
      <w:r>
        <w:rPr>
          <w:position w:val="6"/>
          <w:sz w:val="13"/>
        </w:rPr>
        <w:t xml:space="preserve">112 </w:t>
      </w:r>
      <w:r>
        <w:rPr>
          <w:sz w:val="20"/>
        </w:rPr>
        <w:t>An FMCW radar works by sweeping a continuous wave (CW) signal over a defined frequency range. If the sweep is stopped for a bandwidth measurement, the measured bandwidth will be that of a CW signal, which is zero.</w:t>
      </w:r>
    </w:p>
    <w:p w14:paraId="713C1BF0" w14:textId="77777777" w:rsidR="00F41911" w:rsidRDefault="00FE087E">
      <w:pPr>
        <w:spacing w:before="119"/>
        <w:ind w:left="120"/>
        <w:rPr>
          <w:sz w:val="20"/>
        </w:rPr>
      </w:pPr>
      <w:r>
        <w:rPr>
          <w:position w:val="6"/>
          <w:sz w:val="13"/>
        </w:rPr>
        <w:t xml:space="preserve">113 </w:t>
      </w:r>
      <w:r>
        <w:rPr>
          <w:sz w:val="20"/>
        </w:rPr>
        <w:t>47 CFR § 15.255(i) states “Measurement procedures that have been found to be acceptable to the Commission in accordance with §2.947 of this chapter may be used to demonstrate compliance.”</w:t>
      </w:r>
    </w:p>
    <w:p w14:paraId="2A08A86C" w14:textId="77777777" w:rsidR="00F41911" w:rsidRDefault="00FE087E">
      <w:pPr>
        <w:spacing w:before="119"/>
        <w:ind w:left="120"/>
        <w:rPr>
          <w:sz w:val="20"/>
        </w:rPr>
      </w:pPr>
      <w:r>
        <w:rPr>
          <w:position w:val="6"/>
          <w:sz w:val="13"/>
        </w:rPr>
        <w:t xml:space="preserve">114  </w:t>
      </w:r>
      <w:r>
        <w:rPr>
          <w:sz w:val="20"/>
        </w:rPr>
        <w:t>47 CFR § 15.35(c).</w:t>
      </w:r>
    </w:p>
    <w:p w14:paraId="2931EFCF" w14:textId="77777777" w:rsidR="00F41911" w:rsidRDefault="00FE087E">
      <w:pPr>
        <w:spacing w:before="119"/>
        <w:ind w:left="120"/>
        <w:rPr>
          <w:sz w:val="20"/>
        </w:rPr>
      </w:pPr>
      <w:r>
        <w:rPr>
          <w:position w:val="6"/>
          <w:sz w:val="13"/>
        </w:rPr>
        <w:t xml:space="preserve">115  </w:t>
      </w:r>
      <w:r>
        <w:rPr>
          <w:sz w:val="20"/>
        </w:rPr>
        <w:t>Garage door openers typically operate in the 300-390 MHz frequency range.</w:t>
      </w:r>
    </w:p>
    <w:p w14:paraId="7BC990FE" w14:textId="77777777" w:rsidR="00F41911" w:rsidRDefault="00FE087E">
      <w:pPr>
        <w:spacing w:before="119"/>
        <w:ind w:left="120" w:right="227"/>
        <w:rPr>
          <w:sz w:val="20"/>
        </w:rPr>
      </w:pPr>
      <w:r>
        <w:rPr>
          <w:position w:val="6"/>
          <w:sz w:val="13"/>
        </w:rPr>
        <w:t xml:space="preserve">116 </w:t>
      </w:r>
      <w:r>
        <w:rPr>
          <w:sz w:val="20"/>
        </w:rPr>
        <w:t>5 U.S.C. § 603. The RFA, 5 U.S.C. §§ 601–612, was amended by the Small Business Regulatory Enforcement Fairness Act of 1996 (SBREFA), Pub. L. No. 104-121, Title II, 110 Stat. 857 (1996).</w:t>
      </w:r>
    </w:p>
    <w:p w14:paraId="7ECC5455" w14:textId="77777777" w:rsidR="00F41911" w:rsidRDefault="00FE087E">
      <w:pPr>
        <w:spacing w:before="119"/>
        <w:ind w:left="120"/>
        <w:rPr>
          <w:sz w:val="20"/>
        </w:rPr>
      </w:pPr>
      <w:r>
        <w:rPr>
          <w:position w:val="6"/>
          <w:sz w:val="13"/>
        </w:rPr>
        <w:t xml:space="preserve">117  </w:t>
      </w:r>
      <w:r>
        <w:rPr>
          <w:i/>
          <w:sz w:val="20"/>
        </w:rPr>
        <w:t xml:space="preserve">Id. </w:t>
      </w:r>
      <w:r>
        <w:rPr>
          <w:sz w:val="20"/>
        </w:rPr>
        <w:t>§ 605(b).</w:t>
      </w:r>
    </w:p>
    <w:p w14:paraId="7FCC4F04" w14:textId="77777777" w:rsidR="00F41911" w:rsidRDefault="00F41911">
      <w:pPr>
        <w:rPr>
          <w:sz w:val="20"/>
        </w:rPr>
        <w:sectPr w:rsidR="00F41911">
          <w:pgSz w:w="12240" w:h="15840"/>
          <w:pgMar w:top="980" w:right="1320" w:bottom="960" w:left="1320" w:header="729" w:footer="713" w:gutter="0"/>
          <w:cols w:space="720"/>
        </w:sectPr>
      </w:pPr>
    </w:p>
    <w:p w14:paraId="5C003C52" w14:textId="77777777" w:rsidR="00F41911" w:rsidRDefault="00F41911">
      <w:pPr>
        <w:pStyle w:val="BodyText"/>
        <w:rPr>
          <w:sz w:val="20"/>
        </w:rPr>
      </w:pPr>
    </w:p>
    <w:p w14:paraId="1016F6F9" w14:textId="77777777" w:rsidR="00F41911" w:rsidRDefault="00F41911">
      <w:pPr>
        <w:pStyle w:val="BodyText"/>
        <w:spacing w:before="6"/>
      </w:pPr>
    </w:p>
    <w:p w14:paraId="5C0D787C" w14:textId="77777777" w:rsidR="00F41911" w:rsidRDefault="00FE087E">
      <w:pPr>
        <w:ind w:left="120" w:right="139"/>
      </w:pPr>
      <w:r>
        <w:t xml:space="preserve">using the Commission’s Electronic Comment Filing System (ECFS). </w:t>
      </w:r>
      <w:r>
        <w:rPr>
          <w:i/>
        </w:rPr>
        <w:t>See Electronic Filing of Documents in Rulemaking Proceedings</w:t>
      </w:r>
      <w:r>
        <w:t>, 63 FR 24121 (1998).</w:t>
      </w:r>
    </w:p>
    <w:p w14:paraId="0BD41893" w14:textId="77777777" w:rsidR="00F41911" w:rsidRDefault="00FE087E">
      <w:pPr>
        <w:pStyle w:val="ListParagraph"/>
        <w:numPr>
          <w:ilvl w:val="0"/>
          <w:numId w:val="5"/>
        </w:numPr>
        <w:tabs>
          <w:tab w:val="left" w:pos="1199"/>
          <w:tab w:val="left" w:pos="1200"/>
        </w:tabs>
        <w:ind w:right="315"/>
      </w:pPr>
      <w:r>
        <w:t>Electronic Filers: Comments may be filed electronically using the Internet by accessing the ECFS:</w:t>
      </w:r>
      <w:r>
        <w:rPr>
          <w:spacing w:val="44"/>
        </w:rPr>
        <w:t xml:space="preserve"> </w:t>
      </w:r>
      <w:hyperlink r:id="rId42">
        <w:r>
          <w:rPr>
            <w:u w:val="single"/>
          </w:rPr>
          <w:t>https://www.fcc.gov/ecfs</w:t>
        </w:r>
      </w:hyperlink>
      <w:r>
        <w:t>.</w:t>
      </w:r>
    </w:p>
    <w:p w14:paraId="62BF659D" w14:textId="77777777" w:rsidR="00F41911" w:rsidRDefault="00FE087E">
      <w:pPr>
        <w:pStyle w:val="ListParagraph"/>
        <w:numPr>
          <w:ilvl w:val="0"/>
          <w:numId w:val="5"/>
        </w:numPr>
        <w:tabs>
          <w:tab w:val="left" w:pos="1199"/>
          <w:tab w:val="left" w:pos="1200"/>
        </w:tabs>
        <w:ind w:left="1199" w:hanging="359"/>
      </w:pPr>
      <w:r>
        <w:t>Paper</w:t>
      </w:r>
      <w:r>
        <w:rPr>
          <w:spacing w:val="-8"/>
        </w:rPr>
        <w:t xml:space="preserve"> </w:t>
      </w:r>
      <w:r>
        <w:t>Filers:</w:t>
      </w:r>
    </w:p>
    <w:p w14:paraId="63AA2A4D" w14:textId="77777777" w:rsidR="00F41911" w:rsidRDefault="00FE087E">
      <w:pPr>
        <w:pStyle w:val="ListParagraph"/>
        <w:numPr>
          <w:ilvl w:val="1"/>
          <w:numId w:val="5"/>
        </w:numPr>
        <w:tabs>
          <w:tab w:val="left" w:pos="1559"/>
          <w:tab w:val="left" w:pos="1560"/>
        </w:tabs>
        <w:spacing w:before="123" w:line="252" w:lineRule="exact"/>
        <w:ind w:right="346"/>
      </w:pPr>
      <w:r>
        <w:t>Parties who choose to file by paper must file an original and one copy of each filing. If more than one docket or rulemaking number appears in the caption of this proceeding, filers must submit two additional copies for each additional docket or rulemaking number.</w:t>
      </w:r>
    </w:p>
    <w:p w14:paraId="1225A5E4" w14:textId="77777777" w:rsidR="00F41911" w:rsidRDefault="00FE087E">
      <w:pPr>
        <w:pStyle w:val="ListParagraph"/>
        <w:numPr>
          <w:ilvl w:val="1"/>
          <w:numId w:val="5"/>
        </w:numPr>
        <w:tabs>
          <w:tab w:val="left" w:pos="1560"/>
        </w:tabs>
        <w:spacing w:before="121" w:line="252" w:lineRule="exact"/>
        <w:ind w:right="211"/>
        <w:jc w:val="both"/>
      </w:pPr>
      <w:r>
        <w:t>Filings can be sent by hand or messenger delivery, by commercial overnight courier, or by first-class or overnight U.S. Postal Service mail. All filings must be addressed to the Commission’s Secretary, Office of the Secretary, Federal Communications</w:t>
      </w:r>
      <w:r>
        <w:rPr>
          <w:spacing w:val="-28"/>
        </w:rPr>
        <w:t xml:space="preserve"> </w:t>
      </w:r>
      <w:r>
        <w:t>Commission.</w:t>
      </w:r>
    </w:p>
    <w:p w14:paraId="4959CE1B" w14:textId="77777777" w:rsidR="00F41911" w:rsidRDefault="00FE087E">
      <w:pPr>
        <w:pStyle w:val="ListParagraph"/>
        <w:numPr>
          <w:ilvl w:val="1"/>
          <w:numId w:val="5"/>
        </w:numPr>
        <w:tabs>
          <w:tab w:val="left" w:pos="1559"/>
          <w:tab w:val="left" w:pos="1560"/>
        </w:tabs>
        <w:spacing w:before="121" w:line="252" w:lineRule="exact"/>
        <w:ind w:right="132"/>
      </w:pPr>
      <w:r>
        <w:t xml:space="preserve">Effective March 19, 2020, and until further notice, the Commission no longer accepts any hand or messenger delivered filings.  This is a temporary measure taken to help protect the health and safety of individuals, and to mitigate the transmission of COVID-19. </w:t>
      </w:r>
      <w:r>
        <w:rPr>
          <w:i/>
        </w:rPr>
        <w:t xml:space="preserve">See </w:t>
      </w:r>
      <w:r>
        <w:t xml:space="preserve">FCC Announces Closure of FCC Headquarters Open Window and Change in Hand- Delivery Policy, Public Notice, DA 20-304 (March. 19, 2020), </w:t>
      </w:r>
      <w:hyperlink r:id="rId43">
        <w:r>
          <w:rPr>
            <w:u w:val="single"/>
          </w:rPr>
          <w:t xml:space="preserve">https://www.fcc.gov/document/fcc-closes-headquarters-open-window-and-changes-hand- </w:t>
        </w:r>
      </w:hyperlink>
      <w:hyperlink r:id="rId44">
        <w:r>
          <w:rPr>
            <w:u w:val="single"/>
          </w:rPr>
          <w:t>delivery-policy</w:t>
        </w:r>
      </w:hyperlink>
      <w:r>
        <w:t>.</w:t>
      </w:r>
    </w:p>
    <w:p w14:paraId="1544B714" w14:textId="77777777" w:rsidR="00F41911" w:rsidRDefault="00FE087E">
      <w:pPr>
        <w:pStyle w:val="ListParagraph"/>
        <w:numPr>
          <w:ilvl w:val="1"/>
          <w:numId w:val="5"/>
        </w:numPr>
        <w:tabs>
          <w:tab w:val="left" w:pos="1559"/>
          <w:tab w:val="left" w:pos="1560"/>
        </w:tabs>
        <w:spacing w:before="121" w:line="252" w:lineRule="exact"/>
        <w:ind w:right="516"/>
      </w:pPr>
      <w:r>
        <w:t>Commercial overnight mail (other than U.S. Postal Service Express Mail and Priority Mail) must be sent to 9050 Junction Drive, Annapolis Junction, MD</w:t>
      </w:r>
      <w:r>
        <w:rPr>
          <w:spacing w:val="-32"/>
        </w:rPr>
        <w:t xml:space="preserve"> </w:t>
      </w:r>
      <w:r>
        <w:t>20701.</w:t>
      </w:r>
    </w:p>
    <w:p w14:paraId="083048DE" w14:textId="77777777" w:rsidR="00F41911" w:rsidRDefault="00FE087E">
      <w:pPr>
        <w:pStyle w:val="ListParagraph"/>
        <w:numPr>
          <w:ilvl w:val="1"/>
          <w:numId w:val="5"/>
        </w:numPr>
        <w:tabs>
          <w:tab w:val="left" w:pos="1559"/>
          <w:tab w:val="left" w:pos="1560"/>
        </w:tabs>
        <w:spacing w:before="121" w:line="252" w:lineRule="exact"/>
        <w:ind w:right="663"/>
      </w:pPr>
      <w:r>
        <w:t>U.S. Postal Service first-class, Express, and Priority mail must be addressed to 45 L Street, NE, Washington, DC</w:t>
      </w:r>
      <w:r>
        <w:rPr>
          <w:spacing w:val="-11"/>
        </w:rPr>
        <w:t xml:space="preserve"> </w:t>
      </w:r>
      <w:r>
        <w:t>20554.</w:t>
      </w:r>
    </w:p>
    <w:p w14:paraId="3F6834E1" w14:textId="77777777" w:rsidR="00F41911" w:rsidRDefault="00FE087E">
      <w:pPr>
        <w:pStyle w:val="ListParagraph"/>
        <w:numPr>
          <w:ilvl w:val="0"/>
          <w:numId w:val="6"/>
        </w:numPr>
        <w:tabs>
          <w:tab w:val="left" w:pos="1559"/>
          <w:tab w:val="left" w:pos="1561"/>
        </w:tabs>
        <w:spacing w:before="117"/>
        <w:ind w:right="313" w:firstLine="720"/>
      </w:pPr>
      <w:r>
        <w:rPr>
          <w:i/>
        </w:rPr>
        <w:t xml:space="preserve">People with Disabilities. </w:t>
      </w:r>
      <w:r>
        <w:t xml:space="preserve">To request materials in accessible formats for people with disabilities (Braille, large print, electronic files, audio format), send an e-mail to </w:t>
      </w:r>
      <w:hyperlink r:id="rId45">
        <w:r>
          <w:rPr>
            <w:u w:val="single"/>
          </w:rPr>
          <w:t xml:space="preserve">fcc504@fcc.gov </w:t>
        </w:r>
      </w:hyperlink>
      <w:r>
        <w:t>or call the FCC’s Consumer and Governmental Affairs Bureau at (202) 418-0530 (voice), (202) 418-0432 (TTY).</w:t>
      </w:r>
    </w:p>
    <w:p w14:paraId="1BC1797A" w14:textId="77777777" w:rsidR="00F41911" w:rsidRDefault="00FE087E">
      <w:pPr>
        <w:pStyle w:val="ListParagraph"/>
        <w:numPr>
          <w:ilvl w:val="0"/>
          <w:numId w:val="6"/>
        </w:numPr>
        <w:tabs>
          <w:tab w:val="left" w:pos="1559"/>
          <w:tab w:val="left" w:pos="1561"/>
        </w:tabs>
        <w:ind w:right="124" w:firstLine="720"/>
      </w:pPr>
      <w:r>
        <w:rPr>
          <w:i/>
        </w:rPr>
        <w:t>Ex Parte Rules—Permit-But-Disclose</w:t>
      </w:r>
      <w:r>
        <w:t xml:space="preserve">. This proceeding shall be treated as a “permit-but- disclose” proceeding in accordance with the Commission’s </w:t>
      </w:r>
      <w:r>
        <w:rPr>
          <w:i/>
        </w:rPr>
        <w:t xml:space="preserve">ex parte </w:t>
      </w:r>
      <w:r>
        <w:t xml:space="preserve">rules. </w:t>
      </w:r>
      <w:r>
        <w:rPr>
          <w:i/>
        </w:rPr>
        <w:t xml:space="preserve">Ex parte </w:t>
      </w:r>
      <w:r>
        <w:t xml:space="preserve">presentations are permissible if disclosed in accordance with Commission rules, except during the Sunshine Agenda period when presentations, </w:t>
      </w:r>
      <w:r>
        <w:rPr>
          <w:i/>
        </w:rPr>
        <w:t xml:space="preserve">ex parte </w:t>
      </w:r>
      <w:r>
        <w:t xml:space="preserve">or otherwise, are generally prohibited.  Persons making </w:t>
      </w:r>
      <w:r>
        <w:rPr>
          <w:i/>
        </w:rPr>
        <w:t xml:space="preserve">ex parte </w:t>
      </w:r>
      <w:r>
        <w:t xml:space="preserve">presentations must file a copy of any written presentation or a memorandum summarizing any oral presentation within two business days after the presentation (unless a different deadline applicable to the Sunshine period applies). Persons making oral </w:t>
      </w:r>
      <w:r>
        <w:rPr>
          <w:i/>
        </w:rPr>
        <w:t xml:space="preserve">ex parte </w:t>
      </w:r>
      <w:r>
        <w:t xml:space="preserve">presentations are reminded that memoranda summarizing the presentation must (1) list all persons attending or otherwise participating in the meeting at which the </w:t>
      </w:r>
      <w:r>
        <w:rPr>
          <w:i/>
        </w:rPr>
        <w:t xml:space="preserve">ex parte </w:t>
      </w:r>
      <w:r>
        <w:t xml:space="preserve">presentation was made, and (2) summarize all data presented and arguments made during the presentation.  Memoranda must contain a summary of the substance of the </w:t>
      </w:r>
      <w:r>
        <w:rPr>
          <w:i/>
        </w:rPr>
        <w:t xml:space="preserve">ex parte </w:t>
      </w:r>
      <w:r>
        <w:t xml:space="preserve">presentation and not merely a listing of the subjects discussed. More than a one or two sentence description of the views and arguments presented is generally required.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rPr>
        <w:t xml:space="preserve">ex parte </w:t>
      </w:r>
      <w:r>
        <w:t xml:space="preserve">meetings are deemed to be written </w:t>
      </w:r>
      <w:r>
        <w:rPr>
          <w:i/>
        </w:rPr>
        <w:t xml:space="preserve">ex parte </w:t>
      </w:r>
      <w:r>
        <w:t xml:space="preserve">presentations and must be filed consistent with section 1.1206(b) of the rules. In proceedings governed by section 1.49(f) of the rules or for which the Commission has made available a method of electronic filing, written </w:t>
      </w:r>
      <w:r>
        <w:rPr>
          <w:i/>
        </w:rPr>
        <w:t xml:space="preserve">ex parte </w:t>
      </w:r>
      <w:r>
        <w:t xml:space="preserve">presentations and memoranda summarizing oral </w:t>
      </w:r>
      <w:r>
        <w:rPr>
          <w:i/>
        </w:rPr>
        <w:t xml:space="preserve">ex parte </w:t>
      </w:r>
      <w:r>
        <w:t>presentations, and all attachments thereto, must be filed through the electronic comment filing</w:t>
      </w:r>
      <w:r>
        <w:rPr>
          <w:spacing w:val="-20"/>
        </w:rPr>
        <w:t xml:space="preserve"> </w:t>
      </w:r>
      <w:r>
        <w:t>system</w:t>
      </w:r>
    </w:p>
    <w:p w14:paraId="685DF9B6" w14:textId="77777777" w:rsidR="00F41911" w:rsidRDefault="00F41911">
      <w:pPr>
        <w:sectPr w:rsidR="00F41911">
          <w:pgSz w:w="12240" w:h="15840"/>
          <w:pgMar w:top="980" w:right="1320" w:bottom="960" w:left="1320" w:header="729" w:footer="713" w:gutter="0"/>
          <w:cols w:space="720"/>
        </w:sectPr>
      </w:pPr>
    </w:p>
    <w:p w14:paraId="7841A463" w14:textId="77777777" w:rsidR="00F41911" w:rsidRDefault="00F41911">
      <w:pPr>
        <w:pStyle w:val="BodyText"/>
        <w:rPr>
          <w:sz w:val="20"/>
        </w:rPr>
      </w:pPr>
    </w:p>
    <w:p w14:paraId="094C720A" w14:textId="77777777" w:rsidR="00F41911" w:rsidRDefault="00F41911">
      <w:pPr>
        <w:pStyle w:val="BodyText"/>
        <w:spacing w:before="6"/>
      </w:pPr>
    </w:p>
    <w:p w14:paraId="54BF97B6" w14:textId="77777777" w:rsidR="00F41911" w:rsidRDefault="00FE087E">
      <w:pPr>
        <w:pStyle w:val="BodyText"/>
        <w:ind w:left="120"/>
      </w:pPr>
      <w:r>
        <w:t>available for that proceeding, and must be filed in their native format (</w:t>
      </w:r>
      <w:r>
        <w:rPr>
          <w:i/>
        </w:rPr>
        <w:t>e.g.</w:t>
      </w:r>
      <w:r>
        <w:t>, .doc, .xml, .ppt, searchable</w:t>
      </w:r>
    </w:p>
    <w:p w14:paraId="552C1627" w14:textId="77777777" w:rsidR="00F41911" w:rsidRDefault="00FE087E">
      <w:pPr>
        <w:pStyle w:val="BodyText"/>
        <w:ind w:left="120"/>
      </w:pPr>
      <w:r>
        <w:t xml:space="preserve">.pdf).  Participants in this proceeding should familiarize themselves with the Commission’s </w:t>
      </w:r>
      <w:r>
        <w:rPr>
          <w:i/>
        </w:rPr>
        <w:t xml:space="preserve">ex parte </w:t>
      </w:r>
      <w:r>
        <w:t>rules.</w:t>
      </w:r>
    </w:p>
    <w:p w14:paraId="175ACBBC" w14:textId="77777777" w:rsidR="00F41911" w:rsidRDefault="00FE087E">
      <w:pPr>
        <w:pStyle w:val="ListParagraph"/>
        <w:numPr>
          <w:ilvl w:val="0"/>
          <w:numId w:val="6"/>
        </w:numPr>
        <w:tabs>
          <w:tab w:val="left" w:pos="1559"/>
          <w:tab w:val="left" w:pos="1561"/>
        </w:tabs>
        <w:ind w:right="400" w:firstLine="720"/>
      </w:pPr>
      <w:r>
        <w:rPr>
          <w:i/>
        </w:rPr>
        <w:t>Additional Information</w:t>
      </w:r>
      <w:r>
        <w:t xml:space="preserve">. For additional information on this proceeding, contact Anh T. Wride, </w:t>
      </w:r>
      <w:hyperlink r:id="rId46">
        <w:r>
          <w:rPr>
            <w:u w:val="single"/>
          </w:rPr>
          <w:t>anh.wride@fcc.gov</w:t>
        </w:r>
      </w:hyperlink>
      <w:r>
        <w:t xml:space="preserve">, (202) 418-0577, Office of Engineering and Technology, Technical Rules Branch; or Thomas Struble at (202) 418-2470 or </w:t>
      </w:r>
      <w:hyperlink r:id="rId47">
        <w:r>
          <w:rPr>
            <w:u w:val="single"/>
          </w:rPr>
          <w:t>Thomas.Struble@fcc.gov</w:t>
        </w:r>
      </w:hyperlink>
      <w:r>
        <w:t>, Office of Engineering and Technology, Office of the Chief</w:t>
      </w:r>
      <w:r>
        <w:rPr>
          <w:spacing w:val="-4"/>
        </w:rPr>
        <w:t xml:space="preserve"> </w:t>
      </w:r>
      <w:r>
        <w:t>Engineer.</w:t>
      </w:r>
    </w:p>
    <w:p w14:paraId="11469E8D" w14:textId="77777777" w:rsidR="00F41911" w:rsidRDefault="00FE087E">
      <w:pPr>
        <w:pStyle w:val="Heading1"/>
        <w:numPr>
          <w:ilvl w:val="0"/>
          <w:numId w:val="10"/>
        </w:numPr>
        <w:tabs>
          <w:tab w:val="left" w:pos="839"/>
          <w:tab w:val="left" w:pos="841"/>
        </w:tabs>
        <w:spacing w:before="120"/>
        <w:ind w:hanging="720"/>
      </w:pPr>
      <w:r>
        <w:t>ORDERING</w:t>
      </w:r>
      <w:r>
        <w:rPr>
          <w:spacing w:val="-7"/>
        </w:rPr>
        <w:t xml:space="preserve"> </w:t>
      </w:r>
      <w:r>
        <w:t>CLAUSES</w:t>
      </w:r>
    </w:p>
    <w:p w14:paraId="5D3D43FD" w14:textId="77777777" w:rsidR="00F41911" w:rsidRDefault="00FE087E">
      <w:pPr>
        <w:pStyle w:val="ListParagraph"/>
        <w:numPr>
          <w:ilvl w:val="0"/>
          <w:numId w:val="6"/>
        </w:numPr>
        <w:tabs>
          <w:tab w:val="left" w:pos="1559"/>
          <w:tab w:val="left" w:pos="1561"/>
        </w:tabs>
        <w:ind w:right="320" w:firstLine="720"/>
      </w:pPr>
      <w:r>
        <w:t xml:space="preserve">IT IS ORDERED, pursuant to the authority found in Sections 4(i), 201, 302, and 303 of the Communications Act of 1934, as amended, 47 U.S.C. §§ 154(i), 201, 302a, 303, and Sections 1.407 and 1.411 of the Commission’s Rules, 47 C.F.R §§ 1.407 and 1.411, that this </w:t>
      </w:r>
      <w:r>
        <w:rPr>
          <w:i/>
        </w:rPr>
        <w:t xml:space="preserve">Notice of Proposed Rulemaking </w:t>
      </w:r>
      <w:r>
        <w:t>IS ADOPTED, as set forth</w:t>
      </w:r>
      <w:r>
        <w:rPr>
          <w:spacing w:val="-12"/>
        </w:rPr>
        <w:t xml:space="preserve"> </w:t>
      </w:r>
      <w:r>
        <w:t>above.</w:t>
      </w:r>
    </w:p>
    <w:p w14:paraId="126626AA" w14:textId="77777777" w:rsidR="00F41911" w:rsidRDefault="00FE087E">
      <w:pPr>
        <w:pStyle w:val="ListParagraph"/>
        <w:numPr>
          <w:ilvl w:val="0"/>
          <w:numId w:val="6"/>
        </w:numPr>
        <w:tabs>
          <w:tab w:val="left" w:pos="1559"/>
          <w:tab w:val="left" w:pos="1561"/>
        </w:tabs>
        <w:ind w:right="331" w:firstLine="720"/>
      </w:pPr>
      <w:r>
        <w:t xml:space="preserve">IT IS FURTHER ORDERED that the Commission’s Consumer and Governmental Affairs Bureau, Reference Information Center, SHALL SEND a copy of this </w:t>
      </w:r>
      <w:r>
        <w:rPr>
          <w:i/>
        </w:rPr>
        <w:t>Notice of Proposed Rulemaking</w:t>
      </w:r>
      <w:r>
        <w:t>, including the Initial Regulatory Flexibility Analysis, to the Chief Counsel for Advocacy of the Small Business</w:t>
      </w:r>
      <w:r>
        <w:rPr>
          <w:spacing w:val="-16"/>
        </w:rPr>
        <w:t xml:space="preserve"> </w:t>
      </w:r>
      <w:r>
        <w:t>Administration.</w:t>
      </w:r>
    </w:p>
    <w:p w14:paraId="73E614DB" w14:textId="77777777" w:rsidR="00F41911" w:rsidRDefault="00F41911">
      <w:pPr>
        <w:pStyle w:val="BodyText"/>
        <w:rPr>
          <w:sz w:val="24"/>
        </w:rPr>
      </w:pPr>
    </w:p>
    <w:p w14:paraId="5CBB123D" w14:textId="77777777" w:rsidR="00F41911" w:rsidRDefault="00F41911">
      <w:pPr>
        <w:pStyle w:val="BodyText"/>
        <w:spacing w:before="10"/>
        <w:rPr>
          <w:sz w:val="18"/>
        </w:rPr>
      </w:pPr>
    </w:p>
    <w:p w14:paraId="0FB79198" w14:textId="77777777" w:rsidR="00F41911" w:rsidRDefault="00FE087E">
      <w:pPr>
        <w:pStyle w:val="BodyText"/>
        <w:ind w:left="4440"/>
      </w:pPr>
      <w:r>
        <w:t>FEDERAL COMMUNICATIONS COMMISSION</w:t>
      </w:r>
    </w:p>
    <w:p w14:paraId="1059291F" w14:textId="77777777" w:rsidR="00F41911" w:rsidRDefault="00F41911">
      <w:pPr>
        <w:pStyle w:val="BodyText"/>
        <w:rPr>
          <w:sz w:val="24"/>
        </w:rPr>
      </w:pPr>
    </w:p>
    <w:p w14:paraId="478B46E1" w14:textId="77777777" w:rsidR="00F41911" w:rsidRDefault="00F41911">
      <w:pPr>
        <w:pStyle w:val="BodyText"/>
        <w:rPr>
          <w:sz w:val="24"/>
        </w:rPr>
      </w:pPr>
    </w:p>
    <w:p w14:paraId="452AFD8E" w14:textId="77777777" w:rsidR="00F41911" w:rsidRDefault="00F41911">
      <w:pPr>
        <w:pStyle w:val="BodyText"/>
        <w:rPr>
          <w:sz w:val="24"/>
        </w:rPr>
      </w:pPr>
    </w:p>
    <w:p w14:paraId="1D4E05EF" w14:textId="77777777" w:rsidR="00F41911" w:rsidRDefault="00FE087E">
      <w:pPr>
        <w:pStyle w:val="BodyText"/>
        <w:spacing w:before="184"/>
        <w:ind w:left="4440" w:right="3472"/>
      </w:pPr>
      <w:r>
        <w:t>Marlene H. Dortch Secretary</w:t>
      </w:r>
    </w:p>
    <w:p w14:paraId="55465107" w14:textId="77777777" w:rsidR="00F41911" w:rsidRDefault="00F41911">
      <w:pPr>
        <w:sectPr w:rsidR="00F41911">
          <w:pgSz w:w="12240" w:h="15840"/>
          <w:pgMar w:top="980" w:right="1320" w:bottom="960" w:left="1320" w:header="729" w:footer="713" w:gutter="0"/>
          <w:cols w:space="720"/>
        </w:sectPr>
      </w:pPr>
    </w:p>
    <w:p w14:paraId="059F6405" w14:textId="77777777" w:rsidR="00F41911" w:rsidRDefault="00F41911">
      <w:pPr>
        <w:pStyle w:val="BodyText"/>
        <w:rPr>
          <w:sz w:val="20"/>
        </w:rPr>
      </w:pPr>
    </w:p>
    <w:p w14:paraId="4ECCCB90" w14:textId="77777777" w:rsidR="00F41911" w:rsidRDefault="00F41911">
      <w:pPr>
        <w:pStyle w:val="BodyText"/>
        <w:spacing w:before="6"/>
      </w:pPr>
    </w:p>
    <w:p w14:paraId="21AA328C" w14:textId="77777777" w:rsidR="00F41911" w:rsidRDefault="00FE087E">
      <w:pPr>
        <w:pStyle w:val="Heading1"/>
        <w:spacing w:line="480" w:lineRule="auto"/>
        <w:ind w:left="3909" w:right="3907"/>
        <w:jc w:val="center"/>
      </w:pPr>
      <w:r>
        <w:t>Appendix A Proposed Rules</w:t>
      </w:r>
    </w:p>
    <w:p w14:paraId="1961F988" w14:textId="77777777" w:rsidR="00F41911" w:rsidRDefault="00FE087E">
      <w:pPr>
        <w:pStyle w:val="BodyText"/>
        <w:spacing w:before="9"/>
        <w:ind w:left="120"/>
      </w:pPr>
      <w:r>
        <w:t>Part 15 of Title 47 of the Code of Federal Regulations is proposed to be amended as follows:</w:t>
      </w:r>
    </w:p>
    <w:p w14:paraId="5EAE939F" w14:textId="77777777" w:rsidR="00F41911" w:rsidRDefault="00F41911">
      <w:pPr>
        <w:pStyle w:val="BodyText"/>
        <w:spacing w:before="4"/>
        <w:rPr>
          <w:sz w:val="32"/>
        </w:rPr>
      </w:pPr>
    </w:p>
    <w:p w14:paraId="6A6223F5" w14:textId="77777777" w:rsidR="00F41911" w:rsidRDefault="00FE087E">
      <w:pPr>
        <w:pStyle w:val="Heading1"/>
        <w:ind w:left="120"/>
      </w:pPr>
      <w:r>
        <w:t>PART 15 – RADIO FREQUENCY DEVICES</w:t>
      </w:r>
    </w:p>
    <w:p w14:paraId="520A6F1B" w14:textId="77777777" w:rsidR="00F41911" w:rsidRDefault="00FE087E">
      <w:pPr>
        <w:pStyle w:val="BodyText"/>
        <w:spacing w:before="119"/>
        <w:ind w:left="840"/>
      </w:pPr>
      <w:r>
        <w:t>The authority citation for Part 15 continues to read as follows:</w:t>
      </w:r>
    </w:p>
    <w:p w14:paraId="7555375F" w14:textId="77777777" w:rsidR="00F41911" w:rsidRDefault="00FE087E">
      <w:pPr>
        <w:pStyle w:val="BodyText"/>
        <w:spacing w:before="119"/>
        <w:ind w:left="120"/>
      </w:pPr>
      <w:r>
        <w:rPr>
          <w:b/>
        </w:rPr>
        <w:t xml:space="preserve">AUTHORITY:  </w:t>
      </w:r>
      <w:r>
        <w:t>47 U.S.C. 154, 302a, 303, 304, 307, 336, 544a, and 549.</w:t>
      </w:r>
    </w:p>
    <w:p w14:paraId="613A2C2C" w14:textId="77777777" w:rsidR="00F41911" w:rsidRDefault="00F41911">
      <w:pPr>
        <w:pStyle w:val="BodyText"/>
        <w:spacing w:before="4"/>
        <w:rPr>
          <w:sz w:val="32"/>
        </w:rPr>
      </w:pPr>
    </w:p>
    <w:p w14:paraId="0FBD8D26" w14:textId="77777777" w:rsidR="00F41911" w:rsidRDefault="00FE087E">
      <w:pPr>
        <w:pStyle w:val="ListParagraph"/>
        <w:numPr>
          <w:ilvl w:val="1"/>
          <w:numId w:val="10"/>
        </w:numPr>
        <w:tabs>
          <w:tab w:val="left" w:pos="1019"/>
          <w:tab w:val="left" w:pos="1020"/>
        </w:tabs>
        <w:spacing w:before="0"/>
        <w:ind w:firstLine="450"/>
      </w:pPr>
      <w:r>
        <w:t>Section 15.31 is proposed to be amended by revising paragraph (c) to read as</w:t>
      </w:r>
      <w:r>
        <w:rPr>
          <w:spacing w:val="-10"/>
        </w:rPr>
        <w:t xml:space="preserve"> </w:t>
      </w:r>
      <w:r>
        <w:t>follows:</w:t>
      </w:r>
    </w:p>
    <w:p w14:paraId="75DC9343" w14:textId="77777777" w:rsidR="00F41911" w:rsidRDefault="00F41911">
      <w:pPr>
        <w:pStyle w:val="BodyText"/>
        <w:spacing w:before="9"/>
        <w:rPr>
          <w:sz w:val="20"/>
        </w:rPr>
      </w:pPr>
    </w:p>
    <w:p w14:paraId="2A0A74D7" w14:textId="77777777" w:rsidR="00F41911" w:rsidRDefault="00FE087E">
      <w:pPr>
        <w:pStyle w:val="Heading1"/>
        <w:ind w:left="120"/>
      </w:pPr>
      <w:r>
        <w:t>§15.31  Measurement standards.</w:t>
      </w:r>
    </w:p>
    <w:p w14:paraId="6E312D8D" w14:textId="77777777" w:rsidR="00F41911" w:rsidRDefault="00FE087E">
      <w:pPr>
        <w:pStyle w:val="BodyText"/>
        <w:spacing w:before="119"/>
        <w:ind w:left="120"/>
      </w:pPr>
      <w:r>
        <w:t>* * * * *</w:t>
      </w:r>
    </w:p>
    <w:p w14:paraId="6FAD6511" w14:textId="77777777" w:rsidR="00F41911" w:rsidRDefault="00F41911">
      <w:pPr>
        <w:pStyle w:val="BodyText"/>
        <w:spacing w:before="3"/>
        <w:rPr>
          <w:sz w:val="24"/>
        </w:rPr>
      </w:pPr>
    </w:p>
    <w:p w14:paraId="6A0B3E46" w14:textId="77777777" w:rsidR="00F41911" w:rsidRDefault="00FE087E">
      <w:pPr>
        <w:pStyle w:val="BodyText"/>
        <w:ind w:left="120" w:right="125"/>
      </w:pPr>
      <w:r>
        <w:t>(c) Except as otherwise indicated in §§15.255, and 15.256, for swept frequency equipment, measurements shall be made with the frequency sweep stopped at those frequencies chosen for the measurements to be reported.</w:t>
      </w:r>
    </w:p>
    <w:p w14:paraId="4C61026F" w14:textId="77777777" w:rsidR="00F41911" w:rsidRDefault="00F41911">
      <w:pPr>
        <w:pStyle w:val="BodyText"/>
        <w:spacing w:before="3"/>
        <w:rPr>
          <w:sz w:val="24"/>
        </w:rPr>
      </w:pPr>
    </w:p>
    <w:p w14:paraId="40A73198" w14:textId="77777777" w:rsidR="00F41911" w:rsidRDefault="00FE087E">
      <w:pPr>
        <w:pStyle w:val="BodyText"/>
        <w:ind w:left="120"/>
      </w:pPr>
      <w:r>
        <w:t>* * * * *</w:t>
      </w:r>
    </w:p>
    <w:p w14:paraId="692662D1" w14:textId="77777777" w:rsidR="00F41911" w:rsidRDefault="00F41911">
      <w:pPr>
        <w:pStyle w:val="BodyText"/>
        <w:spacing w:before="11"/>
        <w:rPr>
          <w:sz w:val="21"/>
        </w:rPr>
      </w:pPr>
    </w:p>
    <w:p w14:paraId="00A9DA86" w14:textId="77777777" w:rsidR="00F41911" w:rsidRDefault="00FE087E">
      <w:pPr>
        <w:pStyle w:val="ListParagraph"/>
        <w:numPr>
          <w:ilvl w:val="1"/>
          <w:numId w:val="10"/>
        </w:numPr>
        <w:tabs>
          <w:tab w:val="left" w:pos="1019"/>
          <w:tab w:val="left" w:pos="1020"/>
        </w:tabs>
        <w:spacing w:before="0"/>
        <w:ind w:left="1019" w:hanging="449"/>
      </w:pPr>
      <w:r>
        <w:t>Section 15.35 is proposed to be amended by revising paragraph (c) to read as</w:t>
      </w:r>
      <w:r>
        <w:rPr>
          <w:spacing w:val="-10"/>
        </w:rPr>
        <w:t xml:space="preserve"> </w:t>
      </w:r>
      <w:r>
        <w:t>follows:</w:t>
      </w:r>
    </w:p>
    <w:p w14:paraId="0F30FE0E" w14:textId="77777777" w:rsidR="00F41911" w:rsidRDefault="00F41911">
      <w:pPr>
        <w:pStyle w:val="BodyText"/>
        <w:spacing w:before="9"/>
        <w:rPr>
          <w:sz w:val="20"/>
        </w:rPr>
      </w:pPr>
    </w:p>
    <w:p w14:paraId="658F1B7A" w14:textId="77777777" w:rsidR="00F41911" w:rsidRDefault="00FE087E">
      <w:pPr>
        <w:pStyle w:val="Heading1"/>
        <w:ind w:left="120"/>
      </w:pPr>
      <w:r>
        <w:t>§15.35  Measurement detector functions and bandwidths.</w:t>
      </w:r>
    </w:p>
    <w:p w14:paraId="3E1E0C19" w14:textId="77777777" w:rsidR="00F41911" w:rsidRDefault="00FE087E">
      <w:pPr>
        <w:pStyle w:val="BodyText"/>
        <w:spacing w:before="119"/>
        <w:ind w:left="120"/>
      </w:pPr>
      <w:r>
        <w:t>* * * * *</w:t>
      </w:r>
    </w:p>
    <w:p w14:paraId="21C2E51D" w14:textId="77777777" w:rsidR="00F41911" w:rsidRDefault="00F41911">
      <w:pPr>
        <w:pStyle w:val="BodyText"/>
        <w:spacing w:before="3"/>
        <w:rPr>
          <w:sz w:val="24"/>
        </w:rPr>
      </w:pPr>
    </w:p>
    <w:p w14:paraId="4CDC4EB2" w14:textId="77777777" w:rsidR="00F41911" w:rsidRDefault="00FE087E">
      <w:pPr>
        <w:pStyle w:val="BodyText"/>
        <w:spacing w:before="1"/>
        <w:ind w:left="120" w:right="130"/>
      </w:pPr>
      <w:r>
        <w:t xml:space="preserve">(c) Unless otherwise specified, </w:t>
      </w:r>
      <w:r>
        <w:rPr>
          <w:i/>
        </w:rPr>
        <w:t xml:space="preserve">e.g., </w:t>
      </w:r>
      <w:r>
        <w:t>§§15.255(c), and 15.256(l)(5), when the radiated emission limits are expressed in terms of the average value of the emission, and pulsed operation is employed, the measurement field strength shall be determined by averaging over one complete pulse train, including blanking intervals, as long as the pulse train does not exceed 0.1 seconds. As an alternative (provided the transmitter operates for longer than 0.1 seconds) or in cases where the pulse train exceeds 0.1 seconds, the measured field strength shall be determined from the average absolute voltage during a 0.1 second interval during which the field strength is at its maximum value. The exact method of calculating the average field strength shall be submitted with any application for certification or shall be retained in the measurement data file for equipment subject to Supplier's Declaration of</w:t>
      </w:r>
      <w:r>
        <w:rPr>
          <w:spacing w:val="-20"/>
        </w:rPr>
        <w:t xml:space="preserve"> </w:t>
      </w:r>
      <w:r>
        <w:t>Conformity.</w:t>
      </w:r>
    </w:p>
    <w:p w14:paraId="3AC3CF3E" w14:textId="77777777" w:rsidR="00F41911" w:rsidRDefault="00F41911">
      <w:pPr>
        <w:pStyle w:val="BodyText"/>
        <w:spacing w:before="4"/>
        <w:rPr>
          <w:sz w:val="24"/>
        </w:rPr>
      </w:pPr>
    </w:p>
    <w:p w14:paraId="04F2496E" w14:textId="77777777" w:rsidR="00F41911" w:rsidRDefault="00FE087E">
      <w:pPr>
        <w:pStyle w:val="BodyText"/>
        <w:ind w:left="120"/>
      </w:pPr>
      <w:r>
        <w:t>* * * * *</w:t>
      </w:r>
    </w:p>
    <w:p w14:paraId="5DF7B483" w14:textId="77777777" w:rsidR="00F41911" w:rsidRDefault="00F41911">
      <w:pPr>
        <w:pStyle w:val="BodyText"/>
        <w:spacing w:before="11"/>
        <w:rPr>
          <w:sz w:val="21"/>
        </w:rPr>
      </w:pPr>
    </w:p>
    <w:p w14:paraId="02D4DE3C" w14:textId="77777777" w:rsidR="00F41911" w:rsidRDefault="00FE087E">
      <w:pPr>
        <w:pStyle w:val="ListParagraph"/>
        <w:numPr>
          <w:ilvl w:val="1"/>
          <w:numId w:val="10"/>
        </w:numPr>
        <w:tabs>
          <w:tab w:val="left" w:pos="840"/>
        </w:tabs>
        <w:spacing w:before="0"/>
        <w:ind w:right="467" w:firstLine="360"/>
      </w:pPr>
      <w:r>
        <w:t>Section 15.255 is proposed to be amended by revising paragraph (a), amending paragraphs (c) and (e), to read as</w:t>
      </w:r>
      <w:r>
        <w:rPr>
          <w:spacing w:val="-3"/>
        </w:rPr>
        <w:t xml:space="preserve"> </w:t>
      </w:r>
      <w:r>
        <w:t>follows:</w:t>
      </w:r>
    </w:p>
    <w:p w14:paraId="3B5E52B4" w14:textId="77777777" w:rsidR="00F41911" w:rsidRDefault="00F41911">
      <w:pPr>
        <w:pStyle w:val="BodyText"/>
        <w:spacing w:before="9"/>
        <w:rPr>
          <w:sz w:val="20"/>
        </w:rPr>
      </w:pPr>
    </w:p>
    <w:p w14:paraId="2C9791FF" w14:textId="77777777" w:rsidR="00F41911" w:rsidRDefault="00FE087E">
      <w:pPr>
        <w:pStyle w:val="Heading1"/>
        <w:ind w:left="120"/>
      </w:pPr>
      <w:r>
        <w:rPr>
          <w:u w:val="thick"/>
        </w:rPr>
        <w:t>§ 15.255  Operation within the band 57-71 GHz.</w:t>
      </w:r>
    </w:p>
    <w:p w14:paraId="4DC89C82" w14:textId="77777777" w:rsidR="00F41911" w:rsidRDefault="00F41911">
      <w:pPr>
        <w:pStyle w:val="BodyText"/>
        <w:spacing w:before="4"/>
        <w:rPr>
          <w:b/>
          <w:sz w:val="16"/>
        </w:rPr>
      </w:pPr>
    </w:p>
    <w:p w14:paraId="2428FBE6" w14:textId="77777777" w:rsidR="00F41911" w:rsidRDefault="00FE087E">
      <w:pPr>
        <w:pStyle w:val="BodyText"/>
        <w:spacing w:before="91" w:line="506" w:lineRule="auto"/>
        <w:ind w:left="120" w:right="796"/>
      </w:pPr>
      <w:r>
        <w:t>(a) Operation under the provisions of this section is not permitted for equipment used on satellites. (b)* * * * *</w:t>
      </w:r>
    </w:p>
    <w:p w14:paraId="535463C5" w14:textId="77777777" w:rsidR="00F41911" w:rsidRDefault="00F41911">
      <w:pPr>
        <w:spacing w:line="506" w:lineRule="auto"/>
        <w:sectPr w:rsidR="00F41911">
          <w:pgSz w:w="12240" w:h="15840"/>
          <w:pgMar w:top="980" w:right="1320" w:bottom="960" w:left="1320" w:header="729" w:footer="713" w:gutter="0"/>
          <w:cols w:space="720"/>
        </w:sectPr>
      </w:pPr>
    </w:p>
    <w:p w14:paraId="678465C3" w14:textId="77777777" w:rsidR="00F41911" w:rsidRDefault="00F41911">
      <w:pPr>
        <w:pStyle w:val="BodyText"/>
        <w:rPr>
          <w:sz w:val="20"/>
        </w:rPr>
      </w:pPr>
    </w:p>
    <w:p w14:paraId="5D40EAF1" w14:textId="77777777" w:rsidR="00F41911" w:rsidRDefault="00F41911">
      <w:pPr>
        <w:pStyle w:val="BodyText"/>
        <w:spacing w:before="6"/>
      </w:pPr>
    </w:p>
    <w:p w14:paraId="1E81F81E" w14:textId="77777777" w:rsidR="00F41911" w:rsidRDefault="00FE087E">
      <w:pPr>
        <w:pStyle w:val="ListParagraph"/>
        <w:numPr>
          <w:ilvl w:val="0"/>
          <w:numId w:val="4"/>
        </w:numPr>
        <w:tabs>
          <w:tab w:val="left" w:pos="420"/>
        </w:tabs>
        <w:spacing w:before="0"/>
        <w:ind w:right="416" w:firstLine="0"/>
      </w:pPr>
      <w:r>
        <w:rPr>
          <w:i/>
        </w:rPr>
        <w:t>Radiated Power Limits</w:t>
      </w:r>
      <w:r>
        <w:t>. Within the 57-71 GHz band, emission levels shall not exceed the following equivalent isotropically radiated power</w:t>
      </w:r>
      <w:r>
        <w:rPr>
          <w:spacing w:val="-6"/>
        </w:rPr>
        <w:t xml:space="preserve"> </w:t>
      </w:r>
      <w:r>
        <w:t>(EIRP):</w:t>
      </w:r>
    </w:p>
    <w:p w14:paraId="7B186532" w14:textId="77777777" w:rsidR="00F41911" w:rsidRDefault="00F41911">
      <w:pPr>
        <w:pStyle w:val="BodyText"/>
        <w:spacing w:before="3"/>
        <w:rPr>
          <w:sz w:val="24"/>
        </w:rPr>
      </w:pPr>
    </w:p>
    <w:p w14:paraId="71EF283F" w14:textId="77777777" w:rsidR="00F41911" w:rsidRDefault="00FE087E">
      <w:pPr>
        <w:pStyle w:val="ListParagraph"/>
        <w:numPr>
          <w:ilvl w:val="1"/>
          <w:numId w:val="4"/>
        </w:numPr>
        <w:tabs>
          <w:tab w:val="left" w:pos="432"/>
        </w:tabs>
        <w:spacing w:before="1"/>
        <w:ind w:right="294" w:firstLine="0"/>
      </w:pPr>
      <w:r>
        <w:t>Products other than field disturbance sensors shall comply with one of the following power limits, as measured during the transmit</w:t>
      </w:r>
      <w:r>
        <w:rPr>
          <w:spacing w:val="-4"/>
        </w:rPr>
        <w:t xml:space="preserve"> </w:t>
      </w:r>
      <w:r>
        <w:t>interval:</w:t>
      </w:r>
    </w:p>
    <w:p w14:paraId="7EE7E71A" w14:textId="77777777" w:rsidR="00F41911" w:rsidRDefault="00F41911">
      <w:pPr>
        <w:pStyle w:val="BodyText"/>
        <w:spacing w:before="4"/>
        <w:rPr>
          <w:sz w:val="24"/>
        </w:rPr>
      </w:pPr>
    </w:p>
    <w:p w14:paraId="2199D825" w14:textId="77777777" w:rsidR="00F41911" w:rsidRDefault="00FE087E">
      <w:pPr>
        <w:pStyle w:val="BodyText"/>
        <w:ind w:left="120"/>
      </w:pPr>
      <w:r>
        <w:t>* * * * *</w:t>
      </w:r>
    </w:p>
    <w:p w14:paraId="2605B51F" w14:textId="77777777" w:rsidR="00F41911" w:rsidRDefault="00F41911">
      <w:pPr>
        <w:pStyle w:val="BodyText"/>
        <w:spacing w:before="3"/>
        <w:rPr>
          <w:sz w:val="24"/>
        </w:rPr>
      </w:pPr>
    </w:p>
    <w:p w14:paraId="44022A26" w14:textId="77777777" w:rsidR="00F41911" w:rsidRDefault="00FE087E">
      <w:pPr>
        <w:pStyle w:val="ListParagraph"/>
        <w:numPr>
          <w:ilvl w:val="0"/>
          <w:numId w:val="3"/>
        </w:numPr>
        <w:tabs>
          <w:tab w:val="left" w:pos="432"/>
        </w:tabs>
        <w:spacing w:before="1"/>
        <w:ind w:right="405" w:firstLine="0"/>
      </w:pPr>
      <w:r>
        <w:t>Field disturbance sensors other than those operating under the provisions of paragraph (c)(2) of this section shall comply with the following, as measured during the transmit</w:t>
      </w:r>
      <w:r>
        <w:rPr>
          <w:spacing w:val="-21"/>
        </w:rPr>
        <w:t xml:space="preserve"> </w:t>
      </w:r>
      <w:r>
        <w:t>interval:</w:t>
      </w:r>
    </w:p>
    <w:p w14:paraId="2217BD03" w14:textId="77777777" w:rsidR="00F41911" w:rsidRDefault="00F41911">
      <w:pPr>
        <w:pStyle w:val="BodyText"/>
        <w:spacing w:before="4"/>
        <w:rPr>
          <w:sz w:val="24"/>
        </w:rPr>
      </w:pPr>
    </w:p>
    <w:p w14:paraId="03BAE154" w14:textId="77777777" w:rsidR="00F41911" w:rsidRDefault="00FE087E">
      <w:pPr>
        <w:pStyle w:val="ListParagraph"/>
        <w:numPr>
          <w:ilvl w:val="1"/>
          <w:numId w:val="3"/>
        </w:numPr>
        <w:tabs>
          <w:tab w:val="left" w:pos="383"/>
        </w:tabs>
        <w:spacing w:before="0"/>
        <w:ind w:right="357" w:firstLine="0"/>
      </w:pPr>
      <w:r>
        <w:t>For field disturbance sensors that limit their operation to the 57-64 GHz frequency band, the average power shall not exceed 20 dBm and the average power spectral density shall not exceed 13 dBm/MHz. The transmit duty cycle shall not exceed 10 % during any 33 ms interval (i.e., the device shall not transmit longer than a total of 3.3</w:t>
      </w:r>
      <w:r>
        <w:rPr>
          <w:spacing w:val="-4"/>
        </w:rPr>
        <w:t xml:space="preserve"> </w:t>
      </w:r>
      <w:r>
        <w:t>ms).</w:t>
      </w:r>
    </w:p>
    <w:p w14:paraId="336300B3" w14:textId="77777777" w:rsidR="00F41911" w:rsidRDefault="00F41911">
      <w:pPr>
        <w:pStyle w:val="BodyText"/>
        <w:spacing w:before="3"/>
        <w:rPr>
          <w:sz w:val="24"/>
        </w:rPr>
      </w:pPr>
    </w:p>
    <w:p w14:paraId="781E9ACE" w14:textId="77777777" w:rsidR="00F41911" w:rsidRDefault="00FE087E">
      <w:pPr>
        <w:pStyle w:val="ListParagraph"/>
        <w:numPr>
          <w:ilvl w:val="1"/>
          <w:numId w:val="3"/>
        </w:numPr>
        <w:tabs>
          <w:tab w:val="left" w:pos="444"/>
        </w:tabs>
        <w:spacing w:before="1"/>
        <w:ind w:right="229" w:firstLine="0"/>
      </w:pPr>
      <w:r>
        <w:t>For field disturbance sensors operating over the entire 57-71 GHz frequency band, the average power shall not exceed 10</w:t>
      </w:r>
      <w:r>
        <w:rPr>
          <w:spacing w:val="-6"/>
        </w:rPr>
        <w:t xml:space="preserve"> </w:t>
      </w:r>
      <w:r>
        <w:t>dBm.</w:t>
      </w:r>
    </w:p>
    <w:p w14:paraId="4925D17D" w14:textId="77777777" w:rsidR="00F41911" w:rsidRDefault="00F41911">
      <w:pPr>
        <w:pStyle w:val="BodyText"/>
        <w:spacing w:before="4"/>
        <w:rPr>
          <w:sz w:val="24"/>
        </w:rPr>
      </w:pPr>
    </w:p>
    <w:p w14:paraId="4AE27D9A" w14:textId="77777777" w:rsidR="00F41911" w:rsidRDefault="00FE087E">
      <w:pPr>
        <w:pStyle w:val="ListParagraph"/>
        <w:numPr>
          <w:ilvl w:val="0"/>
          <w:numId w:val="3"/>
        </w:numPr>
        <w:tabs>
          <w:tab w:val="left" w:pos="432"/>
        </w:tabs>
        <w:spacing w:before="0"/>
        <w:ind w:left="431" w:hanging="311"/>
      </w:pPr>
      <w:r>
        <w:t>[remove]</w:t>
      </w:r>
    </w:p>
    <w:p w14:paraId="6DF96AF0" w14:textId="77777777" w:rsidR="00F41911" w:rsidRDefault="00F41911">
      <w:pPr>
        <w:pStyle w:val="BodyText"/>
        <w:spacing w:before="11"/>
        <w:rPr>
          <w:sz w:val="21"/>
        </w:rPr>
      </w:pPr>
    </w:p>
    <w:p w14:paraId="14886BE8" w14:textId="77777777" w:rsidR="00F41911" w:rsidRDefault="00FE087E">
      <w:pPr>
        <w:pStyle w:val="BodyText"/>
        <w:ind w:left="120"/>
      </w:pPr>
      <w:r>
        <w:t>* * * * *</w:t>
      </w:r>
    </w:p>
    <w:p w14:paraId="50A05A5A" w14:textId="77777777" w:rsidR="00F41911" w:rsidRDefault="00F41911">
      <w:pPr>
        <w:pStyle w:val="BodyText"/>
        <w:spacing w:before="3"/>
        <w:rPr>
          <w:sz w:val="24"/>
        </w:rPr>
      </w:pPr>
    </w:p>
    <w:p w14:paraId="32B71BF1" w14:textId="77777777" w:rsidR="00F41911" w:rsidRDefault="00FE087E">
      <w:pPr>
        <w:pStyle w:val="BodyText"/>
        <w:ind w:left="120" w:right="117"/>
      </w:pPr>
      <w:r>
        <w:t xml:space="preserve">(e) </w:t>
      </w:r>
      <w:r>
        <w:rPr>
          <w:i/>
        </w:rPr>
        <w:t xml:space="preserve">Limits on transmitter conducted output power. </w:t>
      </w:r>
      <w:r>
        <w:t>Except as specified paragraph (e)(1) of this section, the peak transmitter conducted output power shall not exceed 500 mW. Depending on the gain of the antenna, it may be necessary to operate the intentional radiator using a lower peak transmitter output power in order to comply with the EIRP limits specified in paragraph (c) of this</w:t>
      </w:r>
      <w:r>
        <w:rPr>
          <w:spacing w:val="-19"/>
        </w:rPr>
        <w:t xml:space="preserve"> </w:t>
      </w:r>
      <w:r>
        <w:t>section.</w:t>
      </w:r>
    </w:p>
    <w:p w14:paraId="35B7BFF2" w14:textId="77777777" w:rsidR="00F41911" w:rsidRDefault="00F41911">
      <w:pPr>
        <w:pStyle w:val="BodyText"/>
        <w:spacing w:before="3"/>
        <w:rPr>
          <w:sz w:val="24"/>
        </w:rPr>
      </w:pPr>
    </w:p>
    <w:p w14:paraId="654B871F" w14:textId="77777777" w:rsidR="00F41911" w:rsidRDefault="00FE087E">
      <w:pPr>
        <w:pStyle w:val="BodyText"/>
        <w:ind w:left="120"/>
      </w:pPr>
      <w:r>
        <w:t>(1) * * *</w:t>
      </w:r>
    </w:p>
    <w:p w14:paraId="1D8B92CB" w14:textId="77777777" w:rsidR="00F41911" w:rsidRDefault="00F41911">
      <w:pPr>
        <w:pStyle w:val="BodyText"/>
        <w:spacing w:before="3"/>
        <w:rPr>
          <w:sz w:val="24"/>
        </w:rPr>
      </w:pPr>
    </w:p>
    <w:p w14:paraId="0E8B4A1E" w14:textId="77777777" w:rsidR="00F41911" w:rsidRDefault="00FE087E">
      <w:pPr>
        <w:pStyle w:val="ListParagraph"/>
        <w:numPr>
          <w:ilvl w:val="0"/>
          <w:numId w:val="2"/>
        </w:numPr>
        <w:tabs>
          <w:tab w:val="left" w:pos="432"/>
        </w:tabs>
        <w:spacing w:before="0"/>
        <w:ind w:right="717" w:firstLine="0"/>
      </w:pPr>
      <w:r>
        <w:t>Field disturbance sensors operating under the provisions of paragraph (c)(3) of this section shall comply with the</w:t>
      </w:r>
      <w:r>
        <w:rPr>
          <w:spacing w:val="-5"/>
        </w:rPr>
        <w:t xml:space="preserve"> </w:t>
      </w:r>
      <w:r>
        <w:t>following:</w:t>
      </w:r>
    </w:p>
    <w:p w14:paraId="10A7289C" w14:textId="77777777" w:rsidR="00F41911" w:rsidRDefault="00F41911">
      <w:pPr>
        <w:pStyle w:val="BodyText"/>
        <w:spacing w:before="3"/>
        <w:rPr>
          <w:sz w:val="24"/>
        </w:rPr>
      </w:pPr>
    </w:p>
    <w:p w14:paraId="77CD95A0" w14:textId="77777777" w:rsidR="00F41911" w:rsidRDefault="00FE087E">
      <w:pPr>
        <w:pStyle w:val="ListParagraph"/>
        <w:numPr>
          <w:ilvl w:val="1"/>
          <w:numId w:val="2"/>
        </w:numPr>
        <w:tabs>
          <w:tab w:val="left" w:pos="383"/>
        </w:tabs>
        <w:spacing w:before="0"/>
        <w:ind w:right="625" w:firstLine="0"/>
      </w:pPr>
      <w:r>
        <w:t>For field disturbance sensors that limit their operation to the 57-64 GHz frequency band, the peak transmitter conducted output power shall not exceed 10</w:t>
      </w:r>
      <w:r>
        <w:rPr>
          <w:spacing w:val="-10"/>
        </w:rPr>
        <w:t xml:space="preserve"> </w:t>
      </w:r>
      <w:r>
        <w:t>mW.</w:t>
      </w:r>
    </w:p>
    <w:p w14:paraId="24F21ABB" w14:textId="77777777" w:rsidR="00F41911" w:rsidRDefault="00F41911">
      <w:pPr>
        <w:pStyle w:val="BodyText"/>
        <w:spacing w:before="3"/>
        <w:rPr>
          <w:sz w:val="24"/>
        </w:rPr>
      </w:pPr>
    </w:p>
    <w:p w14:paraId="76F8384B" w14:textId="77777777" w:rsidR="00F41911" w:rsidRDefault="00FE087E">
      <w:pPr>
        <w:pStyle w:val="ListParagraph"/>
        <w:numPr>
          <w:ilvl w:val="1"/>
          <w:numId w:val="2"/>
        </w:numPr>
        <w:tabs>
          <w:tab w:val="left" w:pos="444"/>
        </w:tabs>
        <w:spacing w:before="0"/>
        <w:ind w:right="1102" w:firstLine="0"/>
      </w:pPr>
      <w:r>
        <w:t>For field disturbance sensors operating over the entire 57-71 GHz frequency band, the peak transmitter conducted output power shall not exceed 0.1</w:t>
      </w:r>
      <w:r>
        <w:rPr>
          <w:spacing w:val="-10"/>
        </w:rPr>
        <w:t xml:space="preserve"> </w:t>
      </w:r>
      <w:r>
        <w:t>mW.</w:t>
      </w:r>
    </w:p>
    <w:p w14:paraId="2B949693" w14:textId="77777777" w:rsidR="00F41911" w:rsidRDefault="00F41911">
      <w:pPr>
        <w:pStyle w:val="BodyText"/>
        <w:spacing w:before="3"/>
        <w:rPr>
          <w:sz w:val="24"/>
        </w:rPr>
      </w:pPr>
    </w:p>
    <w:p w14:paraId="7E614CA8" w14:textId="77777777" w:rsidR="00F41911" w:rsidRDefault="00FE087E">
      <w:pPr>
        <w:pStyle w:val="BodyText"/>
        <w:ind w:left="120"/>
      </w:pPr>
      <w:r>
        <w:t>(3) * * *</w:t>
      </w:r>
    </w:p>
    <w:p w14:paraId="75C6BF44" w14:textId="77777777" w:rsidR="00F41911" w:rsidRDefault="00F41911">
      <w:pPr>
        <w:pStyle w:val="BodyText"/>
        <w:spacing w:before="3"/>
        <w:rPr>
          <w:sz w:val="24"/>
        </w:rPr>
      </w:pPr>
    </w:p>
    <w:p w14:paraId="64A485D1" w14:textId="77777777" w:rsidR="00F41911" w:rsidRDefault="00FE087E">
      <w:pPr>
        <w:pStyle w:val="ListParagraph"/>
        <w:numPr>
          <w:ilvl w:val="0"/>
          <w:numId w:val="1"/>
        </w:numPr>
        <w:tabs>
          <w:tab w:val="left" w:pos="432"/>
        </w:tabs>
        <w:spacing w:before="0"/>
        <w:ind w:right="363" w:firstLine="0"/>
      </w:pPr>
      <w:r>
        <w:t>Compliance measurements of frequency-agile field disturbance sensors shall be performed with any related frequency sweep, step, or hop function</w:t>
      </w:r>
      <w:r>
        <w:rPr>
          <w:spacing w:val="-14"/>
        </w:rPr>
        <w:t xml:space="preserve"> </w:t>
      </w:r>
      <w:r>
        <w:t>activated.</w:t>
      </w:r>
    </w:p>
    <w:p w14:paraId="16AE9558" w14:textId="77777777" w:rsidR="00F41911" w:rsidRDefault="00F41911">
      <w:pPr>
        <w:pStyle w:val="BodyText"/>
        <w:spacing w:before="3"/>
        <w:rPr>
          <w:sz w:val="24"/>
        </w:rPr>
      </w:pPr>
    </w:p>
    <w:p w14:paraId="42A41275" w14:textId="77777777" w:rsidR="00F41911" w:rsidRDefault="00FE087E">
      <w:pPr>
        <w:pStyle w:val="BodyText"/>
        <w:ind w:left="120"/>
      </w:pPr>
      <w:r>
        <w:t>* * * * *</w:t>
      </w:r>
    </w:p>
    <w:p w14:paraId="2B64E2E7" w14:textId="77777777" w:rsidR="00F41911" w:rsidRDefault="00F41911">
      <w:pPr>
        <w:sectPr w:rsidR="00F41911">
          <w:pgSz w:w="12240" w:h="15840"/>
          <w:pgMar w:top="980" w:right="1320" w:bottom="960" w:left="1320" w:header="729" w:footer="713" w:gutter="0"/>
          <w:cols w:space="720"/>
        </w:sectPr>
      </w:pPr>
    </w:p>
    <w:p w14:paraId="58618DEF" w14:textId="77777777" w:rsidR="00F41911" w:rsidRDefault="00F41911">
      <w:pPr>
        <w:pStyle w:val="BodyText"/>
        <w:rPr>
          <w:sz w:val="20"/>
        </w:rPr>
      </w:pPr>
    </w:p>
    <w:p w14:paraId="318EF7BF" w14:textId="77777777" w:rsidR="00F41911" w:rsidRDefault="00F41911">
      <w:pPr>
        <w:pStyle w:val="BodyText"/>
        <w:spacing w:before="6"/>
      </w:pPr>
    </w:p>
    <w:p w14:paraId="54C31FC5" w14:textId="77777777" w:rsidR="00F41911" w:rsidRDefault="00FE087E">
      <w:pPr>
        <w:pStyle w:val="Heading1"/>
        <w:ind w:left="3909" w:right="3907"/>
        <w:jc w:val="center"/>
      </w:pPr>
      <w:r>
        <w:t>Appendix B</w:t>
      </w:r>
    </w:p>
    <w:p w14:paraId="5CA6AA0C" w14:textId="77777777" w:rsidR="00F41911" w:rsidRDefault="00F41911">
      <w:pPr>
        <w:pStyle w:val="BodyText"/>
        <w:spacing w:before="11"/>
        <w:rPr>
          <w:b/>
          <w:sz w:val="21"/>
        </w:rPr>
      </w:pPr>
    </w:p>
    <w:p w14:paraId="00D67444" w14:textId="77777777" w:rsidR="00F41911" w:rsidRDefault="00FE087E">
      <w:pPr>
        <w:ind w:left="2099" w:right="2099"/>
        <w:jc w:val="center"/>
        <w:rPr>
          <w:b/>
        </w:rPr>
      </w:pPr>
      <w:r>
        <w:rPr>
          <w:b/>
        </w:rPr>
        <w:t>Initial Regulatory Flexibility Analysis</w:t>
      </w:r>
    </w:p>
    <w:p w14:paraId="3E370961" w14:textId="77777777" w:rsidR="00F41911" w:rsidRDefault="00F41911">
      <w:pPr>
        <w:pStyle w:val="BodyText"/>
        <w:spacing w:before="11"/>
        <w:rPr>
          <w:b/>
          <w:sz w:val="21"/>
        </w:rPr>
      </w:pPr>
    </w:p>
    <w:p w14:paraId="606F9C50" w14:textId="77777777" w:rsidR="00F41911" w:rsidRDefault="00FE087E">
      <w:pPr>
        <w:pStyle w:val="BodyText"/>
        <w:ind w:left="840"/>
      </w:pPr>
      <w:r>
        <w:t>As required by the Regulatory Flexibility Act of 1980, as amended (RFA),</w:t>
      </w:r>
    </w:p>
    <w:p w14:paraId="34CC98B5" w14:textId="77777777" w:rsidR="00F41911" w:rsidRDefault="00FE087E">
      <w:pPr>
        <w:pStyle w:val="BodyText"/>
        <w:spacing w:before="120"/>
        <w:ind w:left="120" w:right="162" w:firstLine="720"/>
        <w:rPr>
          <w:sz w:val="14"/>
        </w:rPr>
      </w:pPr>
      <w:r>
        <w:rPr>
          <w:position w:val="7"/>
          <w:sz w:val="14"/>
        </w:rPr>
        <w:t xml:space="preserve">1 </w:t>
      </w:r>
      <w:r>
        <w:t xml:space="preserve">the Commission has prepared this present Initial Regulatory Flexibility Analysis (IRFA) of the possible significant economic impact on a substantial number of small entities by the policies and rules proposed in this </w:t>
      </w:r>
      <w:r>
        <w:rPr>
          <w:i/>
        </w:rPr>
        <w:t xml:space="preserve">Notice of Proposed Rule Making </w:t>
      </w:r>
      <w:r>
        <w:t>(</w:t>
      </w:r>
      <w:r>
        <w:rPr>
          <w:i/>
        </w:rPr>
        <w:t>NPRM</w:t>
      </w:r>
      <w:r>
        <w:t xml:space="preserve">).  Written public comments are requested on this IRFA. Comments must be identified as responses to the IRFA and must be filed by the deadlines for comments on the </w:t>
      </w:r>
      <w:r>
        <w:rPr>
          <w:i/>
        </w:rPr>
        <w:t xml:space="preserve">NPRM </w:t>
      </w:r>
      <w:r>
        <w:t xml:space="preserve">provided in the item. The Commission will send a copy of the </w:t>
      </w:r>
      <w:r>
        <w:rPr>
          <w:i/>
        </w:rPr>
        <w:t>NPRM</w:t>
      </w:r>
      <w:r>
        <w:t>, including this IRFA, to the Chief Counsel for Advocacy of the Small Business Administration (SBA).</w:t>
      </w:r>
      <w:r>
        <w:rPr>
          <w:position w:val="7"/>
          <w:sz w:val="14"/>
        </w:rPr>
        <w:t xml:space="preserve">2 </w:t>
      </w:r>
      <w:r>
        <w:t xml:space="preserve">In addition, the </w:t>
      </w:r>
      <w:r>
        <w:rPr>
          <w:i/>
        </w:rPr>
        <w:t xml:space="preserve">NPRM </w:t>
      </w:r>
      <w:r>
        <w:t>and IRFA (or summaries thereof) will be published in the Federal Register.</w:t>
      </w:r>
      <w:r>
        <w:rPr>
          <w:position w:val="7"/>
          <w:sz w:val="14"/>
        </w:rPr>
        <w:t>3</w:t>
      </w:r>
    </w:p>
    <w:p w14:paraId="280B23F5" w14:textId="77777777" w:rsidR="00F41911" w:rsidRDefault="00F41911">
      <w:pPr>
        <w:pStyle w:val="BodyText"/>
        <w:spacing w:before="5"/>
        <w:rPr>
          <w:sz w:val="32"/>
        </w:rPr>
      </w:pPr>
    </w:p>
    <w:p w14:paraId="4E6F3D6D" w14:textId="77777777" w:rsidR="00F41911" w:rsidRDefault="00FE087E">
      <w:pPr>
        <w:pStyle w:val="Heading1"/>
        <w:numPr>
          <w:ilvl w:val="1"/>
          <w:numId w:val="1"/>
        </w:numPr>
        <w:tabs>
          <w:tab w:val="left" w:pos="1559"/>
          <w:tab w:val="left" w:pos="1561"/>
        </w:tabs>
        <w:ind w:hanging="720"/>
      </w:pPr>
      <w:r>
        <w:t>Need for, and Objectives of, the Proposed</w:t>
      </w:r>
      <w:r>
        <w:rPr>
          <w:spacing w:val="-10"/>
        </w:rPr>
        <w:t xml:space="preserve"> </w:t>
      </w:r>
      <w:r>
        <w:t>Rules</w:t>
      </w:r>
    </w:p>
    <w:p w14:paraId="1C946D1F" w14:textId="77777777" w:rsidR="00F41911" w:rsidRDefault="00FE087E">
      <w:pPr>
        <w:pStyle w:val="BodyText"/>
        <w:spacing w:before="120"/>
        <w:ind w:left="120" w:right="118" w:firstLine="720"/>
      </w:pPr>
      <w:r>
        <w:t xml:space="preserve">The </w:t>
      </w:r>
      <w:r>
        <w:rPr>
          <w:i/>
        </w:rPr>
        <w:t xml:space="preserve">NPRM </w:t>
      </w:r>
      <w:r>
        <w:t>addresses issues raised in multiple waiver requests by various field disturbance sensor (FDS)/radar manufacturers and is partly in response to a recommendation from the Technical Advisory Committee (TAC) that the Commission modify the rules for unlicensed 60 GHz devices in a number of respects.  The TAC recommends that the FCC initiates a rulemaking proceeding addressing potential areas of concern in the 60 GHz band by requesting comment and response to the following questions: 1) Should FCC rules allow greater radiated power for radar applications than currently permitted?; 2) Should the parameters for Google Soli, for which other entities have filed “me-too” requests, be included in the rules?; 3) What changes to the recent waiver parameters are needed to improve sharing with communications applications?; 4) Should the FCC require 60 GHz communication applications (and radar applications) to use a contention-based protocol?; and 5) Should radar applications that perform listen- before-talk be allowed to use the same power levels as communications applications in this</w:t>
      </w:r>
      <w:r>
        <w:rPr>
          <w:spacing w:val="-17"/>
        </w:rPr>
        <w:t xml:space="preserve"> </w:t>
      </w:r>
      <w:r>
        <w:t>band?</w:t>
      </w:r>
    </w:p>
    <w:p w14:paraId="052AEEAB" w14:textId="77777777" w:rsidR="00F41911" w:rsidRDefault="00F41911">
      <w:pPr>
        <w:pStyle w:val="BodyText"/>
      </w:pPr>
    </w:p>
    <w:p w14:paraId="5B12D6A2" w14:textId="77777777" w:rsidR="00F41911" w:rsidRDefault="00FE087E">
      <w:pPr>
        <w:pStyle w:val="Heading1"/>
        <w:numPr>
          <w:ilvl w:val="1"/>
          <w:numId w:val="1"/>
        </w:numPr>
        <w:tabs>
          <w:tab w:val="left" w:pos="1559"/>
          <w:tab w:val="left" w:pos="1561"/>
        </w:tabs>
        <w:ind w:hanging="720"/>
      </w:pPr>
      <w:r>
        <w:t>Legal</w:t>
      </w:r>
      <w:r>
        <w:rPr>
          <w:spacing w:val="-2"/>
        </w:rPr>
        <w:t xml:space="preserve"> </w:t>
      </w:r>
      <w:r>
        <w:t>Basis</w:t>
      </w:r>
    </w:p>
    <w:p w14:paraId="7CC0EDBF" w14:textId="77777777" w:rsidR="00F41911" w:rsidRDefault="00FE087E">
      <w:pPr>
        <w:pStyle w:val="BodyText"/>
        <w:spacing w:before="120"/>
        <w:ind w:left="120" w:right="185" w:firstLine="720"/>
      </w:pPr>
      <w:r>
        <w:t>The proposed action is taken pursuant to Sections 4(i), 201, 302, and 303 of the Communications Act of 1934, as amended, 47 U.S.C. §§ 154(i), 201, 302a, 303.</w:t>
      </w:r>
    </w:p>
    <w:p w14:paraId="106DC3FB" w14:textId="77777777" w:rsidR="00F41911" w:rsidRDefault="00F41911">
      <w:pPr>
        <w:pStyle w:val="BodyText"/>
        <w:spacing w:before="5"/>
        <w:rPr>
          <w:sz w:val="32"/>
        </w:rPr>
      </w:pPr>
    </w:p>
    <w:p w14:paraId="5E0436F1" w14:textId="77777777" w:rsidR="00F41911" w:rsidRDefault="00FE087E">
      <w:pPr>
        <w:pStyle w:val="Heading1"/>
        <w:numPr>
          <w:ilvl w:val="1"/>
          <w:numId w:val="1"/>
        </w:numPr>
        <w:tabs>
          <w:tab w:val="left" w:pos="1559"/>
          <w:tab w:val="left" w:pos="1561"/>
        </w:tabs>
        <w:ind w:right="423" w:hanging="720"/>
      </w:pPr>
      <w:r>
        <w:t>Description and Estimate of the Number of Small Entities to Which the Proposed Rules Will</w:t>
      </w:r>
      <w:r>
        <w:rPr>
          <w:spacing w:val="-9"/>
        </w:rPr>
        <w:t xml:space="preserve"> </w:t>
      </w:r>
      <w:r>
        <w:t>Apply</w:t>
      </w:r>
    </w:p>
    <w:p w14:paraId="62BCB5AF" w14:textId="77777777" w:rsidR="00F41911" w:rsidRDefault="00FE087E">
      <w:pPr>
        <w:pStyle w:val="BodyText"/>
        <w:spacing w:before="120"/>
        <w:ind w:left="120" w:right="419" w:firstLine="720"/>
      </w:pPr>
      <w:r>
        <w:t>The RFA directs agencies to provide a description of, and where feasible, an estimate of the number of small entities that may be affected by the proposed rules, if adopted.</w:t>
      </w:r>
      <w:r>
        <w:rPr>
          <w:position w:val="7"/>
          <w:sz w:val="14"/>
        </w:rPr>
        <w:t xml:space="preserve">4 </w:t>
      </w:r>
      <w:r>
        <w:t>The RFA generally defines the term “small entity” as having the same meaning as the terms “small business,” “small organization,” and “small governmental jurisdiction.”</w:t>
      </w:r>
      <w:r>
        <w:rPr>
          <w:position w:val="7"/>
          <w:sz w:val="14"/>
        </w:rPr>
        <w:t xml:space="preserve">5 </w:t>
      </w:r>
      <w:r>
        <w:t>In addition, the term “small business” has the same meaning as the term “small business concern” under the Small Business Act.</w:t>
      </w:r>
      <w:r>
        <w:rPr>
          <w:position w:val="7"/>
          <w:sz w:val="14"/>
        </w:rPr>
        <w:t xml:space="preserve">6   </w:t>
      </w:r>
      <w:r>
        <w:t>A “small business</w:t>
      </w:r>
    </w:p>
    <w:p w14:paraId="7C92D742" w14:textId="77777777" w:rsidR="00F41911" w:rsidRDefault="004D2E02">
      <w:pPr>
        <w:pStyle w:val="BodyText"/>
      </w:pPr>
      <w:r>
        <w:pict w14:anchorId="6DD9221D">
          <v:line id="_x0000_s1029" style="position:absolute;z-index:251666944;mso-wrap-distance-left:0;mso-wrap-distance-right:0;mso-position-horizontal-relative:page" from="1in,15pt" to="215.5pt,15pt" strokeweight=".72pt">
            <w10:wrap type="topAndBottom" anchorx="page"/>
          </v:line>
        </w:pict>
      </w:r>
    </w:p>
    <w:p w14:paraId="2858F344" w14:textId="77777777" w:rsidR="00F41911" w:rsidRDefault="00FE087E">
      <w:pPr>
        <w:spacing w:before="69"/>
        <w:ind w:left="120" w:right="227"/>
        <w:rPr>
          <w:sz w:val="20"/>
        </w:rPr>
      </w:pPr>
      <w:r>
        <w:rPr>
          <w:position w:val="6"/>
          <w:sz w:val="13"/>
        </w:rPr>
        <w:t xml:space="preserve">1 </w:t>
      </w:r>
      <w:r>
        <w:rPr>
          <w:sz w:val="20"/>
        </w:rPr>
        <w:t>5 U.S.C. § 603. The RFA, 5 U.S.C. § 601 – 612, has been amended by the Small Business Regulatory Enforcement Fairness Act of 1996 (SBREFA), Pub. L. No. 104-121, Title II, 110 Stat. 857 (1996).</w:t>
      </w:r>
    </w:p>
    <w:p w14:paraId="77794DF1" w14:textId="77777777" w:rsidR="00F41911" w:rsidRDefault="00FE087E">
      <w:pPr>
        <w:spacing w:before="119"/>
        <w:ind w:left="120"/>
        <w:rPr>
          <w:sz w:val="20"/>
        </w:rPr>
      </w:pPr>
      <w:r>
        <w:rPr>
          <w:position w:val="6"/>
          <w:sz w:val="13"/>
        </w:rPr>
        <w:t xml:space="preserve">2  </w:t>
      </w:r>
      <w:r>
        <w:rPr>
          <w:sz w:val="20"/>
        </w:rPr>
        <w:t>5 U.S.C. § 603(a).</w:t>
      </w:r>
    </w:p>
    <w:p w14:paraId="03B01961" w14:textId="77777777" w:rsidR="00F41911" w:rsidRDefault="00FE087E">
      <w:pPr>
        <w:spacing w:before="119"/>
        <w:ind w:left="120"/>
        <w:rPr>
          <w:i/>
          <w:sz w:val="20"/>
        </w:rPr>
      </w:pPr>
      <w:r>
        <w:rPr>
          <w:sz w:val="13"/>
        </w:rPr>
        <w:t xml:space="preserve">3 </w:t>
      </w:r>
      <w:r>
        <w:rPr>
          <w:i/>
          <w:position w:val="-5"/>
          <w:sz w:val="20"/>
        </w:rPr>
        <w:t>Id.</w:t>
      </w:r>
    </w:p>
    <w:p w14:paraId="15CA5769" w14:textId="77777777" w:rsidR="00F41911" w:rsidRDefault="00FE087E">
      <w:pPr>
        <w:spacing w:before="120"/>
        <w:ind w:left="120"/>
        <w:rPr>
          <w:sz w:val="20"/>
        </w:rPr>
      </w:pPr>
      <w:r>
        <w:rPr>
          <w:position w:val="6"/>
          <w:sz w:val="13"/>
        </w:rPr>
        <w:t xml:space="preserve">4  </w:t>
      </w:r>
      <w:r>
        <w:rPr>
          <w:sz w:val="20"/>
        </w:rPr>
        <w:t>5 U.S.C. § 603(b)(3).</w:t>
      </w:r>
    </w:p>
    <w:p w14:paraId="0E882154" w14:textId="77777777" w:rsidR="00F41911" w:rsidRDefault="00FE087E">
      <w:pPr>
        <w:spacing w:before="119"/>
        <w:ind w:left="120"/>
        <w:rPr>
          <w:sz w:val="20"/>
        </w:rPr>
      </w:pPr>
      <w:r>
        <w:rPr>
          <w:position w:val="6"/>
          <w:sz w:val="13"/>
        </w:rPr>
        <w:t xml:space="preserve">5  </w:t>
      </w:r>
      <w:r>
        <w:rPr>
          <w:sz w:val="20"/>
        </w:rPr>
        <w:t>5 U.S.C. § 601(6).</w:t>
      </w:r>
    </w:p>
    <w:p w14:paraId="17734040" w14:textId="77777777" w:rsidR="00F41911" w:rsidRDefault="00FE087E">
      <w:pPr>
        <w:spacing w:before="119"/>
        <w:ind w:left="120" w:right="227"/>
        <w:rPr>
          <w:sz w:val="20"/>
        </w:rPr>
      </w:pPr>
      <w:r>
        <w:rPr>
          <w:position w:val="6"/>
          <w:sz w:val="13"/>
        </w:rPr>
        <w:t xml:space="preserve">6 </w:t>
      </w:r>
      <w:r>
        <w:rPr>
          <w:sz w:val="20"/>
        </w:rPr>
        <w:t>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w:t>
      </w:r>
    </w:p>
    <w:p w14:paraId="3B749B96" w14:textId="77777777" w:rsidR="00F41911" w:rsidRDefault="00FE087E">
      <w:pPr>
        <w:ind w:right="118"/>
        <w:jc w:val="right"/>
        <w:rPr>
          <w:sz w:val="20"/>
        </w:rPr>
      </w:pPr>
      <w:r>
        <w:rPr>
          <w:sz w:val="20"/>
        </w:rPr>
        <w:t>(continued….)</w:t>
      </w:r>
    </w:p>
    <w:p w14:paraId="03819626" w14:textId="77777777" w:rsidR="00F41911" w:rsidRDefault="00F41911">
      <w:pPr>
        <w:jc w:val="right"/>
        <w:rPr>
          <w:sz w:val="20"/>
        </w:rPr>
        <w:sectPr w:rsidR="00F41911">
          <w:pgSz w:w="12240" w:h="15840"/>
          <w:pgMar w:top="980" w:right="1320" w:bottom="900" w:left="1320" w:header="729" w:footer="713" w:gutter="0"/>
          <w:cols w:space="720"/>
        </w:sectPr>
      </w:pPr>
    </w:p>
    <w:p w14:paraId="1D69DC51" w14:textId="77777777" w:rsidR="00F41911" w:rsidRDefault="00F41911">
      <w:pPr>
        <w:pStyle w:val="BodyText"/>
        <w:rPr>
          <w:sz w:val="20"/>
        </w:rPr>
      </w:pPr>
    </w:p>
    <w:p w14:paraId="0135BEDC" w14:textId="77777777" w:rsidR="00F41911" w:rsidRDefault="00F41911">
      <w:pPr>
        <w:pStyle w:val="BodyText"/>
        <w:spacing w:before="6"/>
      </w:pPr>
    </w:p>
    <w:p w14:paraId="05E7B094" w14:textId="77777777" w:rsidR="00F41911" w:rsidRDefault="00FE087E">
      <w:pPr>
        <w:pStyle w:val="BodyText"/>
        <w:ind w:left="120" w:right="710"/>
        <w:rPr>
          <w:sz w:val="14"/>
        </w:rPr>
      </w:pPr>
      <w:r>
        <w:t>concern” is one which: (1) is independently owned and operated; (2) is not dominant in its field of operation; and (3) satisfies any additional criteria established by the Small Business Administration (SBA).</w:t>
      </w:r>
      <w:r>
        <w:rPr>
          <w:position w:val="7"/>
          <w:sz w:val="14"/>
        </w:rPr>
        <w:t>7</w:t>
      </w:r>
    </w:p>
    <w:p w14:paraId="246DC927" w14:textId="77777777" w:rsidR="00F41911" w:rsidRDefault="00F41911">
      <w:pPr>
        <w:pStyle w:val="BodyText"/>
        <w:spacing w:before="11"/>
        <w:rPr>
          <w:sz w:val="21"/>
        </w:rPr>
      </w:pPr>
    </w:p>
    <w:p w14:paraId="22CAA2A9" w14:textId="77777777" w:rsidR="00F41911" w:rsidRDefault="00FE087E">
      <w:pPr>
        <w:pStyle w:val="BodyText"/>
        <w:ind w:left="120" w:right="217" w:firstLine="720"/>
      </w:pPr>
      <w:r>
        <w:rPr>
          <w:i/>
        </w:rPr>
        <w:t>Radio and Television Broadcasting and Wireless Communications Equipment Manufacturing</w:t>
      </w:r>
      <w:r>
        <w:t>. The proposed rules pertain to manufacturers of unlicensed communications devices. The appropriate small business size standard is that which the SBA has established for radio and television broadcasting and wireless communications equipment manufacturing. This industry comprises establishments primarily engaged in manufacturing radio and television broadcast and wireless communications equipment.</w:t>
      </w:r>
      <w:r>
        <w:rPr>
          <w:position w:val="6"/>
          <w:sz w:val="13"/>
        </w:rPr>
        <w:t xml:space="preserve">8  </w:t>
      </w:r>
      <w:r>
        <w:t>Examples of products made by these establishments are: transmitting and receiving antennas, cable television equipment, GPS equipment, pagers, cellular phones, mobile communications equipment, and radio and television studio and broadcasting equipment.</w:t>
      </w:r>
      <w:r>
        <w:rPr>
          <w:position w:val="6"/>
          <w:sz w:val="13"/>
        </w:rPr>
        <w:t xml:space="preserve">9 </w:t>
      </w:r>
      <w:r>
        <w:t>The SBA has established a small business size standard for this industry of 1,250 employees or less.</w:t>
      </w:r>
      <w:r>
        <w:rPr>
          <w:position w:val="6"/>
          <w:sz w:val="13"/>
        </w:rPr>
        <w:t xml:space="preserve">10 </w:t>
      </w:r>
      <w:r>
        <w:t>U.S. Census Bureau data for 2012 show that 841 establishments operated in this industry in that year.</w:t>
      </w:r>
      <w:r>
        <w:rPr>
          <w:position w:val="6"/>
          <w:sz w:val="13"/>
        </w:rPr>
        <w:t xml:space="preserve">11 </w:t>
      </w:r>
      <w:r>
        <w:t>Of that number, 828 establishments operated with fewer than 1,000 employees, 7 establishments operated with between 1,000 and 2,499 employees and 6 establishments operated with 2,500 or more employees.</w:t>
      </w:r>
      <w:r>
        <w:rPr>
          <w:position w:val="6"/>
          <w:sz w:val="13"/>
        </w:rPr>
        <w:t xml:space="preserve">12 </w:t>
      </w:r>
      <w:r>
        <w:t>Based on this data, we conclude that a majority of manufacturers in this industry are small.</w:t>
      </w:r>
    </w:p>
    <w:p w14:paraId="52CEFE81" w14:textId="77777777" w:rsidR="00F41911" w:rsidRDefault="00F41911">
      <w:pPr>
        <w:pStyle w:val="BodyText"/>
        <w:spacing w:before="11"/>
        <w:rPr>
          <w:sz w:val="21"/>
        </w:rPr>
      </w:pPr>
    </w:p>
    <w:p w14:paraId="6A067988" w14:textId="77777777" w:rsidR="00F41911" w:rsidRDefault="00FE087E">
      <w:pPr>
        <w:pStyle w:val="Heading1"/>
        <w:numPr>
          <w:ilvl w:val="1"/>
          <w:numId w:val="1"/>
        </w:numPr>
        <w:tabs>
          <w:tab w:val="left" w:pos="1559"/>
          <w:tab w:val="left" w:pos="1561"/>
        </w:tabs>
        <w:ind w:right="956" w:hanging="720"/>
      </w:pPr>
      <w:r>
        <w:t>Description of Projected Reporting, Recordkeeping, and Other Compliance Requirements for Small</w:t>
      </w:r>
      <w:r>
        <w:rPr>
          <w:spacing w:val="-16"/>
        </w:rPr>
        <w:t xml:space="preserve"> </w:t>
      </w:r>
      <w:r>
        <w:t>Entities</w:t>
      </w:r>
    </w:p>
    <w:p w14:paraId="157156B0" w14:textId="77777777" w:rsidR="00F41911" w:rsidRDefault="00FE087E">
      <w:pPr>
        <w:pStyle w:val="BodyText"/>
        <w:spacing w:before="120"/>
        <w:ind w:left="120" w:right="228" w:firstLine="720"/>
      </w:pPr>
      <w:r>
        <w:t xml:space="preserve">Unlicensed 60 GHz devices operating in the 57-71 GHz frequency band are regulated under section 15.255 of the Commission’s rules. The proposed rules in this </w:t>
      </w:r>
      <w:r>
        <w:rPr>
          <w:i/>
        </w:rPr>
        <w:t xml:space="preserve">NPRM </w:t>
      </w:r>
      <w:r>
        <w:t xml:space="preserve">pertain to field disturbance sensors (i.e. radar devices) that may be fixed or mobile. The proposed rules increase the allowable transmitted power levels to promote short-range radar applications without application restriction on operating environments, i.e., they may operate indoors or outdoors, in fixed or mobile applications, and be incorporated into any device, e.g., personal safety, industrial and consumer robotics, home/transportation automation (e.g., autonomous vehicles), environmental control, health care monitoring. Specifically, the </w:t>
      </w:r>
      <w:r>
        <w:rPr>
          <w:i/>
        </w:rPr>
        <w:t>NPRM</w:t>
      </w:r>
      <w:r>
        <w:t>:1) proposes to permit field disturbance sensors in the 57-64 GHz band to operate with up to 20 dBm average EIRP, 10 dBm transmitter conducted output power, 13 dBm/MHz average EIRP power spectral density and a 10% duty cycle in every 33 millisecond (ms) interval; 2) investigates the potential for mobile FDS devices to operate in the 61.0-61.5 GHz band at the same 40 dBm EIRP at which fixed FDS devices currently are permitted to operate; 3) ask whether the Commission could permit radar devices that incorporate listen-before-talk, spectrum sensing, or other</w:t>
      </w:r>
    </w:p>
    <w:p w14:paraId="38175037" w14:textId="77777777" w:rsidR="00F41911" w:rsidRDefault="004D2E02">
      <w:pPr>
        <w:pStyle w:val="BodyText"/>
        <w:spacing w:before="10"/>
        <w:rPr>
          <w:sz w:val="10"/>
        </w:rPr>
      </w:pPr>
      <w:r>
        <w:pict w14:anchorId="3DFE984A">
          <v:line id="_x0000_s1028" style="position:absolute;z-index:251667968;mso-wrap-distance-left:0;mso-wrap-distance-right:0;mso-position-horizontal-relative:page" from="1in,8.6pt" to="215.5pt,8.6pt" strokeweight=".72pt">
            <w10:wrap type="topAndBottom" anchorx="page"/>
          </v:line>
        </w:pict>
      </w:r>
    </w:p>
    <w:p w14:paraId="716D233F" w14:textId="77777777" w:rsidR="00F41911" w:rsidRDefault="00FE087E">
      <w:pPr>
        <w:spacing w:before="69"/>
        <w:ind w:left="120" w:right="368"/>
        <w:rPr>
          <w:sz w:val="20"/>
        </w:rPr>
      </w:pPr>
      <w:r>
        <w:rPr>
          <w:sz w:val="20"/>
        </w:rPr>
        <w:t>for public comment, establishes one or more definitions of such term which are appropriate to the activities of the agency and publishes such definition(s) in the Federal Register.”.</w:t>
      </w:r>
    </w:p>
    <w:p w14:paraId="02EE1CDB" w14:textId="77777777" w:rsidR="00F41911" w:rsidRDefault="00FE087E">
      <w:pPr>
        <w:spacing w:before="119"/>
        <w:ind w:left="120"/>
        <w:rPr>
          <w:sz w:val="20"/>
        </w:rPr>
      </w:pPr>
      <w:r>
        <w:rPr>
          <w:position w:val="6"/>
          <w:sz w:val="13"/>
        </w:rPr>
        <w:t xml:space="preserve">7  </w:t>
      </w:r>
      <w:r>
        <w:rPr>
          <w:sz w:val="20"/>
        </w:rPr>
        <w:t>15 U.S.C. § 632.</w:t>
      </w:r>
    </w:p>
    <w:p w14:paraId="03D59F81" w14:textId="77777777" w:rsidR="00F41911" w:rsidRDefault="00FE087E">
      <w:pPr>
        <w:spacing w:before="119"/>
        <w:ind w:left="120" w:right="679"/>
        <w:rPr>
          <w:sz w:val="20"/>
        </w:rPr>
      </w:pPr>
      <w:r>
        <w:rPr>
          <w:position w:val="6"/>
          <w:sz w:val="13"/>
        </w:rPr>
        <w:t xml:space="preserve">8 </w:t>
      </w:r>
      <w:r>
        <w:rPr>
          <w:i/>
          <w:sz w:val="20"/>
        </w:rPr>
        <w:t xml:space="preserve">See </w:t>
      </w:r>
      <w:r>
        <w:rPr>
          <w:sz w:val="20"/>
        </w:rPr>
        <w:t xml:space="preserve">U.S. Census Bureau, </w:t>
      </w:r>
      <w:r>
        <w:rPr>
          <w:i/>
          <w:sz w:val="20"/>
        </w:rPr>
        <w:t>2017 NAICS Definition, “334220 Radio and Television Broadcasting and Wireless Communications Equipment Manufacturing,</w:t>
      </w:r>
      <w:r>
        <w:rPr>
          <w:sz w:val="20"/>
        </w:rPr>
        <w:t xml:space="preserve">” </w:t>
      </w:r>
      <w:hyperlink r:id="rId48">
        <w:r>
          <w:rPr>
            <w:color w:val="0000FF"/>
            <w:sz w:val="20"/>
            <w:u w:val="single" w:color="0000FF"/>
          </w:rPr>
          <w:t>https://www.census.gov/naics/?input=334220&amp;year=2017&amp;details=334220</w:t>
        </w:r>
      </w:hyperlink>
      <w:r>
        <w:rPr>
          <w:sz w:val="20"/>
        </w:rPr>
        <w:t>.</w:t>
      </w:r>
    </w:p>
    <w:p w14:paraId="3554D635" w14:textId="77777777" w:rsidR="00F41911" w:rsidRDefault="00FE087E">
      <w:pPr>
        <w:spacing w:before="119"/>
        <w:ind w:left="120"/>
        <w:rPr>
          <w:sz w:val="20"/>
        </w:rPr>
      </w:pPr>
      <w:r>
        <w:rPr>
          <w:position w:val="6"/>
          <w:sz w:val="13"/>
        </w:rPr>
        <w:t xml:space="preserve">9 </w:t>
      </w:r>
      <w:r>
        <w:rPr>
          <w:i/>
          <w:sz w:val="20"/>
        </w:rPr>
        <w:t>Id</w:t>
      </w:r>
      <w:r>
        <w:rPr>
          <w:sz w:val="20"/>
        </w:rPr>
        <w:t>.</w:t>
      </w:r>
    </w:p>
    <w:p w14:paraId="12AA7E86" w14:textId="77777777" w:rsidR="00F41911" w:rsidRDefault="00FE087E">
      <w:pPr>
        <w:spacing w:before="119"/>
        <w:ind w:left="120"/>
        <w:rPr>
          <w:sz w:val="20"/>
        </w:rPr>
      </w:pPr>
      <w:r>
        <w:rPr>
          <w:position w:val="6"/>
          <w:sz w:val="13"/>
        </w:rPr>
        <w:t xml:space="preserve">10  </w:t>
      </w:r>
      <w:r>
        <w:rPr>
          <w:i/>
          <w:sz w:val="20"/>
        </w:rPr>
        <w:t xml:space="preserve">See </w:t>
      </w:r>
      <w:r>
        <w:rPr>
          <w:sz w:val="20"/>
        </w:rPr>
        <w:t>13 CFR § 121.201, NAICS Code 334220.</w:t>
      </w:r>
    </w:p>
    <w:p w14:paraId="31C485A7" w14:textId="77777777" w:rsidR="00F41911" w:rsidRDefault="00FE087E">
      <w:pPr>
        <w:spacing w:before="119"/>
        <w:ind w:left="120" w:right="423"/>
        <w:jc w:val="both"/>
        <w:rPr>
          <w:sz w:val="20"/>
        </w:rPr>
      </w:pPr>
      <w:r>
        <w:rPr>
          <w:position w:val="6"/>
          <w:sz w:val="13"/>
        </w:rPr>
        <w:t xml:space="preserve">11 </w:t>
      </w:r>
      <w:r>
        <w:rPr>
          <w:i/>
          <w:sz w:val="20"/>
        </w:rPr>
        <w:t xml:space="preserve">See </w:t>
      </w:r>
      <w:r>
        <w:rPr>
          <w:sz w:val="20"/>
        </w:rPr>
        <w:t xml:space="preserve">U.S. Census Bureau, </w:t>
      </w:r>
      <w:r>
        <w:rPr>
          <w:i/>
          <w:sz w:val="20"/>
        </w:rPr>
        <w:t>2012 Economic Census of the United States</w:t>
      </w:r>
      <w:r>
        <w:rPr>
          <w:sz w:val="20"/>
        </w:rPr>
        <w:t xml:space="preserve">, Table ID: EC1231SG2, </w:t>
      </w:r>
      <w:r>
        <w:rPr>
          <w:i/>
          <w:sz w:val="20"/>
        </w:rPr>
        <w:t>Manufacturing: Summary Series: General Summary: Industry Statistics for Subsectors and Industries by Employment Size: 2012</w:t>
      </w:r>
      <w:r>
        <w:rPr>
          <w:sz w:val="20"/>
        </w:rPr>
        <w:t>, NAICS Code 334220,</w:t>
      </w:r>
    </w:p>
    <w:p w14:paraId="5B4824E1" w14:textId="77777777" w:rsidR="00F41911" w:rsidRDefault="004D2E02">
      <w:pPr>
        <w:ind w:left="120" w:right="126"/>
        <w:rPr>
          <w:sz w:val="20"/>
        </w:rPr>
      </w:pPr>
      <w:hyperlink r:id="rId49">
        <w:r w:rsidR="00FE087E">
          <w:rPr>
            <w:color w:val="0000FF"/>
            <w:sz w:val="20"/>
            <w:u w:val="single" w:color="0000FF"/>
          </w:rPr>
          <w:t>https://data.census.gov/cedsci/table?text=EC1231SG2&amp;n=334220&amp;tid=ECNSIZE2012.EC1231SG2&amp;hidePreview=</w:t>
        </w:r>
      </w:hyperlink>
      <w:r w:rsidR="00FE087E">
        <w:rPr>
          <w:color w:val="0000FF"/>
          <w:sz w:val="20"/>
          <w:u w:val="single" w:color="0000FF"/>
        </w:rPr>
        <w:t xml:space="preserve"> </w:t>
      </w:r>
      <w:hyperlink r:id="rId50">
        <w:r w:rsidR="00FE087E">
          <w:rPr>
            <w:color w:val="0000FF"/>
            <w:sz w:val="20"/>
            <w:u w:val="single" w:color="0000FF"/>
          </w:rPr>
          <w:t>false.</w:t>
        </w:r>
      </w:hyperlink>
    </w:p>
    <w:p w14:paraId="79BBBFB0" w14:textId="77777777" w:rsidR="00F41911" w:rsidRDefault="00FE087E">
      <w:pPr>
        <w:spacing w:before="120"/>
        <w:ind w:left="120" w:right="227"/>
        <w:rPr>
          <w:sz w:val="20"/>
        </w:rPr>
      </w:pPr>
      <w:r>
        <w:rPr>
          <w:position w:val="6"/>
          <w:sz w:val="13"/>
        </w:rPr>
        <w:t xml:space="preserve">12 </w:t>
      </w:r>
      <w:r>
        <w:rPr>
          <w:i/>
          <w:sz w:val="20"/>
        </w:rPr>
        <w:t>Id</w:t>
      </w:r>
      <w:r>
        <w:rPr>
          <w:sz w:val="20"/>
        </w:rPr>
        <w:t>. The available U.S. Census Bureau data does not provide a more precise estimate of the number of firms that meet the SBA size standard.</w:t>
      </w:r>
    </w:p>
    <w:p w14:paraId="32B5B355" w14:textId="77777777" w:rsidR="00F41911" w:rsidRDefault="00F41911">
      <w:pPr>
        <w:rPr>
          <w:sz w:val="20"/>
        </w:rPr>
        <w:sectPr w:rsidR="00F41911">
          <w:pgSz w:w="12240" w:h="15840"/>
          <w:pgMar w:top="980" w:right="1320" w:bottom="960" w:left="1320" w:header="729" w:footer="713" w:gutter="0"/>
          <w:cols w:space="720"/>
        </w:sectPr>
      </w:pPr>
    </w:p>
    <w:p w14:paraId="7FAD8909" w14:textId="77777777" w:rsidR="00F41911" w:rsidRDefault="00F41911">
      <w:pPr>
        <w:pStyle w:val="BodyText"/>
        <w:rPr>
          <w:sz w:val="20"/>
        </w:rPr>
      </w:pPr>
    </w:p>
    <w:p w14:paraId="3F6F1136" w14:textId="77777777" w:rsidR="00F41911" w:rsidRDefault="00F41911">
      <w:pPr>
        <w:pStyle w:val="BodyText"/>
        <w:spacing w:before="6"/>
      </w:pPr>
    </w:p>
    <w:p w14:paraId="22F410AC" w14:textId="77777777" w:rsidR="00F41911" w:rsidRDefault="00FE087E">
      <w:pPr>
        <w:pStyle w:val="BodyText"/>
        <w:ind w:left="120" w:right="172"/>
      </w:pPr>
      <w:r>
        <w:t>methods of co-existence, to operate across the entire 57-71 GHz band at the same power level (i.e., 40 dBm EIRP) as currently is permitted for 60 GHz communication devices; and 4) ask whether any of the provisions proposed for FDS operation should be more broadly applied to all Part 15 devices operating in the 57-71 GHz band.</w:t>
      </w:r>
    </w:p>
    <w:p w14:paraId="083057FA" w14:textId="77777777" w:rsidR="00F41911" w:rsidRDefault="00F41911">
      <w:pPr>
        <w:pStyle w:val="BodyText"/>
        <w:spacing w:before="11"/>
        <w:rPr>
          <w:sz w:val="21"/>
        </w:rPr>
      </w:pPr>
    </w:p>
    <w:p w14:paraId="41ABBBDB" w14:textId="77777777" w:rsidR="00F41911" w:rsidRDefault="00FE087E">
      <w:pPr>
        <w:pStyle w:val="BodyText"/>
        <w:ind w:left="120" w:right="448" w:firstLine="720"/>
      </w:pPr>
      <w:r>
        <w:t>Most RF transmitting equipment, including 60 GHz devices, must be authorized through the certification procedure. Certification is an equipment authorization issued by a designated Telecommunication Certification Body (TCB) based on an application and test data submitted by the responsible party (</w:t>
      </w:r>
      <w:r>
        <w:rPr>
          <w:i/>
        </w:rPr>
        <w:t xml:space="preserve">e.g., </w:t>
      </w:r>
      <w:r>
        <w:t>the manufacturer or importer).</w:t>
      </w:r>
      <w:r>
        <w:rPr>
          <w:position w:val="7"/>
          <w:sz w:val="14"/>
        </w:rPr>
        <w:t xml:space="preserve">13   </w:t>
      </w:r>
      <w:r>
        <w:t>Existing FDS devices operating under section</w:t>
      </w:r>
    </w:p>
    <w:p w14:paraId="74529693" w14:textId="0228BBD2" w:rsidR="00F41911" w:rsidRDefault="00FE087E">
      <w:pPr>
        <w:pStyle w:val="BodyText"/>
        <w:ind w:left="120"/>
        <w:rPr>
          <w:sz w:val="13"/>
        </w:rPr>
      </w:pPr>
      <w:r>
        <w:t xml:space="preserve">15.255 of the Commission’s rules are already subject to the Certification procedure. The </w:t>
      </w:r>
      <w:r>
        <w:rPr>
          <w:i/>
        </w:rPr>
        <w:t xml:space="preserve">NPRM </w:t>
      </w:r>
      <w:r>
        <w:t xml:space="preserve">does not propose to change the authorization procedure for 60 GHz devices, but it does </w:t>
      </w:r>
      <w:r w:rsidR="009D38B3" w:rsidRPr="009D38B3">
        <w:rPr>
          <w:highlight w:val="yellow"/>
        </w:rPr>
        <w:t>seek comment</w:t>
      </w:r>
      <w:r>
        <w:t xml:space="preserve"> on methodologies for performing tests to obtain the data necessary to demonstrate compliance with the technical requirements for the types of radars anticipated to operate under the modified rules. In addition, the </w:t>
      </w:r>
      <w:r>
        <w:rPr>
          <w:i/>
        </w:rPr>
        <w:t xml:space="preserve">NPRM </w:t>
      </w:r>
      <w:r>
        <w:t>proposes to exempt frequency-modulated continuous wave and other swept frequency radars from the section 15.31(c) requirement to stop the frequency sweep when measuring the relevant technical parameters;</w:t>
      </w:r>
      <w:r>
        <w:rPr>
          <w:position w:val="6"/>
          <w:sz w:val="13"/>
        </w:rPr>
        <w:t xml:space="preserve">14 </w:t>
      </w:r>
      <w:r>
        <w:t>2) remove the section 15.255(c)(4) requirement to use an RF detector with a detection bandwidth that encompasses the 57-71 GHz frequency range for performing peak power measurements;</w:t>
      </w:r>
      <w:r>
        <w:rPr>
          <w:position w:val="6"/>
          <w:sz w:val="13"/>
        </w:rPr>
        <w:t xml:space="preserve">15 </w:t>
      </w:r>
      <w:r>
        <w:t>and 3) not apply the provision of section 15.35(c) that requires calculating average field strength over a complete pulse train or 100 milliseconds to pulsed or burst radars that operate in the 60 GHz band.</w:t>
      </w:r>
      <w:r>
        <w:rPr>
          <w:position w:val="6"/>
          <w:sz w:val="13"/>
        </w:rPr>
        <w:t>16</w:t>
      </w:r>
    </w:p>
    <w:p w14:paraId="1F677353" w14:textId="77777777" w:rsidR="00F41911" w:rsidRDefault="00F41911">
      <w:pPr>
        <w:pStyle w:val="BodyText"/>
      </w:pPr>
    </w:p>
    <w:p w14:paraId="5EBFFC9C" w14:textId="77777777" w:rsidR="00F41911" w:rsidRDefault="00FE087E">
      <w:pPr>
        <w:pStyle w:val="Heading1"/>
        <w:numPr>
          <w:ilvl w:val="1"/>
          <w:numId w:val="1"/>
        </w:numPr>
        <w:tabs>
          <w:tab w:val="left" w:pos="1559"/>
          <w:tab w:val="left" w:pos="1561"/>
        </w:tabs>
        <w:ind w:right="447" w:hanging="720"/>
      </w:pPr>
      <w:r>
        <w:t>Steps Taken to Minimize the Significant Economic Impact on Small Entities, and Significant Alternatives</w:t>
      </w:r>
      <w:r>
        <w:rPr>
          <w:spacing w:val="-30"/>
        </w:rPr>
        <w:t xml:space="preserve"> </w:t>
      </w:r>
      <w:r>
        <w:t>Considered</w:t>
      </w:r>
    </w:p>
    <w:p w14:paraId="064AD520" w14:textId="77777777" w:rsidR="00F41911" w:rsidRDefault="00FE087E">
      <w:pPr>
        <w:pStyle w:val="BodyText"/>
        <w:spacing w:before="119"/>
        <w:ind w:left="120" w:right="260" w:firstLine="720"/>
        <w:rPr>
          <w:sz w:val="14"/>
        </w:rPr>
      </w:pPr>
      <w:r>
        <w:t>The RFA requires an agency to describe any significant, specifically small business,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such small entities.”</w:t>
      </w:r>
      <w:r>
        <w:rPr>
          <w:position w:val="7"/>
          <w:sz w:val="14"/>
        </w:rPr>
        <w:t>17</w:t>
      </w:r>
    </w:p>
    <w:p w14:paraId="7FDEE80A" w14:textId="77777777" w:rsidR="00F41911" w:rsidRDefault="00F41911">
      <w:pPr>
        <w:pStyle w:val="BodyText"/>
        <w:spacing w:before="10"/>
        <w:rPr>
          <w:sz w:val="21"/>
        </w:rPr>
      </w:pPr>
    </w:p>
    <w:p w14:paraId="2578C969" w14:textId="77777777" w:rsidR="00F41911" w:rsidRDefault="00FE087E">
      <w:pPr>
        <w:pStyle w:val="BodyText"/>
        <w:spacing w:before="1"/>
        <w:ind w:left="120" w:right="197" w:firstLine="720"/>
      </w:pPr>
      <w:r>
        <w:t xml:space="preserve">The rule changes proposed in the </w:t>
      </w:r>
      <w:r>
        <w:rPr>
          <w:i/>
        </w:rPr>
        <w:t xml:space="preserve">NPRM </w:t>
      </w:r>
      <w:r>
        <w:t>for higher power to field disturbance sensors and radars would provide greater flexibility to 60 GHz device operations.  As these proposed changes provide greater flexibility, the Commission does not believe they will have a significant negative impact on small entities. In fact, the proposed rules could benefit small entities. As operation of 60 GHz devices do not require a license, small entities are able to operate 60 GHz devices without the cost or inconvenience of obtaining a license. In addition, the proposed rules partly align the technical parameters for FDS/radar devices with international standards, which could save cost to small entities who would now be able to avoid having to create region-specific product designs.</w:t>
      </w:r>
    </w:p>
    <w:p w14:paraId="25D38BB3" w14:textId="77777777" w:rsidR="00F41911" w:rsidRDefault="00F41911">
      <w:pPr>
        <w:pStyle w:val="BodyText"/>
        <w:rPr>
          <w:sz w:val="20"/>
        </w:rPr>
      </w:pPr>
    </w:p>
    <w:p w14:paraId="3FA3219A" w14:textId="77777777" w:rsidR="00F41911" w:rsidRDefault="00F41911">
      <w:pPr>
        <w:pStyle w:val="BodyText"/>
        <w:rPr>
          <w:sz w:val="20"/>
        </w:rPr>
      </w:pPr>
    </w:p>
    <w:p w14:paraId="704CE709" w14:textId="77777777" w:rsidR="00F41911" w:rsidRDefault="00F41911">
      <w:pPr>
        <w:pStyle w:val="BodyText"/>
        <w:rPr>
          <w:sz w:val="20"/>
        </w:rPr>
      </w:pPr>
    </w:p>
    <w:p w14:paraId="51483928" w14:textId="77777777" w:rsidR="00F41911" w:rsidRDefault="004D2E02">
      <w:pPr>
        <w:pStyle w:val="BodyText"/>
        <w:spacing w:before="2"/>
        <w:rPr>
          <w:sz w:val="12"/>
        </w:rPr>
      </w:pPr>
      <w:r>
        <w:pict w14:anchorId="6B251C22">
          <v:line id="_x0000_s1027" style="position:absolute;z-index:251668992;mso-wrap-distance-left:0;mso-wrap-distance-right:0;mso-position-horizontal-relative:page" from="1in,9.35pt" to="215.5pt,9.35pt" strokeweight=".72pt">
            <w10:wrap type="topAndBottom" anchorx="page"/>
          </v:line>
        </w:pict>
      </w:r>
    </w:p>
    <w:p w14:paraId="5AC59B28" w14:textId="77777777" w:rsidR="00F41911" w:rsidRDefault="00FE087E">
      <w:pPr>
        <w:spacing w:before="69"/>
        <w:ind w:left="120" w:right="432"/>
        <w:rPr>
          <w:sz w:val="20"/>
        </w:rPr>
      </w:pPr>
      <w:r>
        <w:rPr>
          <w:position w:val="6"/>
          <w:sz w:val="13"/>
        </w:rPr>
        <w:t xml:space="preserve">13 </w:t>
      </w:r>
      <w:r>
        <w:rPr>
          <w:sz w:val="20"/>
        </w:rPr>
        <w:t>47 C.F.R. § 2.907. The Commission or a TCB may test a sample of a device to verify that it complies with the rules before granting approval for the equipment to be marketed. Examples of devices subject to certification include, but are not limited to, mobile phones; wireless local area networking equipment, remote control transmitters; land mobile radio transmitters; wireless medical telemetry transmitters; cordless telephones; and walkie-talkies.</w:t>
      </w:r>
    </w:p>
    <w:p w14:paraId="69DE2F63" w14:textId="77777777" w:rsidR="00F41911" w:rsidRDefault="00FE087E">
      <w:pPr>
        <w:spacing w:before="119"/>
        <w:ind w:left="120"/>
        <w:rPr>
          <w:sz w:val="20"/>
        </w:rPr>
      </w:pPr>
      <w:r>
        <w:rPr>
          <w:position w:val="6"/>
          <w:sz w:val="13"/>
        </w:rPr>
        <w:t xml:space="preserve">14  </w:t>
      </w:r>
      <w:r>
        <w:rPr>
          <w:sz w:val="20"/>
        </w:rPr>
        <w:t>47 CFR § 15.31(c).</w:t>
      </w:r>
    </w:p>
    <w:p w14:paraId="0BCCCB59" w14:textId="77777777" w:rsidR="00F41911" w:rsidRDefault="00FE087E">
      <w:pPr>
        <w:spacing w:before="119"/>
        <w:ind w:left="120"/>
        <w:rPr>
          <w:sz w:val="20"/>
        </w:rPr>
      </w:pPr>
      <w:r>
        <w:rPr>
          <w:position w:val="6"/>
          <w:sz w:val="13"/>
        </w:rPr>
        <w:t xml:space="preserve">15  </w:t>
      </w:r>
      <w:r>
        <w:rPr>
          <w:sz w:val="20"/>
        </w:rPr>
        <w:t>47 CFR § 15.255(c)(4).</w:t>
      </w:r>
    </w:p>
    <w:p w14:paraId="4AA1DBC4" w14:textId="77777777" w:rsidR="00F41911" w:rsidRDefault="00FE087E">
      <w:pPr>
        <w:spacing w:before="119"/>
        <w:ind w:left="120"/>
        <w:rPr>
          <w:sz w:val="20"/>
        </w:rPr>
      </w:pPr>
      <w:r>
        <w:rPr>
          <w:position w:val="6"/>
          <w:sz w:val="13"/>
        </w:rPr>
        <w:t xml:space="preserve">16  </w:t>
      </w:r>
      <w:r>
        <w:rPr>
          <w:sz w:val="20"/>
        </w:rPr>
        <w:t>47 CFR § 15.35(c).</w:t>
      </w:r>
    </w:p>
    <w:p w14:paraId="3E78BE27" w14:textId="77777777" w:rsidR="00F41911" w:rsidRDefault="00FE087E">
      <w:pPr>
        <w:spacing w:before="119"/>
        <w:ind w:left="120"/>
        <w:rPr>
          <w:sz w:val="20"/>
        </w:rPr>
      </w:pPr>
      <w:r>
        <w:rPr>
          <w:position w:val="6"/>
          <w:sz w:val="13"/>
        </w:rPr>
        <w:t xml:space="preserve">17  </w:t>
      </w:r>
      <w:r>
        <w:rPr>
          <w:sz w:val="20"/>
        </w:rPr>
        <w:t>5 U.S.C. § 603(c)(1) – (c)(4).</w:t>
      </w:r>
    </w:p>
    <w:p w14:paraId="3923B0BD" w14:textId="77777777" w:rsidR="00F41911" w:rsidRDefault="00F41911">
      <w:pPr>
        <w:rPr>
          <w:sz w:val="20"/>
        </w:rPr>
        <w:sectPr w:rsidR="00F41911">
          <w:pgSz w:w="12240" w:h="15840"/>
          <w:pgMar w:top="980" w:right="1320" w:bottom="960" w:left="1320" w:header="729" w:footer="713" w:gutter="0"/>
          <w:cols w:space="720"/>
        </w:sectPr>
      </w:pPr>
    </w:p>
    <w:p w14:paraId="294022F2" w14:textId="77777777" w:rsidR="00F41911" w:rsidRDefault="00F41911">
      <w:pPr>
        <w:pStyle w:val="BodyText"/>
        <w:rPr>
          <w:sz w:val="20"/>
        </w:rPr>
      </w:pPr>
    </w:p>
    <w:p w14:paraId="1C89610D" w14:textId="77777777" w:rsidR="00F41911" w:rsidRDefault="00F41911">
      <w:pPr>
        <w:pStyle w:val="BodyText"/>
        <w:spacing w:before="6"/>
      </w:pPr>
    </w:p>
    <w:p w14:paraId="5D5CFFF8" w14:textId="77777777" w:rsidR="00F41911" w:rsidRDefault="00FE087E">
      <w:pPr>
        <w:pStyle w:val="Heading1"/>
        <w:numPr>
          <w:ilvl w:val="1"/>
          <w:numId w:val="1"/>
        </w:numPr>
        <w:tabs>
          <w:tab w:val="left" w:pos="1559"/>
          <w:tab w:val="left" w:pos="1561"/>
        </w:tabs>
        <w:ind w:hanging="720"/>
      </w:pPr>
      <w:r>
        <w:t>Federal Rules that May Duplicate, Overlap, or Conflict with the Proposed</w:t>
      </w:r>
      <w:r>
        <w:rPr>
          <w:spacing w:val="-26"/>
        </w:rPr>
        <w:t xml:space="preserve"> </w:t>
      </w:r>
      <w:r>
        <w:t>Rules</w:t>
      </w:r>
    </w:p>
    <w:p w14:paraId="53D4BB8A" w14:textId="77777777" w:rsidR="00F41911" w:rsidRDefault="00FE087E">
      <w:pPr>
        <w:pStyle w:val="BodyText"/>
        <w:spacing w:before="120"/>
        <w:ind w:left="120"/>
      </w:pPr>
      <w:r>
        <w:t>None.</w:t>
      </w:r>
    </w:p>
    <w:p w14:paraId="232B6CEF" w14:textId="77777777" w:rsidR="00F41911" w:rsidRDefault="00F41911">
      <w:pPr>
        <w:sectPr w:rsidR="00F41911">
          <w:pgSz w:w="12240" w:h="15840"/>
          <w:pgMar w:top="980" w:right="1320" w:bottom="960" w:left="1320" w:header="729" w:footer="713" w:gutter="0"/>
          <w:cols w:space="720"/>
        </w:sectPr>
      </w:pPr>
    </w:p>
    <w:p w14:paraId="53FED175" w14:textId="77777777" w:rsidR="00F41911" w:rsidRDefault="00F41911">
      <w:pPr>
        <w:pStyle w:val="BodyText"/>
        <w:rPr>
          <w:sz w:val="20"/>
        </w:rPr>
      </w:pPr>
    </w:p>
    <w:p w14:paraId="71B65E07" w14:textId="77777777" w:rsidR="00F41911" w:rsidRDefault="00F41911">
      <w:pPr>
        <w:pStyle w:val="BodyText"/>
        <w:spacing w:before="6"/>
      </w:pPr>
    </w:p>
    <w:p w14:paraId="7C421B4A" w14:textId="77777777" w:rsidR="00F41911" w:rsidRDefault="00FE087E">
      <w:pPr>
        <w:pStyle w:val="Heading1"/>
        <w:ind w:left="3909" w:right="3909"/>
        <w:jc w:val="center"/>
      </w:pPr>
      <w:r>
        <w:t>STATEMENT OF</w:t>
      </w:r>
    </w:p>
    <w:p w14:paraId="0F1DE3B1" w14:textId="77777777" w:rsidR="00F41911" w:rsidRDefault="00FE087E">
      <w:pPr>
        <w:ind w:left="2099" w:right="2099"/>
        <w:jc w:val="center"/>
        <w:rPr>
          <w:b/>
        </w:rPr>
      </w:pPr>
      <w:r>
        <w:rPr>
          <w:b/>
        </w:rPr>
        <w:t>ACTING CHAIRWOMAN JESSICA ROSENWORCEL</w:t>
      </w:r>
    </w:p>
    <w:p w14:paraId="08B4AFE2" w14:textId="77777777" w:rsidR="00F41911" w:rsidRDefault="00F41911">
      <w:pPr>
        <w:pStyle w:val="BodyText"/>
        <w:rPr>
          <w:b/>
        </w:rPr>
      </w:pPr>
    </w:p>
    <w:p w14:paraId="16CC1585" w14:textId="77777777" w:rsidR="00F41911" w:rsidRDefault="00FE087E">
      <w:pPr>
        <w:tabs>
          <w:tab w:val="left" w:pos="839"/>
        </w:tabs>
        <w:ind w:left="120"/>
      </w:pPr>
      <w:r>
        <w:t>Re:</w:t>
      </w:r>
      <w:r>
        <w:tab/>
      </w:r>
      <w:r>
        <w:rPr>
          <w:i/>
        </w:rPr>
        <w:t>Amendment</w:t>
      </w:r>
      <w:r>
        <w:rPr>
          <w:i/>
          <w:spacing w:val="-15"/>
        </w:rPr>
        <w:t xml:space="preserve"> </w:t>
      </w:r>
      <w:r>
        <w:rPr>
          <w:i/>
        </w:rPr>
        <w:t>of</w:t>
      </w:r>
      <w:r>
        <w:rPr>
          <w:i/>
          <w:spacing w:val="-15"/>
        </w:rPr>
        <w:t xml:space="preserve"> </w:t>
      </w:r>
      <w:r>
        <w:rPr>
          <w:i/>
        </w:rPr>
        <w:t>Section</w:t>
      </w:r>
      <w:r>
        <w:rPr>
          <w:i/>
          <w:spacing w:val="-15"/>
        </w:rPr>
        <w:t xml:space="preserve"> </w:t>
      </w:r>
      <w:r>
        <w:rPr>
          <w:i/>
        </w:rPr>
        <w:t>15.255</w:t>
      </w:r>
      <w:r>
        <w:rPr>
          <w:i/>
          <w:spacing w:val="-15"/>
        </w:rPr>
        <w:t xml:space="preserve"> </w:t>
      </w:r>
      <w:r>
        <w:rPr>
          <w:i/>
        </w:rPr>
        <w:t>of</w:t>
      </w:r>
      <w:r>
        <w:rPr>
          <w:i/>
          <w:spacing w:val="-15"/>
        </w:rPr>
        <w:t xml:space="preserve"> </w:t>
      </w:r>
      <w:r>
        <w:rPr>
          <w:i/>
        </w:rPr>
        <w:t>the</w:t>
      </w:r>
      <w:r>
        <w:rPr>
          <w:i/>
          <w:spacing w:val="-15"/>
        </w:rPr>
        <w:t xml:space="preserve"> </w:t>
      </w:r>
      <w:r>
        <w:rPr>
          <w:i/>
        </w:rPr>
        <w:t>Commission’s</w:t>
      </w:r>
      <w:r>
        <w:rPr>
          <w:i/>
          <w:spacing w:val="-15"/>
        </w:rPr>
        <w:t xml:space="preserve"> </w:t>
      </w:r>
      <w:r>
        <w:rPr>
          <w:i/>
        </w:rPr>
        <w:t>Rules</w:t>
      </w:r>
      <w:r>
        <w:t>,</w:t>
      </w:r>
      <w:r>
        <w:rPr>
          <w:spacing w:val="-15"/>
        </w:rPr>
        <w:t xml:space="preserve"> </w:t>
      </w:r>
      <w:r>
        <w:t>ET</w:t>
      </w:r>
      <w:r>
        <w:rPr>
          <w:spacing w:val="-15"/>
        </w:rPr>
        <w:t xml:space="preserve"> </w:t>
      </w:r>
      <w:r>
        <w:t>Docket</w:t>
      </w:r>
      <w:r>
        <w:rPr>
          <w:spacing w:val="-15"/>
        </w:rPr>
        <w:t xml:space="preserve"> </w:t>
      </w:r>
      <w:r>
        <w:t>No.</w:t>
      </w:r>
      <w:r>
        <w:rPr>
          <w:spacing w:val="-16"/>
        </w:rPr>
        <w:t xml:space="preserve"> </w:t>
      </w:r>
      <w:r>
        <w:t>21-264.</w:t>
      </w:r>
    </w:p>
    <w:p w14:paraId="2E624D6F" w14:textId="77777777" w:rsidR="00F41911" w:rsidRDefault="00F41911">
      <w:pPr>
        <w:pStyle w:val="BodyText"/>
        <w:spacing w:before="11"/>
        <w:rPr>
          <w:sz w:val="21"/>
        </w:rPr>
      </w:pPr>
    </w:p>
    <w:p w14:paraId="0C41650F" w14:textId="77777777" w:rsidR="00F41911" w:rsidRDefault="00FE087E">
      <w:pPr>
        <w:pStyle w:val="BodyText"/>
        <w:ind w:left="120" w:right="192" w:firstLine="720"/>
      </w:pPr>
      <w:r>
        <w:t>There’s a radar revolution happening across our economy. It used to be that radar sensing technology was devoted mostly to military uses, detecting the presence, distance, and direction of objects by sending out pulses of high-frequency electromagnetic waves. But there’s been a lot of scientific and technical progress over the past few years and nowadays we are seeing its use in all sorts of commercial applications.</w:t>
      </w:r>
    </w:p>
    <w:p w14:paraId="43CE99BC" w14:textId="77777777" w:rsidR="00F41911" w:rsidRDefault="00F41911">
      <w:pPr>
        <w:pStyle w:val="BodyText"/>
        <w:spacing w:before="11"/>
        <w:rPr>
          <w:sz w:val="21"/>
        </w:rPr>
      </w:pPr>
    </w:p>
    <w:p w14:paraId="67EC9E5B" w14:textId="77777777" w:rsidR="00F41911" w:rsidRDefault="00FE087E">
      <w:pPr>
        <w:pStyle w:val="BodyText"/>
        <w:ind w:left="120" w:right="162" w:firstLine="720"/>
      </w:pPr>
      <w:r>
        <w:t>This is exciting because the innovations are coming fast. Radar sensing technology is being used to support the development of gesture control, which will allow you to turn on the lights or turn up the heat with a flick of the wrist.  It’s being used to develop new systems for real-time traffic management that can reduce congestion and increase roadway safety. It’s also being used to develop robotics to improve workplace safety and medical imaging and monitoring technologies to help us lead healthier lives. Most recently, it has been used to monitor for children left in hot cars and trigger alerts that could save their lives.</w:t>
      </w:r>
    </w:p>
    <w:p w14:paraId="7B83F9D3" w14:textId="77777777" w:rsidR="00F41911" w:rsidRDefault="00F41911">
      <w:pPr>
        <w:pStyle w:val="BodyText"/>
        <w:spacing w:before="11"/>
        <w:rPr>
          <w:sz w:val="21"/>
        </w:rPr>
      </w:pPr>
    </w:p>
    <w:p w14:paraId="1113FBA8" w14:textId="77777777" w:rsidR="00F41911" w:rsidRDefault="00FE087E">
      <w:pPr>
        <w:pStyle w:val="BodyText"/>
        <w:ind w:left="120" w:right="139" w:firstLine="720"/>
      </w:pPr>
      <w:r>
        <w:t>There’s a lot of potential—but here’s the thing. The FCC’s technical rules for the 60 GHz band are holding some of this activity back. That’s because our rules for this band confine radar manufacturers to overly conservative power limits and other dated requirements. So today we are taking action to bring our spectrum policies for radar technology up to speed.</w:t>
      </w:r>
    </w:p>
    <w:p w14:paraId="46AA1401" w14:textId="77777777" w:rsidR="00F41911" w:rsidRDefault="00F41911">
      <w:pPr>
        <w:pStyle w:val="BodyText"/>
        <w:spacing w:before="11"/>
        <w:rPr>
          <w:sz w:val="21"/>
        </w:rPr>
      </w:pPr>
    </w:p>
    <w:p w14:paraId="05CE3825" w14:textId="77777777" w:rsidR="00F41911" w:rsidRDefault="00FE087E">
      <w:pPr>
        <w:pStyle w:val="BodyText"/>
        <w:ind w:left="120" w:right="186" w:firstLine="720"/>
      </w:pPr>
      <w:r>
        <w:t>Specifically, we are launching a rulemaking that will explore technical changes to our rules for the 60 GHz band to create more opportunities for higher power radar use.  At the same time, we are taking steps to ensure that all this new innovation can coexist with other services already making use of this spectrum, like WiGig. To this end, a broad group of stakeholders with interests in unlicensed technology and communications device systems have been meeting and discussing these matters under the auspices of the 60 GHz Coexistence Study Group. This rulemaking benefits immensely from their efforts.  In fact, many of the questions we ask today are informed by their work and we are grateful for it.</w:t>
      </w:r>
    </w:p>
    <w:p w14:paraId="534C8562" w14:textId="77777777" w:rsidR="00F41911" w:rsidRDefault="00F41911">
      <w:pPr>
        <w:pStyle w:val="BodyText"/>
        <w:spacing w:before="11"/>
        <w:rPr>
          <w:sz w:val="21"/>
        </w:rPr>
      </w:pPr>
    </w:p>
    <w:p w14:paraId="39A5E54E" w14:textId="77777777" w:rsidR="00F41911" w:rsidRDefault="00FE087E">
      <w:pPr>
        <w:pStyle w:val="BodyText"/>
        <w:ind w:left="120" w:right="113" w:firstLine="720"/>
      </w:pPr>
      <w:r>
        <w:t>I am also grateful to the team who worked on this creative effort to expand the use of unlicensed airwaves, including Damian Ariza, Bahman Badipour, David Duarte, Michael Ha, Kevin Holmes, Steve Jones, Ira Keltz, Nicholas Oros, Siobahn Philemon, Jamison Prime, Ronald Repasi, Hugh VanTuyl, and Anh Wride from the Office of Engineering and Technology; Catherine Schroeder, Jessica Quinley, and Joel Taubenblatt from the Wireless Telecommunications Bureau; Patrick Brogan, Jonathan Campbell, Rachel Kazan, Giulia McHenry, Michelle Schaefer, Donald Stockdale, and Patrick Sun from the Office of Economics and Analytics; Deborah Broderson, David Horowitz, and Bill Richardson from the Office of General Counsel; and Maura McGowan from the Office of Communications Business Opportunities.</w:t>
      </w:r>
    </w:p>
    <w:p w14:paraId="2C5ABFF9" w14:textId="77777777" w:rsidR="00F41911" w:rsidRDefault="00F41911">
      <w:pPr>
        <w:sectPr w:rsidR="00F41911">
          <w:pgSz w:w="12240" w:h="15840"/>
          <w:pgMar w:top="980" w:right="1320" w:bottom="960" w:left="1320" w:header="729" w:footer="713" w:gutter="0"/>
          <w:cols w:space="720"/>
        </w:sectPr>
      </w:pPr>
    </w:p>
    <w:p w14:paraId="308376BE" w14:textId="77777777" w:rsidR="00F41911" w:rsidRDefault="00F41911">
      <w:pPr>
        <w:pStyle w:val="BodyText"/>
        <w:rPr>
          <w:sz w:val="20"/>
        </w:rPr>
      </w:pPr>
    </w:p>
    <w:p w14:paraId="3E6F3535" w14:textId="77777777" w:rsidR="00F41911" w:rsidRDefault="00F41911">
      <w:pPr>
        <w:pStyle w:val="BodyText"/>
        <w:spacing w:before="6"/>
      </w:pPr>
    </w:p>
    <w:p w14:paraId="4B591875" w14:textId="77777777" w:rsidR="00F41911" w:rsidRDefault="00FE087E">
      <w:pPr>
        <w:pStyle w:val="Heading1"/>
        <w:ind w:left="2984" w:right="2965" w:firstLine="944"/>
      </w:pPr>
      <w:r>
        <w:t>STATEMENT OF COMMISSIONER BRENDAN CARR</w:t>
      </w:r>
    </w:p>
    <w:p w14:paraId="340C110E" w14:textId="77777777" w:rsidR="00F41911" w:rsidRDefault="00F41911">
      <w:pPr>
        <w:pStyle w:val="BodyText"/>
        <w:spacing w:before="11"/>
        <w:rPr>
          <w:b/>
          <w:sz w:val="21"/>
        </w:rPr>
      </w:pPr>
    </w:p>
    <w:p w14:paraId="4DF703AD" w14:textId="77777777" w:rsidR="00F41911" w:rsidRDefault="00FE087E">
      <w:pPr>
        <w:tabs>
          <w:tab w:val="left" w:pos="839"/>
        </w:tabs>
        <w:ind w:left="120"/>
        <w:rPr>
          <w:i/>
        </w:rPr>
      </w:pPr>
      <w:r>
        <w:t>Re:</w:t>
      </w:r>
      <w:r>
        <w:tab/>
      </w:r>
      <w:r>
        <w:rPr>
          <w:i/>
        </w:rPr>
        <w:t>Amendment of Section 15.255 of the Commission’s Rules</w:t>
      </w:r>
      <w:r>
        <w:t>, ET Docket No.</w:t>
      </w:r>
      <w:r>
        <w:rPr>
          <w:spacing w:val="-12"/>
        </w:rPr>
        <w:t xml:space="preserve"> </w:t>
      </w:r>
      <w:r>
        <w:t>21-264</w:t>
      </w:r>
      <w:r>
        <w:rPr>
          <w:i/>
        </w:rPr>
        <w:t>.</w:t>
      </w:r>
    </w:p>
    <w:p w14:paraId="1854E987" w14:textId="77777777" w:rsidR="00F41911" w:rsidRDefault="00F41911">
      <w:pPr>
        <w:pStyle w:val="BodyText"/>
        <w:spacing w:before="11"/>
        <w:rPr>
          <w:i/>
          <w:sz w:val="21"/>
        </w:rPr>
      </w:pPr>
    </w:p>
    <w:p w14:paraId="0C8FA62E" w14:textId="77777777" w:rsidR="00F41911" w:rsidRDefault="00FE087E">
      <w:pPr>
        <w:pStyle w:val="BodyText"/>
        <w:ind w:left="120" w:right="139" w:firstLine="720"/>
      </w:pPr>
      <w:r>
        <w:t>Since 2017, the FCC has made significant progress on opening the airwaves needed for next- generation services, including 5G. By the end of last year, our efforts freed up more than six gigahertz of spectrum for licensed use in addition to thousands of megahertz for unlicensed use. So I am pleased that we are starting another spectrum proceeding today that will look at authorizing new and innovative use cases in the 60 GHz range.</w:t>
      </w:r>
    </w:p>
    <w:p w14:paraId="7DE6E6C8" w14:textId="77777777" w:rsidR="00F41911" w:rsidRDefault="00F41911">
      <w:pPr>
        <w:pStyle w:val="BodyText"/>
        <w:spacing w:before="11"/>
        <w:rPr>
          <w:sz w:val="21"/>
        </w:rPr>
      </w:pPr>
    </w:p>
    <w:p w14:paraId="1E309014" w14:textId="77777777" w:rsidR="00F41911" w:rsidRDefault="00FE087E">
      <w:pPr>
        <w:pStyle w:val="BodyText"/>
        <w:ind w:left="120" w:right="227" w:firstLine="720"/>
      </w:pPr>
      <w:r>
        <w:t>Of course, there is much more work ahead to maintain U.S. leadership in wireless. One of the challenges we faced back in 2017 was the absence of mid-band spectrum in the pipeline. So we went to work and put a plan in place to turn things around.</w:t>
      </w:r>
    </w:p>
    <w:p w14:paraId="481407D6" w14:textId="77777777" w:rsidR="00F41911" w:rsidRDefault="00F41911">
      <w:pPr>
        <w:pStyle w:val="BodyText"/>
        <w:spacing w:before="11"/>
        <w:rPr>
          <w:sz w:val="21"/>
        </w:rPr>
      </w:pPr>
    </w:p>
    <w:p w14:paraId="437D7BE7" w14:textId="77777777" w:rsidR="00F41911" w:rsidRDefault="00FE087E">
      <w:pPr>
        <w:pStyle w:val="BodyText"/>
        <w:ind w:left="840"/>
      </w:pPr>
      <w:r>
        <w:t>We held the first auction of mid-band spectrum in 2020 with 70 MHz worth of spectrum in the</w:t>
      </w:r>
    </w:p>
    <w:p w14:paraId="40071A9E" w14:textId="77777777" w:rsidR="00F41911" w:rsidRDefault="00FE087E">
      <w:pPr>
        <w:pStyle w:val="BodyText"/>
        <w:ind w:left="120" w:right="139"/>
      </w:pPr>
      <w:r>
        <w:t>3.5 GHz band. At 2.5 GHz, we transformed the rules governing nearly 200 MHz worth of this mid-band spectrum to support 5G builds and teed up over 100 MHz for auction. At 4.9 GHz, we modernized the regulation of a 50 MHz swath of spectrum. In the L Band, we authorized 30 MHz of spectrum for 5G and IoT. At 5.9 GHz, we opened up 45 megahertz for unlicensed. Plus, we pushed out an additional 1,200 MHz for unlicensed in the 6 GHz band.  And of course, there’s the Big Kahuna, C Band, where we cleared 280 MHz of sought-after mid-band</w:t>
      </w:r>
      <w:r>
        <w:rPr>
          <w:spacing w:val="-9"/>
        </w:rPr>
        <w:t xml:space="preserve"> </w:t>
      </w:r>
      <w:r>
        <w:t>spectrum.</w:t>
      </w:r>
    </w:p>
    <w:p w14:paraId="6B950719" w14:textId="77777777" w:rsidR="00F41911" w:rsidRDefault="00F41911">
      <w:pPr>
        <w:pStyle w:val="BodyText"/>
      </w:pPr>
    </w:p>
    <w:p w14:paraId="4F3E32E8" w14:textId="77777777" w:rsidR="00F41911" w:rsidRDefault="00FE087E">
      <w:pPr>
        <w:pStyle w:val="BodyText"/>
        <w:ind w:left="120" w:right="227" w:firstLine="720"/>
      </w:pPr>
      <w:r>
        <w:t>These were not all walks in the park. In many cases, these were spectrum bands that prior FCCs took a pass on. Not because the bands were unsuited for next-gen wireless services, but because moving forward meant taking political heat for doing the right thing. In fact, we would still be hundreds of megahertz behind and stuck in neutral while our global counterparts passed us by if we had heeded the calls for inaction by some in Washington.</w:t>
      </w:r>
    </w:p>
    <w:p w14:paraId="2033CC9E" w14:textId="77777777" w:rsidR="00F41911" w:rsidRDefault="00F41911">
      <w:pPr>
        <w:pStyle w:val="BodyText"/>
        <w:spacing w:before="11"/>
        <w:rPr>
          <w:sz w:val="21"/>
        </w:rPr>
      </w:pPr>
    </w:p>
    <w:p w14:paraId="7E3D972C" w14:textId="77777777" w:rsidR="00F41911" w:rsidRDefault="00FE087E">
      <w:pPr>
        <w:pStyle w:val="BodyText"/>
        <w:ind w:left="120" w:right="278" w:firstLine="720"/>
      </w:pPr>
      <w:r>
        <w:t>So we need to be clear eyed about our spectrum policy going forward. For the U.S. to extend its leadership, the FCC needs to match the pace and cadence we hit over the past few years on spectrum auctions and authorizations. The challenge today is not an empty spectrum cupboard, it is making sure we maintain the progress we’ve been making.</w:t>
      </w:r>
    </w:p>
    <w:p w14:paraId="1BDD61A8" w14:textId="77777777" w:rsidR="00F41911" w:rsidRDefault="00F41911">
      <w:pPr>
        <w:pStyle w:val="BodyText"/>
        <w:spacing w:before="11"/>
        <w:rPr>
          <w:sz w:val="21"/>
        </w:rPr>
      </w:pPr>
    </w:p>
    <w:p w14:paraId="16F82873" w14:textId="77777777" w:rsidR="00F41911" w:rsidRDefault="00FE087E">
      <w:pPr>
        <w:pStyle w:val="BodyText"/>
        <w:ind w:left="120" w:right="227" w:firstLine="720"/>
      </w:pPr>
      <w:r>
        <w:t>That is why I released a spectrum calendar back in March.</w:t>
      </w:r>
      <w:r>
        <w:rPr>
          <w:position w:val="6"/>
          <w:sz w:val="13"/>
        </w:rPr>
        <w:t xml:space="preserve">18 </w:t>
      </w:r>
      <w:r>
        <w:t>Hitting those milestones will ensure the U.S. stays on track. And there are several spectrum actions I highlighted for the FCC to accomplish this year.</w:t>
      </w:r>
    </w:p>
    <w:p w14:paraId="49348304" w14:textId="77777777" w:rsidR="00F41911" w:rsidRDefault="00F41911">
      <w:pPr>
        <w:pStyle w:val="BodyText"/>
        <w:spacing w:before="11"/>
        <w:rPr>
          <w:sz w:val="21"/>
        </w:rPr>
      </w:pPr>
    </w:p>
    <w:p w14:paraId="7E9315FA" w14:textId="77777777" w:rsidR="00F41911" w:rsidRDefault="00FE087E">
      <w:pPr>
        <w:pStyle w:val="BodyText"/>
        <w:ind w:left="120" w:right="139" w:firstLine="720"/>
      </w:pPr>
      <w:r>
        <w:t>For one, we should ensure the 3.45 GHz auction stays on track. While we have now locked in an October start date, which is good news, we should ensure productive collaboration between federal users and prospective bidders over the next few weeks to ensure a successful auction. For another, we should auction the remaining 2.5 GHz licenses before the end of this year. We teed up a 2021 auction through a public notice that we released in early January, and getting this done would unlock another 100+ megahertz of prime mid-band spectrum.</w:t>
      </w:r>
    </w:p>
    <w:p w14:paraId="6BBF1CBE" w14:textId="77777777" w:rsidR="00F41911" w:rsidRDefault="00F41911">
      <w:pPr>
        <w:pStyle w:val="BodyText"/>
        <w:spacing w:before="11"/>
        <w:rPr>
          <w:sz w:val="21"/>
        </w:rPr>
      </w:pPr>
    </w:p>
    <w:p w14:paraId="1DBE87DB" w14:textId="5154065E" w:rsidR="00F41911" w:rsidRDefault="00FE087E">
      <w:pPr>
        <w:pStyle w:val="BodyText"/>
        <w:ind w:left="120" w:right="319" w:firstLine="720"/>
      </w:pPr>
      <w:r>
        <w:t xml:space="preserve">The FCC should also start a proceeding this year that explores new opportunities for unlicensed operations in the U-NII-2C band (5470-5725 MHz)—including for very low power operations. We should </w:t>
      </w:r>
      <w:r w:rsidR="009D38B3" w:rsidRPr="009D38B3">
        <w:rPr>
          <w:highlight w:val="yellow"/>
        </w:rPr>
        <w:t>seek comment</w:t>
      </w:r>
      <w:r>
        <w:t xml:space="preserve"> this year, too, on increasing the power levels for CBRS operations in the 3.5 GHz</w:t>
      </w:r>
    </w:p>
    <w:p w14:paraId="316EA684" w14:textId="77777777" w:rsidR="00F41911" w:rsidRDefault="004D2E02">
      <w:pPr>
        <w:pStyle w:val="BodyText"/>
        <w:spacing w:before="9"/>
        <w:rPr>
          <w:sz w:val="28"/>
        </w:rPr>
      </w:pPr>
      <w:r>
        <w:pict w14:anchorId="09B5289C">
          <v:line id="_x0000_s1026" style="position:absolute;z-index:251670016;mso-wrap-distance-left:0;mso-wrap-distance-right:0;mso-position-horizontal-relative:page" from="1in,18.9pt" to="215.5pt,18.9pt" strokeweight=".72pt">
            <w10:wrap type="topAndBottom" anchorx="page"/>
          </v:line>
        </w:pict>
      </w:r>
    </w:p>
    <w:p w14:paraId="7CF6D424" w14:textId="77777777" w:rsidR="00F41911" w:rsidRDefault="00FE087E">
      <w:pPr>
        <w:pStyle w:val="BodyText"/>
        <w:spacing w:before="69"/>
        <w:ind w:left="120"/>
      </w:pPr>
      <w:r>
        <w:rPr>
          <w:position w:val="6"/>
          <w:sz w:val="13"/>
        </w:rPr>
        <w:t xml:space="preserve">18 </w:t>
      </w:r>
      <w:r>
        <w:t xml:space="preserve">Keynote Remarks of FCC Commissioner Brendan Carr, Extending America’s 5G Leadership (Mar. 15, 2021) </w:t>
      </w:r>
      <w:hyperlink r:id="rId51">
        <w:r>
          <w:rPr>
            <w:color w:val="0000FF"/>
            <w:u w:val="single" w:color="0000FF"/>
          </w:rPr>
          <w:t>https://docs.fcc.gov/public/attachments/DOC-370781A1.pdf</w:t>
        </w:r>
      </w:hyperlink>
      <w:r>
        <w:t xml:space="preserve">; </w:t>
      </w:r>
      <w:r>
        <w:rPr>
          <w:i/>
        </w:rPr>
        <w:t xml:space="preserve">see also </w:t>
      </w:r>
      <w:hyperlink r:id="rId52">
        <w:r>
          <w:rPr>
            <w:color w:val="0000FF"/>
            <w:u w:val="single" w:color="0000FF"/>
          </w:rPr>
          <w:t>https://twitter.com/BrendanCarrFCC/status/1382080503931617284?s=20</w:t>
        </w:r>
      </w:hyperlink>
      <w:r>
        <w:t>.</w:t>
      </w:r>
    </w:p>
    <w:p w14:paraId="24356024" w14:textId="77777777" w:rsidR="00F41911" w:rsidRDefault="00F41911">
      <w:pPr>
        <w:sectPr w:rsidR="00F41911">
          <w:pgSz w:w="12240" w:h="15840"/>
          <w:pgMar w:top="980" w:right="1320" w:bottom="900" w:left="1320" w:header="729" w:footer="713" w:gutter="0"/>
          <w:cols w:space="720"/>
        </w:sectPr>
      </w:pPr>
    </w:p>
    <w:p w14:paraId="2EB610AF" w14:textId="77777777" w:rsidR="00F41911" w:rsidRDefault="00F41911">
      <w:pPr>
        <w:pStyle w:val="BodyText"/>
        <w:rPr>
          <w:sz w:val="20"/>
        </w:rPr>
      </w:pPr>
    </w:p>
    <w:p w14:paraId="19AAC79E" w14:textId="77777777" w:rsidR="00F41911" w:rsidRDefault="00F41911">
      <w:pPr>
        <w:pStyle w:val="BodyText"/>
        <w:spacing w:before="6"/>
      </w:pPr>
    </w:p>
    <w:p w14:paraId="47B8BB29" w14:textId="77777777" w:rsidR="00F41911" w:rsidRDefault="00FE087E">
      <w:pPr>
        <w:pStyle w:val="BodyText"/>
        <w:ind w:left="120" w:right="227"/>
      </w:pPr>
      <w:r>
        <w:t>band. In fact, next week marks the one-year anniversary of the start of the CBRS auction. Now that the band is being used nationwide, we can use real-world experiences to explore the benefits of raising the power levels to maximize its full potential. Finally, we should adopt an order this year that permits additional uses in the 6 GHz band for very low power devices and device-to-device communications.</w:t>
      </w:r>
    </w:p>
    <w:p w14:paraId="14F0E7AB" w14:textId="77777777" w:rsidR="00F41911" w:rsidRDefault="00F41911">
      <w:pPr>
        <w:pStyle w:val="BodyText"/>
        <w:spacing w:before="11"/>
        <w:rPr>
          <w:sz w:val="21"/>
        </w:rPr>
      </w:pPr>
    </w:p>
    <w:p w14:paraId="78F44171" w14:textId="77777777" w:rsidR="00F41911" w:rsidRDefault="00FE087E">
      <w:pPr>
        <w:pStyle w:val="BodyText"/>
        <w:ind w:left="120" w:right="798" w:firstLine="720"/>
      </w:pPr>
      <w:r>
        <w:t>As I laid out in March, all of that can be done this year and would demonstrate that we are keeping the pedal down on spectrum.</w:t>
      </w:r>
    </w:p>
    <w:p w14:paraId="4D7F8057" w14:textId="77777777" w:rsidR="00F41911" w:rsidRDefault="00F41911">
      <w:pPr>
        <w:pStyle w:val="BodyText"/>
        <w:spacing w:before="11"/>
        <w:rPr>
          <w:sz w:val="21"/>
        </w:rPr>
      </w:pPr>
    </w:p>
    <w:p w14:paraId="2F6B5FD9" w14:textId="77777777" w:rsidR="00F41911" w:rsidRDefault="00FE087E">
      <w:pPr>
        <w:pStyle w:val="BodyText"/>
        <w:ind w:left="120" w:right="498" w:firstLine="720"/>
      </w:pPr>
      <w:r>
        <w:t>The calendar I put out also proposed concrete actions on several additional bands in 2022 and beyond, but I will save some time today and not reiterate those here.</w:t>
      </w:r>
    </w:p>
    <w:p w14:paraId="4548E44B" w14:textId="77777777" w:rsidR="00F41911" w:rsidRDefault="00F41911">
      <w:pPr>
        <w:pStyle w:val="BodyText"/>
        <w:spacing w:before="11"/>
        <w:rPr>
          <w:sz w:val="21"/>
        </w:rPr>
      </w:pPr>
    </w:p>
    <w:p w14:paraId="186AF0A2" w14:textId="77777777" w:rsidR="00F41911" w:rsidRDefault="00FE087E">
      <w:pPr>
        <w:pStyle w:val="BodyText"/>
        <w:ind w:left="120" w:right="227" w:firstLine="720"/>
      </w:pPr>
      <w:r>
        <w:t>So the good news is that we have plenty in the spectrum pipeline. It’s on us at the FCC to make sure we stick to this schedule and get it into the market. I am happy to work my FCC colleagues and stakeholders on proceedings that would do just that.</w:t>
      </w:r>
    </w:p>
    <w:p w14:paraId="599E3318" w14:textId="77777777" w:rsidR="00F41911" w:rsidRDefault="00F41911">
      <w:pPr>
        <w:pStyle w:val="BodyText"/>
        <w:spacing w:before="11"/>
        <w:rPr>
          <w:sz w:val="21"/>
        </w:rPr>
      </w:pPr>
    </w:p>
    <w:p w14:paraId="251AFB0F" w14:textId="77777777" w:rsidR="00F41911" w:rsidRDefault="00FE087E">
      <w:pPr>
        <w:pStyle w:val="BodyText"/>
        <w:ind w:left="120" w:right="119" w:firstLine="720"/>
      </w:pPr>
      <w:r>
        <w:t>As for the spectrum item before us today, I would like to offer my thanks to the staff of the Office of Engineering and Technology for their work on today’s item, as well as Acting Chairwoman Rosenworcel for bring this item forward.  It has my support.</w:t>
      </w:r>
    </w:p>
    <w:p w14:paraId="171E320A" w14:textId="77777777" w:rsidR="00F41911" w:rsidRDefault="00F41911">
      <w:pPr>
        <w:sectPr w:rsidR="00F41911">
          <w:pgSz w:w="12240" w:h="15840"/>
          <w:pgMar w:top="980" w:right="1320" w:bottom="960" w:left="1320" w:header="729" w:footer="713" w:gutter="0"/>
          <w:cols w:space="720"/>
        </w:sectPr>
      </w:pPr>
    </w:p>
    <w:p w14:paraId="7C7256F6" w14:textId="77777777" w:rsidR="00F41911" w:rsidRDefault="00F41911">
      <w:pPr>
        <w:pStyle w:val="BodyText"/>
        <w:rPr>
          <w:sz w:val="20"/>
        </w:rPr>
      </w:pPr>
    </w:p>
    <w:p w14:paraId="497F1773" w14:textId="77777777" w:rsidR="00F41911" w:rsidRDefault="00F41911">
      <w:pPr>
        <w:pStyle w:val="BodyText"/>
        <w:spacing w:before="6"/>
      </w:pPr>
    </w:p>
    <w:p w14:paraId="2BB368D3" w14:textId="77777777" w:rsidR="00F41911" w:rsidRDefault="00FE087E">
      <w:pPr>
        <w:pStyle w:val="Heading1"/>
        <w:ind w:left="2795" w:right="2775" w:firstLine="1133"/>
      </w:pPr>
      <w:r>
        <w:t>STATEMENT OF COMMISSIONER GEOFFREY STARKS</w:t>
      </w:r>
    </w:p>
    <w:p w14:paraId="1CC93C86" w14:textId="77777777" w:rsidR="00F41911" w:rsidRDefault="00F41911">
      <w:pPr>
        <w:pStyle w:val="BodyText"/>
        <w:spacing w:before="11"/>
        <w:rPr>
          <w:b/>
          <w:sz w:val="21"/>
        </w:rPr>
      </w:pPr>
    </w:p>
    <w:p w14:paraId="6F239A4C" w14:textId="77777777" w:rsidR="00F41911" w:rsidRDefault="00FE087E">
      <w:pPr>
        <w:tabs>
          <w:tab w:val="left" w:pos="839"/>
        </w:tabs>
        <w:ind w:left="120"/>
      </w:pPr>
      <w:r>
        <w:t>Re:</w:t>
      </w:r>
      <w:r>
        <w:tab/>
      </w:r>
      <w:r>
        <w:rPr>
          <w:i/>
        </w:rPr>
        <w:t>Amendment of Section 15.255 of the Commission’s Rules</w:t>
      </w:r>
      <w:r>
        <w:t>, ET Docket No.</w:t>
      </w:r>
      <w:r>
        <w:rPr>
          <w:spacing w:val="-12"/>
        </w:rPr>
        <w:t xml:space="preserve"> </w:t>
      </w:r>
      <w:r>
        <w:t>21-264.</w:t>
      </w:r>
    </w:p>
    <w:p w14:paraId="43E34999" w14:textId="77777777" w:rsidR="00F41911" w:rsidRDefault="00F41911">
      <w:pPr>
        <w:pStyle w:val="BodyText"/>
        <w:spacing w:before="11"/>
        <w:rPr>
          <w:sz w:val="21"/>
        </w:rPr>
      </w:pPr>
    </w:p>
    <w:p w14:paraId="018B5352" w14:textId="77777777" w:rsidR="00F41911" w:rsidRDefault="00FE087E">
      <w:pPr>
        <w:pStyle w:val="BodyText"/>
        <w:ind w:left="120" w:right="227" w:firstLine="720"/>
      </w:pPr>
      <w:r>
        <w:t>It’s astonishing how quickly cutting-edge technology can move from the drawing board to become part of our daily lives. Like many technologies that have come before it, from the automobile to the smartphone, advancements in field disturbance radar technology have the potential to transform how consumers interact with their environments and each other on a regular basis.</w:t>
      </w:r>
    </w:p>
    <w:p w14:paraId="59081102" w14:textId="77777777" w:rsidR="00F41911" w:rsidRDefault="00F41911">
      <w:pPr>
        <w:pStyle w:val="BodyText"/>
        <w:spacing w:before="11"/>
        <w:rPr>
          <w:sz w:val="21"/>
        </w:rPr>
      </w:pPr>
    </w:p>
    <w:p w14:paraId="2581579D" w14:textId="77777777" w:rsidR="00F41911" w:rsidRDefault="00FE087E">
      <w:pPr>
        <w:pStyle w:val="BodyText"/>
        <w:ind w:left="120" w:right="155" w:firstLine="720"/>
      </w:pPr>
      <w:r>
        <w:t>Field disturbance radars have already been approved to detect children left unattended in the backseat of a vehicle.  Once deployed, this technology could save dozens of young lives each year.  As this technology advances, moreover, it has the potential to contribute to other innovative lifesaving and life-enhancing functions, including the monitoring of vulnerable medical patients, increasing home automation, the creation of accessible interfaces for persons with disabilities, and the development of new personal safety devices.</w:t>
      </w:r>
    </w:p>
    <w:p w14:paraId="6E0AF7D3" w14:textId="77777777" w:rsidR="00F41911" w:rsidRDefault="00F41911">
      <w:pPr>
        <w:pStyle w:val="BodyText"/>
        <w:spacing w:before="11"/>
        <w:rPr>
          <w:sz w:val="21"/>
        </w:rPr>
      </w:pPr>
    </w:p>
    <w:p w14:paraId="35D25908" w14:textId="77777777" w:rsidR="00F41911" w:rsidRDefault="00FE087E">
      <w:pPr>
        <w:pStyle w:val="BodyText"/>
        <w:ind w:left="120" w:right="227" w:firstLine="720"/>
      </w:pPr>
      <w:r>
        <w:t>The Commission is responsible for ensuring that our regulations encourage innovation while protecting the interests of consumers and existing services. These proposed rules do just that, allowing broader use of the 60 GHz band for the development of mobile radar with the assurance that it won’t disrupt existing spectrum users. I look forward to reviewing the comments in response to this Notice of Proposed Rulemaking, which will hopefully pave the way for additional innovation and technological radar developments that can make consumers’ lives safer and easier.</w:t>
      </w:r>
    </w:p>
    <w:p w14:paraId="61AE59A7" w14:textId="77777777" w:rsidR="00F41911" w:rsidRDefault="00F41911">
      <w:pPr>
        <w:pStyle w:val="BodyText"/>
        <w:spacing w:before="11"/>
        <w:rPr>
          <w:sz w:val="21"/>
        </w:rPr>
      </w:pPr>
    </w:p>
    <w:p w14:paraId="78B23C06" w14:textId="77777777" w:rsidR="00F41911" w:rsidRDefault="00FE087E">
      <w:pPr>
        <w:pStyle w:val="BodyText"/>
        <w:ind w:left="840"/>
      </w:pPr>
      <w:r>
        <w:t>Thank to you the staff of the Office of Engineering and Technology for their work on this item.</w:t>
      </w:r>
    </w:p>
    <w:sectPr w:rsidR="00F41911">
      <w:pgSz w:w="12240" w:h="15840"/>
      <w:pgMar w:top="980" w:right="1320" w:bottom="960" w:left="1320" w:header="729"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4676" w14:textId="77777777" w:rsidR="004D2E02" w:rsidRDefault="004D2E02">
      <w:r>
        <w:separator/>
      </w:r>
    </w:p>
  </w:endnote>
  <w:endnote w:type="continuationSeparator" w:id="0">
    <w:p w14:paraId="60EF6A36" w14:textId="77777777" w:rsidR="004D2E02" w:rsidRDefault="004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A2D4" w14:textId="77777777" w:rsidR="00F41911" w:rsidRDefault="004D2E02">
    <w:pPr>
      <w:pStyle w:val="BodyText"/>
      <w:spacing w:line="14" w:lineRule="auto"/>
      <w:rPr>
        <w:sz w:val="19"/>
      </w:rPr>
    </w:pPr>
    <w:r>
      <w:pict w14:anchorId="3FD3613D">
        <v:shapetype id="_x0000_t202" coordsize="21600,21600" o:spt="202" path="m,l,21600r21600,l21600,xe">
          <v:stroke joinstyle="miter"/>
          <v:path gradientshapeok="t" o:connecttype="rect"/>
        </v:shapetype>
        <v:shape id="_x0000_s2052" type="#_x0000_t202" style="position:absolute;margin-left:298.5pt;margin-top:742.8pt;width:15pt;height:14.2pt;z-index:-19840;mso-position-horizontal-relative:page;mso-position-vertical-relative:page" filled="f" stroked="f">
          <v:textbox inset="0,0,0,0">
            <w:txbxContent>
              <w:p w14:paraId="22854B2A" w14:textId="77777777" w:rsidR="00F41911" w:rsidRDefault="00FE087E">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4EE3" w14:textId="77777777" w:rsidR="00F41911" w:rsidRDefault="004D2E02">
    <w:pPr>
      <w:pStyle w:val="BodyText"/>
      <w:spacing w:line="14" w:lineRule="auto"/>
      <w:rPr>
        <w:sz w:val="20"/>
      </w:rPr>
    </w:pPr>
    <w:r>
      <w:pict w14:anchorId="2B4634EF">
        <v:shapetype id="_x0000_t202" coordsize="21600,21600" o:spt="202" path="m,l,21600r21600,l21600,xe">
          <v:stroke joinstyle="miter"/>
          <v:path gradientshapeok="t" o:connecttype="rect"/>
        </v:shapetype>
        <v:shape id="_x0000_s2051" type="#_x0000_t202" style="position:absolute;margin-left:480.4pt;margin-top:731.3pt;width:60.6pt;height:13.1pt;z-index:-19816;mso-position-horizontal-relative:page;mso-position-vertical-relative:page" filled="f" stroked="f">
          <v:textbox inset="0,0,0,0">
            <w:txbxContent>
              <w:p w14:paraId="3BDE1A8E" w14:textId="77777777" w:rsidR="00F41911" w:rsidRDefault="00FE087E">
                <w:pPr>
                  <w:spacing w:before="11"/>
                  <w:ind w:left="20"/>
                  <w:rPr>
                    <w:sz w:val="20"/>
                  </w:rPr>
                </w:pPr>
                <w:r>
                  <w:rPr>
                    <w:sz w:val="20"/>
                  </w:rPr>
                  <w:t>(continued….)</w:t>
                </w:r>
              </w:p>
            </w:txbxContent>
          </v:textbox>
          <w10:wrap anchorx="page" anchory="page"/>
        </v:shape>
      </w:pict>
    </w:r>
    <w:r>
      <w:pict w14:anchorId="3F697989">
        <v:shape id="_x0000_s2050" type="#_x0000_t202" style="position:absolute;margin-left:298.5pt;margin-top:742.8pt;width:15pt;height:14.2pt;z-index:-19792;mso-position-horizontal-relative:page;mso-position-vertical-relative:page" filled="f" stroked="f">
          <v:textbox inset="0,0,0,0">
            <w:txbxContent>
              <w:p w14:paraId="6626237A" w14:textId="77777777" w:rsidR="00F41911" w:rsidRDefault="00FE087E">
                <w:pPr>
                  <w:pStyle w:val="BodyText"/>
                  <w:spacing w:before="10"/>
                  <w:ind w:left="40"/>
                </w:pPr>
                <w:r>
                  <w:fldChar w:fldCharType="begin"/>
                </w:r>
                <w:r>
                  <w:instrText xml:space="preserve"> PAGE </w:instrText>
                </w:r>
                <w:r>
                  <w:fldChar w:fldCharType="separate"/>
                </w:r>
                <w:r>
                  <w:t>15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110F" w14:textId="77777777" w:rsidR="00F41911" w:rsidRDefault="004D2E02">
    <w:pPr>
      <w:pStyle w:val="BodyText"/>
      <w:spacing w:line="14" w:lineRule="auto"/>
      <w:rPr>
        <w:sz w:val="19"/>
      </w:rPr>
    </w:pPr>
    <w:r>
      <w:pict w14:anchorId="4C6845E6">
        <v:shapetype id="_x0000_t202" coordsize="21600,21600" o:spt="202" path="m,l,21600r21600,l21600,xe">
          <v:stroke joinstyle="miter"/>
          <v:path gradientshapeok="t" o:connecttype="rect"/>
        </v:shapetype>
        <v:shape id="_x0000_s2049" type="#_x0000_t202" style="position:absolute;margin-left:298.5pt;margin-top:742.8pt;width:15pt;height:14.2pt;z-index:-19768;mso-position-horizontal-relative:page;mso-position-vertical-relative:page" filled="f" stroked="f">
          <v:textbox inset="0,0,0,0">
            <w:txbxContent>
              <w:p w14:paraId="10B1E37B" w14:textId="77777777" w:rsidR="00F41911" w:rsidRDefault="00FE087E">
                <w:pPr>
                  <w:pStyle w:val="BodyText"/>
                  <w:spacing w:before="10"/>
                  <w:ind w:left="40"/>
                </w:pPr>
                <w:r>
                  <w:fldChar w:fldCharType="begin"/>
                </w:r>
                <w:r>
                  <w:instrText xml:space="preserve"> PAGE </w:instrText>
                </w:r>
                <w:r>
                  <w:fldChar w:fldCharType="separate"/>
                </w:r>
                <w:r>
                  <w:t>26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45D7" w14:textId="77777777" w:rsidR="004D2E02" w:rsidRDefault="004D2E02">
      <w:r>
        <w:separator/>
      </w:r>
    </w:p>
  </w:footnote>
  <w:footnote w:type="continuationSeparator" w:id="0">
    <w:p w14:paraId="2632BC43" w14:textId="77777777" w:rsidR="004D2E02" w:rsidRDefault="004D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F8B7" w14:textId="77777777" w:rsidR="00F41911" w:rsidRDefault="004D2E02">
    <w:pPr>
      <w:pStyle w:val="BodyText"/>
      <w:spacing w:line="14" w:lineRule="auto"/>
      <w:rPr>
        <w:sz w:val="20"/>
      </w:rPr>
    </w:pPr>
    <w:r>
      <w:pict w14:anchorId="13C7AE28">
        <v:line id="_x0000_s2055" style="position:absolute;z-index:-19912;mso-position-horizontal-relative:page;mso-position-vertical-relative:page" from="72.6pt,49.1pt" to="540.6pt,49.1pt" strokeweight=".95pt">
          <w10:wrap anchorx="page" anchory="page"/>
        </v:line>
      </w:pict>
    </w:r>
    <w:r>
      <w:pict w14:anchorId="6E710022">
        <v:shapetype id="_x0000_t202" coordsize="21600,21600" o:spt="202" path="m,l,21600r21600,l21600,xe">
          <v:stroke joinstyle="miter"/>
          <v:path gradientshapeok="t" o:connecttype="rect"/>
        </v:shapetype>
        <v:shape id="_x0000_s2054" type="#_x0000_t202" style="position:absolute;margin-left:215.15pt;margin-top:35.45pt;width:181.65pt;height:14.2pt;z-index:-19888;mso-position-horizontal-relative:page;mso-position-vertical-relative:page" filled="f" stroked="f">
          <v:textbox inset="0,0,0,0">
            <w:txbxContent>
              <w:p w14:paraId="574E6D2F" w14:textId="77777777" w:rsidR="00F41911" w:rsidRDefault="00FE087E">
                <w:pPr>
                  <w:spacing w:before="10"/>
                  <w:ind w:left="20"/>
                  <w:rPr>
                    <w:b/>
                  </w:rPr>
                </w:pPr>
                <w:r>
                  <w:rPr>
                    <w:b/>
                  </w:rPr>
                  <w:t>Federal Communications Commission</w:t>
                </w:r>
              </w:p>
            </w:txbxContent>
          </v:textbox>
          <w10:wrap anchorx="page" anchory="page"/>
        </v:shape>
      </w:pict>
    </w:r>
    <w:r>
      <w:pict w14:anchorId="001EFCC2">
        <v:shape id="_x0000_s2053" type="#_x0000_t202" style="position:absolute;margin-left:488pt;margin-top:35.45pt;width:53.05pt;height:14.2pt;z-index:-19864;mso-position-horizontal-relative:page;mso-position-vertical-relative:page" filled="f" stroked="f">
          <v:textbox inset="0,0,0,0">
            <w:txbxContent>
              <w:p w14:paraId="2AFAEF6F" w14:textId="77777777" w:rsidR="00F41911" w:rsidRDefault="00FE087E">
                <w:pPr>
                  <w:spacing w:before="10"/>
                  <w:ind w:left="20"/>
                  <w:rPr>
                    <w:b/>
                  </w:rPr>
                </w:pPr>
                <w:r>
                  <w:rPr>
                    <w:b/>
                  </w:rPr>
                  <w:t>FCC 21-83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74"/>
    <w:multiLevelType w:val="hybridMultilevel"/>
    <w:tmpl w:val="D800353A"/>
    <w:lvl w:ilvl="0" w:tplc="7806F784">
      <w:start w:val="3"/>
      <w:numFmt w:val="decimal"/>
      <w:lvlText w:val="%1."/>
      <w:lvlJc w:val="left"/>
      <w:pPr>
        <w:ind w:left="120" w:hanging="721"/>
        <w:jc w:val="left"/>
      </w:pPr>
      <w:rPr>
        <w:rFonts w:ascii="Times New Roman" w:eastAsia="Times New Roman" w:hAnsi="Times New Roman" w:cs="Times New Roman" w:hint="default"/>
        <w:spacing w:val="-1"/>
        <w:w w:val="100"/>
        <w:sz w:val="22"/>
        <w:szCs w:val="22"/>
      </w:rPr>
    </w:lvl>
    <w:lvl w:ilvl="1" w:tplc="3BA4562E">
      <w:numFmt w:val="bullet"/>
      <w:lvlText w:val="•"/>
      <w:lvlJc w:val="left"/>
      <w:pPr>
        <w:ind w:left="1070" w:hanging="721"/>
      </w:pPr>
      <w:rPr>
        <w:rFonts w:hint="default"/>
      </w:rPr>
    </w:lvl>
    <w:lvl w:ilvl="2" w:tplc="8D92B538">
      <w:numFmt w:val="bullet"/>
      <w:lvlText w:val="•"/>
      <w:lvlJc w:val="left"/>
      <w:pPr>
        <w:ind w:left="2020" w:hanging="721"/>
      </w:pPr>
      <w:rPr>
        <w:rFonts w:hint="default"/>
      </w:rPr>
    </w:lvl>
    <w:lvl w:ilvl="3" w:tplc="D3B421B0">
      <w:numFmt w:val="bullet"/>
      <w:lvlText w:val="•"/>
      <w:lvlJc w:val="left"/>
      <w:pPr>
        <w:ind w:left="2970" w:hanging="721"/>
      </w:pPr>
      <w:rPr>
        <w:rFonts w:hint="default"/>
      </w:rPr>
    </w:lvl>
    <w:lvl w:ilvl="4" w:tplc="AA144ECA">
      <w:numFmt w:val="bullet"/>
      <w:lvlText w:val="•"/>
      <w:lvlJc w:val="left"/>
      <w:pPr>
        <w:ind w:left="3920" w:hanging="721"/>
      </w:pPr>
      <w:rPr>
        <w:rFonts w:hint="default"/>
      </w:rPr>
    </w:lvl>
    <w:lvl w:ilvl="5" w:tplc="22E28C70">
      <w:numFmt w:val="bullet"/>
      <w:lvlText w:val="•"/>
      <w:lvlJc w:val="left"/>
      <w:pPr>
        <w:ind w:left="4870" w:hanging="721"/>
      </w:pPr>
      <w:rPr>
        <w:rFonts w:hint="default"/>
      </w:rPr>
    </w:lvl>
    <w:lvl w:ilvl="6" w:tplc="20CA5022">
      <w:numFmt w:val="bullet"/>
      <w:lvlText w:val="•"/>
      <w:lvlJc w:val="left"/>
      <w:pPr>
        <w:ind w:left="5820" w:hanging="721"/>
      </w:pPr>
      <w:rPr>
        <w:rFonts w:hint="default"/>
      </w:rPr>
    </w:lvl>
    <w:lvl w:ilvl="7" w:tplc="7C044BF8">
      <w:numFmt w:val="bullet"/>
      <w:lvlText w:val="•"/>
      <w:lvlJc w:val="left"/>
      <w:pPr>
        <w:ind w:left="6770" w:hanging="721"/>
      </w:pPr>
      <w:rPr>
        <w:rFonts w:hint="default"/>
      </w:rPr>
    </w:lvl>
    <w:lvl w:ilvl="8" w:tplc="C8D4F5F0">
      <w:numFmt w:val="bullet"/>
      <w:lvlText w:val="•"/>
      <w:lvlJc w:val="left"/>
      <w:pPr>
        <w:ind w:left="7720" w:hanging="721"/>
      </w:pPr>
      <w:rPr>
        <w:rFonts w:hint="default"/>
      </w:rPr>
    </w:lvl>
  </w:abstractNum>
  <w:abstractNum w:abstractNumId="1" w15:restartNumberingAfterBreak="0">
    <w:nsid w:val="06B57590"/>
    <w:multiLevelType w:val="hybridMultilevel"/>
    <w:tmpl w:val="B316F536"/>
    <w:lvl w:ilvl="0" w:tplc="A41A073A">
      <w:start w:val="3"/>
      <w:numFmt w:val="lowerLetter"/>
      <w:lvlText w:val="(%1)"/>
      <w:lvlJc w:val="left"/>
      <w:pPr>
        <w:ind w:left="120" w:hanging="300"/>
        <w:jc w:val="left"/>
      </w:pPr>
      <w:rPr>
        <w:rFonts w:ascii="Times New Roman" w:eastAsia="Times New Roman" w:hAnsi="Times New Roman" w:cs="Times New Roman" w:hint="default"/>
        <w:spacing w:val="-1"/>
        <w:w w:val="100"/>
        <w:sz w:val="22"/>
        <w:szCs w:val="22"/>
      </w:rPr>
    </w:lvl>
    <w:lvl w:ilvl="1" w:tplc="8E085684">
      <w:start w:val="1"/>
      <w:numFmt w:val="decimal"/>
      <w:lvlText w:val="(%2)"/>
      <w:lvlJc w:val="left"/>
      <w:pPr>
        <w:ind w:left="120" w:hanging="312"/>
        <w:jc w:val="left"/>
      </w:pPr>
      <w:rPr>
        <w:rFonts w:ascii="Times New Roman" w:eastAsia="Times New Roman" w:hAnsi="Times New Roman" w:cs="Times New Roman" w:hint="default"/>
        <w:spacing w:val="-1"/>
        <w:w w:val="100"/>
        <w:sz w:val="22"/>
        <w:szCs w:val="22"/>
      </w:rPr>
    </w:lvl>
    <w:lvl w:ilvl="2" w:tplc="5870380E">
      <w:numFmt w:val="bullet"/>
      <w:lvlText w:val="•"/>
      <w:lvlJc w:val="left"/>
      <w:pPr>
        <w:ind w:left="2016" w:hanging="312"/>
      </w:pPr>
      <w:rPr>
        <w:rFonts w:hint="default"/>
      </w:rPr>
    </w:lvl>
    <w:lvl w:ilvl="3" w:tplc="F2427404">
      <w:numFmt w:val="bullet"/>
      <w:lvlText w:val="•"/>
      <w:lvlJc w:val="left"/>
      <w:pPr>
        <w:ind w:left="2964" w:hanging="312"/>
      </w:pPr>
      <w:rPr>
        <w:rFonts w:hint="default"/>
      </w:rPr>
    </w:lvl>
    <w:lvl w:ilvl="4" w:tplc="4A4CBCFC">
      <w:numFmt w:val="bullet"/>
      <w:lvlText w:val="•"/>
      <w:lvlJc w:val="left"/>
      <w:pPr>
        <w:ind w:left="3912" w:hanging="312"/>
      </w:pPr>
      <w:rPr>
        <w:rFonts w:hint="default"/>
      </w:rPr>
    </w:lvl>
    <w:lvl w:ilvl="5" w:tplc="9F482580">
      <w:numFmt w:val="bullet"/>
      <w:lvlText w:val="•"/>
      <w:lvlJc w:val="left"/>
      <w:pPr>
        <w:ind w:left="4860" w:hanging="312"/>
      </w:pPr>
      <w:rPr>
        <w:rFonts w:hint="default"/>
      </w:rPr>
    </w:lvl>
    <w:lvl w:ilvl="6" w:tplc="0074B59A">
      <w:numFmt w:val="bullet"/>
      <w:lvlText w:val="•"/>
      <w:lvlJc w:val="left"/>
      <w:pPr>
        <w:ind w:left="5808" w:hanging="312"/>
      </w:pPr>
      <w:rPr>
        <w:rFonts w:hint="default"/>
      </w:rPr>
    </w:lvl>
    <w:lvl w:ilvl="7" w:tplc="60D0A2F0">
      <w:numFmt w:val="bullet"/>
      <w:lvlText w:val="•"/>
      <w:lvlJc w:val="left"/>
      <w:pPr>
        <w:ind w:left="6756" w:hanging="312"/>
      </w:pPr>
      <w:rPr>
        <w:rFonts w:hint="default"/>
      </w:rPr>
    </w:lvl>
    <w:lvl w:ilvl="8" w:tplc="7AAEFD12">
      <w:numFmt w:val="bullet"/>
      <w:lvlText w:val="•"/>
      <w:lvlJc w:val="left"/>
      <w:pPr>
        <w:ind w:left="7704" w:hanging="312"/>
      </w:pPr>
      <w:rPr>
        <w:rFonts w:hint="default"/>
      </w:rPr>
    </w:lvl>
  </w:abstractNum>
  <w:abstractNum w:abstractNumId="2" w15:restartNumberingAfterBreak="0">
    <w:nsid w:val="0E5879ED"/>
    <w:multiLevelType w:val="hybridMultilevel"/>
    <w:tmpl w:val="9B2C8CE6"/>
    <w:lvl w:ilvl="0" w:tplc="B4D26E34">
      <w:start w:val="21"/>
      <w:numFmt w:val="decimal"/>
      <w:lvlText w:val="%1."/>
      <w:lvlJc w:val="left"/>
      <w:pPr>
        <w:ind w:left="120" w:hanging="350"/>
        <w:jc w:val="left"/>
      </w:pPr>
      <w:rPr>
        <w:rFonts w:ascii="Times New Roman" w:eastAsia="Times New Roman" w:hAnsi="Times New Roman" w:cs="Times New Roman" w:hint="default"/>
        <w:spacing w:val="-1"/>
        <w:w w:val="100"/>
        <w:sz w:val="20"/>
        <w:szCs w:val="20"/>
      </w:rPr>
    </w:lvl>
    <w:lvl w:ilvl="1" w:tplc="476A15FE">
      <w:start w:val="1"/>
      <w:numFmt w:val="upperLetter"/>
      <w:lvlText w:val="%2."/>
      <w:lvlJc w:val="left"/>
      <w:pPr>
        <w:ind w:left="1560" w:hanging="721"/>
        <w:jc w:val="left"/>
      </w:pPr>
      <w:rPr>
        <w:rFonts w:ascii="Times New Roman" w:eastAsia="Times New Roman" w:hAnsi="Times New Roman" w:cs="Times New Roman" w:hint="default"/>
        <w:b/>
        <w:bCs/>
        <w:spacing w:val="-1"/>
        <w:w w:val="100"/>
        <w:sz w:val="22"/>
        <w:szCs w:val="22"/>
      </w:rPr>
    </w:lvl>
    <w:lvl w:ilvl="2" w:tplc="0A90895E">
      <w:start w:val="1"/>
      <w:numFmt w:val="decimal"/>
      <w:lvlText w:val="%3."/>
      <w:lvlJc w:val="left"/>
      <w:pPr>
        <w:ind w:left="2280" w:hanging="721"/>
        <w:jc w:val="left"/>
      </w:pPr>
      <w:rPr>
        <w:rFonts w:ascii="Times New Roman" w:eastAsia="Times New Roman" w:hAnsi="Times New Roman" w:cs="Times New Roman" w:hint="default"/>
        <w:b/>
        <w:bCs/>
        <w:spacing w:val="-1"/>
        <w:w w:val="100"/>
        <w:sz w:val="22"/>
        <w:szCs w:val="22"/>
      </w:rPr>
    </w:lvl>
    <w:lvl w:ilvl="3" w:tplc="6D945C8C">
      <w:numFmt w:val="bullet"/>
      <w:lvlText w:val="•"/>
      <w:lvlJc w:val="left"/>
      <w:pPr>
        <w:ind w:left="3195" w:hanging="721"/>
      </w:pPr>
      <w:rPr>
        <w:rFonts w:hint="default"/>
      </w:rPr>
    </w:lvl>
    <w:lvl w:ilvl="4" w:tplc="C5109BD8">
      <w:numFmt w:val="bullet"/>
      <w:lvlText w:val="•"/>
      <w:lvlJc w:val="left"/>
      <w:pPr>
        <w:ind w:left="4110" w:hanging="721"/>
      </w:pPr>
      <w:rPr>
        <w:rFonts w:hint="default"/>
      </w:rPr>
    </w:lvl>
    <w:lvl w:ilvl="5" w:tplc="40463644">
      <w:numFmt w:val="bullet"/>
      <w:lvlText w:val="•"/>
      <w:lvlJc w:val="left"/>
      <w:pPr>
        <w:ind w:left="5025" w:hanging="721"/>
      </w:pPr>
      <w:rPr>
        <w:rFonts w:hint="default"/>
      </w:rPr>
    </w:lvl>
    <w:lvl w:ilvl="6" w:tplc="442E2D92">
      <w:numFmt w:val="bullet"/>
      <w:lvlText w:val="•"/>
      <w:lvlJc w:val="left"/>
      <w:pPr>
        <w:ind w:left="5940" w:hanging="721"/>
      </w:pPr>
      <w:rPr>
        <w:rFonts w:hint="default"/>
      </w:rPr>
    </w:lvl>
    <w:lvl w:ilvl="7" w:tplc="89A02A56">
      <w:numFmt w:val="bullet"/>
      <w:lvlText w:val="•"/>
      <w:lvlJc w:val="left"/>
      <w:pPr>
        <w:ind w:left="6855" w:hanging="721"/>
      </w:pPr>
      <w:rPr>
        <w:rFonts w:hint="default"/>
      </w:rPr>
    </w:lvl>
    <w:lvl w:ilvl="8" w:tplc="AF724A48">
      <w:numFmt w:val="bullet"/>
      <w:lvlText w:val="•"/>
      <w:lvlJc w:val="left"/>
      <w:pPr>
        <w:ind w:left="7770" w:hanging="721"/>
      </w:pPr>
      <w:rPr>
        <w:rFonts w:hint="default"/>
      </w:rPr>
    </w:lvl>
  </w:abstractNum>
  <w:abstractNum w:abstractNumId="3" w15:restartNumberingAfterBreak="0">
    <w:nsid w:val="10C764F8"/>
    <w:multiLevelType w:val="hybridMultilevel"/>
    <w:tmpl w:val="7E6EAA32"/>
    <w:lvl w:ilvl="0" w:tplc="B4607054">
      <w:start w:val="19"/>
      <w:numFmt w:val="decimal"/>
      <w:lvlText w:val="%1."/>
      <w:lvlJc w:val="left"/>
      <w:pPr>
        <w:ind w:left="120" w:hanging="721"/>
        <w:jc w:val="left"/>
      </w:pPr>
      <w:rPr>
        <w:rFonts w:ascii="Times New Roman" w:eastAsia="Times New Roman" w:hAnsi="Times New Roman" w:cs="Times New Roman" w:hint="default"/>
        <w:spacing w:val="-1"/>
        <w:w w:val="100"/>
        <w:sz w:val="22"/>
        <w:szCs w:val="22"/>
      </w:rPr>
    </w:lvl>
    <w:lvl w:ilvl="1" w:tplc="C7CEC78A">
      <w:start w:val="1"/>
      <w:numFmt w:val="decimal"/>
      <w:lvlText w:val="%2."/>
      <w:lvlJc w:val="left"/>
      <w:pPr>
        <w:ind w:left="2280" w:hanging="721"/>
        <w:jc w:val="left"/>
      </w:pPr>
      <w:rPr>
        <w:rFonts w:ascii="Times New Roman" w:eastAsia="Times New Roman" w:hAnsi="Times New Roman" w:cs="Times New Roman" w:hint="default"/>
        <w:b/>
        <w:bCs/>
        <w:spacing w:val="-1"/>
        <w:w w:val="100"/>
        <w:sz w:val="22"/>
        <w:szCs w:val="22"/>
      </w:rPr>
    </w:lvl>
    <w:lvl w:ilvl="2" w:tplc="AFFCC974">
      <w:numFmt w:val="bullet"/>
      <w:lvlText w:val="•"/>
      <w:lvlJc w:val="left"/>
      <w:pPr>
        <w:ind w:left="3093" w:hanging="721"/>
      </w:pPr>
      <w:rPr>
        <w:rFonts w:hint="default"/>
      </w:rPr>
    </w:lvl>
    <w:lvl w:ilvl="3" w:tplc="E76E2508">
      <w:numFmt w:val="bullet"/>
      <w:lvlText w:val="•"/>
      <w:lvlJc w:val="left"/>
      <w:pPr>
        <w:ind w:left="3906" w:hanging="721"/>
      </w:pPr>
      <w:rPr>
        <w:rFonts w:hint="default"/>
      </w:rPr>
    </w:lvl>
    <w:lvl w:ilvl="4" w:tplc="F6F8439C">
      <w:numFmt w:val="bullet"/>
      <w:lvlText w:val="•"/>
      <w:lvlJc w:val="left"/>
      <w:pPr>
        <w:ind w:left="4720" w:hanging="721"/>
      </w:pPr>
      <w:rPr>
        <w:rFonts w:hint="default"/>
      </w:rPr>
    </w:lvl>
    <w:lvl w:ilvl="5" w:tplc="2EC0D4BA">
      <w:numFmt w:val="bullet"/>
      <w:lvlText w:val="•"/>
      <w:lvlJc w:val="left"/>
      <w:pPr>
        <w:ind w:left="5533" w:hanging="721"/>
      </w:pPr>
      <w:rPr>
        <w:rFonts w:hint="default"/>
      </w:rPr>
    </w:lvl>
    <w:lvl w:ilvl="6" w:tplc="9E04A24C">
      <w:numFmt w:val="bullet"/>
      <w:lvlText w:val="•"/>
      <w:lvlJc w:val="left"/>
      <w:pPr>
        <w:ind w:left="6346" w:hanging="721"/>
      </w:pPr>
      <w:rPr>
        <w:rFonts w:hint="default"/>
      </w:rPr>
    </w:lvl>
    <w:lvl w:ilvl="7" w:tplc="EB12A1B2">
      <w:numFmt w:val="bullet"/>
      <w:lvlText w:val="•"/>
      <w:lvlJc w:val="left"/>
      <w:pPr>
        <w:ind w:left="7160" w:hanging="721"/>
      </w:pPr>
      <w:rPr>
        <w:rFonts w:hint="default"/>
      </w:rPr>
    </w:lvl>
    <w:lvl w:ilvl="8" w:tplc="C5D61D72">
      <w:numFmt w:val="bullet"/>
      <w:lvlText w:val="•"/>
      <w:lvlJc w:val="left"/>
      <w:pPr>
        <w:ind w:left="7973" w:hanging="721"/>
      </w:pPr>
      <w:rPr>
        <w:rFonts w:hint="default"/>
      </w:rPr>
    </w:lvl>
  </w:abstractNum>
  <w:abstractNum w:abstractNumId="4" w15:restartNumberingAfterBreak="0">
    <w:nsid w:val="175839C9"/>
    <w:multiLevelType w:val="hybridMultilevel"/>
    <w:tmpl w:val="0DAC02DC"/>
    <w:lvl w:ilvl="0" w:tplc="11C2A3F0">
      <w:numFmt w:val="bullet"/>
      <w:lvlText w:val=""/>
      <w:lvlJc w:val="left"/>
      <w:pPr>
        <w:ind w:left="1200" w:hanging="360"/>
      </w:pPr>
      <w:rPr>
        <w:rFonts w:ascii="Symbol" w:eastAsia="Symbol" w:hAnsi="Symbol" w:cs="Symbol" w:hint="default"/>
        <w:w w:val="100"/>
        <w:sz w:val="22"/>
        <w:szCs w:val="22"/>
      </w:rPr>
    </w:lvl>
    <w:lvl w:ilvl="1" w:tplc="984C192E">
      <w:numFmt w:val="bullet"/>
      <w:lvlText w:val="o"/>
      <w:lvlJc w:val="left"/>
      <w:pPr>
        <w:ind w:left="1560" w:hanging="360"/>
      </w:pPr>
      <w:rPr>
        <w:rFonts w:ascii="Courier New" w:eastAsia="Courier New" w:hAnsi="Courier New" w:cs="Courier New" w:hint="default"/>
        <w:spacing w:val="-1"/>
        <w:w w:val="100"/>
        <w:sz w:val="22"/>
        <w:szCs w:val="22"/>
      </w:rPr>
    </w:lvl>
    <w:lvl w:ilvl="2" w:tplc="55868A78">
      <w:numFmt w:val="bullet"/>
      <w:lvlText w:val="•"/>
      <w:lvlJc w:val="left"/>
      <w:pPr>
        <w:ind w:left="2453" w:hanging="360"/>
      </w:pPr>
      <w:rPr>
        <w:rFonts w:hint="default"/>
      </w:rPr>
    </w:lvl>
    <w:lvl w:ilvl="3" w:tplc="A85682D0">
      <w:numFmt w:val="bullet"/>
      <w:lvlText w:val="•"/>
      <w:lvlJc w:val="left"/>
      <w:pPr>
        <w:ind w:left="3346" w:hanging="360"/>
      </w:pPr>
      <w:rPr>
        <w:rFonts w:hint="default"/>
      </w:rPr>
    </w:lvl>
    <w:lvl w:ilvl="4" w:tplc="D4321436">
      <w:numFmt w:val="bullet"/>
      <w:lvlText w:val="•"/>
      <w:lvlJc w:val="left"/>
      <w:pPr>
        <w:ind w:left="4240" w:hanging="360"/>
      </w:pPr>
      <w:rPr>
        <w:rFonts w:hint="default"/>
      </w:rPr>
    </w:lvl>
    <w:lvl w:ilvl="5" w:tplc="CAAA6F4A">
      <w:numFmt w:val="bullet"/>
      <w:lvlText w:val="•"/>
      <w:lvlJc w:val="left"/>
      <w:pPr>
        <w:ind w:left="5133" w:hanging="360"/>
      </w:pPr>
      <w:rPr>
        <w:rFonts w:hint="default"/>
      </w:rPr>
    </w:lvl>
    <w:lvl w:ilvl="6" w:tplc="EB40A85E">
      <w:numFmt w:val="bullet"/>
      <w:lvlText w:val="•"/>
      <w:lvlJc w:val="left"/>
      <w:pPr>
        <w:ind w:left="6026" w:hanging="360"/>
      </w:pPr>
      <w:rPr>
        <w:rFonts w:hint="default"/>
      </w:rPr>
    </w:lvl>
    <w:lvl w:ilvl="7" w:tplc="CDC6ABF6">
      <w:numFmt w:val="bullet"/>
      <w:lvlText w:val="•"/>
      <w:lvlJc w:val="left"/>
      <w:pPr>
        <w:ind w:left="6920" w:hanging="360"/>
      </w:pPr>
      <w:rPr>
        <w:rFonts w:hint="default"/>
      </w:rPr>
    </w:lvl>
    <w:lvl w:ilvl="8" w:tplc="A0901E40">
      <w:numFmt w:val="bullet"/>
      <w:lvlText w:val="•"/>
      <w:lvlJc w:val="left"/>
      <w:pPr>
        <w:ind w:left="7813" w:hanging="360"/>
      </w:pPr>
      <w:rPr>
        <w:rFonts w:hint="default"/>
      </w:rPr>
    </w:lvl>
  </w:abstractNum>
  <w:abstractNum w:abstractNumId="5" w15:restartNumberingAfterBreak="0">
    <w:nsid w:val="384B4296"/>
    <w:multiLevelType w:val="hybridMultilevel"/>
    <w:tmpl w:val="4DA28F52"/>
    <w:lvl w:ilvl="0" w:tplc="9E02328E">
      <w:start w:val="2"/>
      <w:numFmt w:val="decimal"/>
      <w:lvlText w:val="(%1)"/>
      <w:lvlJc w:val="left"/>
      <w:pPr>
        <w:ind w:left="120" w:hanging="312"/>
        <w:jc w:val="left"/>
      </w:pPr>
      <w:rPr>
        <w:rFonts w:ascii="Times New Roman" w:eastAsia="Times New Roman" w:hAnsi="Times New Roman" w:cs="Times New Roman" w:hint="default"/>
        <w:spacing w:val="-1"/>
        <w:w w:val="100"/>
        <w:sz w:val="22"/>
        <w:szCs w:val="22"/>
      </w:rPr>
    </w:lvl>
    <w:lvl w:ilvl="1" w:tplc="EF80902C">
      <w:start w:val="1"/>
      <w:numFmt w:val="lowerRoman"/>
      <w:lvlText w:val="(%2)"/>
      <w:lvlJc w:val="left"/>
      <w:pPr>
        <w:ind w:left="120" w:hanging="263"/>
        <w:jc w:val="left"/>
      </w:pPr>
      <w:rPr>
        <w:rFonts w:ascii="Times New Roman" w:eastAsia="Times New Roman" w:hAnsi="Times New Roman" w:cs="Times New Roman" w:hint="default"/>
        <w:spacing w:val="-1"/>
        <w:w w:val="100"/>
        <w:sz w:val="22"/>
        <w:szCs w:val="22"/>
      </w:rPr>
    </w:lvl>
    <w:lvl w:ilvl="2" w:tplc="5944F908">
      <w:numFmt w:val="bullet"/>
      <w:lvlText w:val="•"/>
      <w:lvlJc w:val="left"/>
      <w:pPr>
        <w:ind w:left="2016" w:hanging="263"/>
      </w:pPr>
      <w:rPr>
        <w:rFonts w:hint="default"/>
      </w:rPr>
    </w:lvl>
    <w:lvl w:ilvl="3" w:tplc="69B4788C">
      <w:numFmt w:val="bullet"/>
      <w:lvlText w:val="•"/>
      <w:lvlJc w:val="left"/>
      <w:pPr>
        <w:ind w:left="2964" w:hanging="263"/>
      </w:pPr>
      <w:rPr>
        <w:rFonts w:hint="default"/>
      </w:rPr>
    </w:lvl>
    <w:lvl w:ilvl="4" w:tplc="17F69DD2">
      <w:numFmt w:val="bullet"/>
      <w:lvlText w:val="•"/>
      <w:lvlJc w:val="left"/>
      <w:pPr>
        <w:ind w:left="3912" w:hanging="263"/>
      </w:pPr>
      <w:rPr>
        <w:rFonts w:hint="default"/>
      </w:rPr>
    </w:lvl>
    <w:lvl w:ilvl="5" w:tplc="103AD28A">
      <w:numFmt w:val="bullet"/>
      <w:lvlText w:val="•"/>
      <w:lvlJc w:val="left"/>
      <w:pPr>
        <w:ind w:left="4860" w:hanging="263"/>
      </w:pPr>
      <w:rPr>
        <w:rFonts w:hint="default"/>
      </w:rPr>
    </w:lvl>
    <w:lvl w:ilvl="6" w:tplc="9438A406">
      <w:numFmt w:val="bullet"/>
      <w:lvlText w:val="•"/>
      <w:lvlJc w:val="left"/>
      <w:pPr>
        <w:ind w:left="5808" w:hanging="263"/>
      </w:pPr>
      <w:rPr>
        <w:rFonts w:hint="default"/>
      </w:rPr>
    </w:lvl>
    <w:lvl w:ilvl="7" w:tplc="12767D8A">
      <w:numFmt w:val="bullet"/>
      <w:lvlText w:val="•"/>
      <w:lvlJc w:val="left"/>
      <w:pPr>
        <w:ind w:left="6756" w:hanging="263"/>
      </w:pPr>
      <w:rPr>
        <w:rFonts w:hint="default"/>
      </w:rPr>
    </w:lvl>
    <w:lvl w:ilvl="8" w:tplc="8CAAFB72">
      <w:numFmt w:val="bullet"/>
      <w:lvlText w:val="•"/>
      <w:lvlJc w:val="left"/>
      <w:pPr>
        <w:ind w:left="7704" w:hanging="263"/>
      </w:pPr>
      <w:rPr>
        <w:rFonts w:hint="default"/>
      </w:rPr>
    </w:lvl>
  </w:abstractNum>
  <w:abstractNum w:abstractNumId="6" w15:restartNumberingAfterBreak="0">
    <w:nsid w:val="44B7565A"/>
    <w:multiLevelType w:val="hybridMultilevel"/>
    <w:tmpl w:val="13BA1FE6"/>
    <w:lvl w:ilvl="0" w:tplc="1DFCB8C0">
      <w:start w:val="4"/>
      <w:numFmt w:val="decimal"/>
      <w:lvlText w:val="(%1)"/>
      <w:lvlJc w:val="left"/>
      <w:pPr>
        <w:ind w:left="120" w:hanging="312"/>
        <w:jc w:val="left"/>
      </w:pPr>
      <w:rPr>
        <w:rFonts w:ascii="Times New Roman" w:eastAsia="Times New Roman" w:hAnsi="Times New Roman" w:cs="Times New Roman" w:hint="default"/>
        <w:spacing w:val="-1"/>
        <w:w w:val="100"/>
        <w:sz w:val="22"/>
        <w:szCs w:val="22"/>
      </w:rPr>
    </w:lvl>
    <w:lvl w:ilvl="1" w:tplc="1A801A30">
      <w:start w:val="1"/>
      <w:numFmt w:val="upperLetter"/>
      <w:lvlText w:val="%2."/>
      <w:lvlJc w:val="left"/>
      <w:pPr>
        <w:ind w:left="1560" w:hanging="721"/>
        <w:jc w:val="left"/>
      </w:pPr>
      <w:rPr>
        <w:rFonts w:hint="default"/>
        <w:spacing w:val="-1"/>
        <w:w w:val="100"/>
      </w:rPr>
    </w:lvl>
    <w:lvl w:ilvl="2" w:tplc="F9829446">
      <w:numFmt w:val="bullet"/>
      <w:lvlText w:val="•"/>
      <w:lvlJc w:val="left"/>
      <w:pPr>
        <w:ind w:left="2453" w:hanging="721"/>
      </w:pPr>
      <w:rPr>
        <w:rFonts w:hint="default"/>
      </w:rPr>
    </w:lvl>
    <w:lvl w:ilvl="3" w:tplc="A6D60846">
      <w:numFmt w:val="bullet"/>
      <w:lvlText w:val="•"/>
      <w:lvlJc w:val="left"/>
      <w:pPr>
        <w:ind w:left="3346" w:hanging="721"/>
      </w:pPr>
      <w:rPr>
        <w:rFonts w:hint="default"/>
      </w:rPr>
    </w:lvl>
    <w:lvl w:ilvl="4" w:tplc="A60A6B26">
      <w:numFmt w:val="bullet"/>
      <w:lvlText w:val="•"/>
      <w:lvlJc w:val="left"/>
      <w:pPr>
        <w:ind w:left="4240" w:hanging="721"/>
      </w:pPr>
      <w:rPr>
        <w:rFonts w:hint="default"/>
      </w:rPr>
    </w:lvl>
    <w:lvl w:ilvl="5" w:tplc="F2D8CB3C">
      <w:numFmt w:val="bullet"/>
      <w:lvlText w:val="•"/>
      <w:lvlJc w:val="left"/>
      <w:pPr>
        <w:ind w:left="5133" w:hanging="721"/>
      </w:pPr>
      <w:rPr>
        <w:rFonts w:hint="default"/>
      </w:rPr>
    </w:lvl>
    <w:lvl w:ilvl="6" w:tplc="5D92381C">
      <w:numFmt w:val="bullet"/>
      <w:lvlText w:val="•"/>
      <w:lvlJc w:val="left"/>
      <w:pPr>
        <w:ind w:left="6026" w:hanging="721"/>
      </w:pPr>
      <w:rPr>
        <w:rFonts w:hint="default"/>
      </w:rPr>
    </w:lvl>
    <w:lvl w:ilvl="7" w:tplc="04D8545E">
      <w:numFmt w:val="bullet"/>
      <w:lvlText w:val="•"/>
      <w:lvlJc w:val="left"/>
      <w:pPr>
        <w:ind w:left="6920" w:hanging="721"/>
      </w:pPr>
      <w:rPr>
        <w:rFonts w:hint="default"/>
      </w:rPr>
    </w:lvl>
    <w:lvl w:ilvl="8" w:tplc="FE0816AE">
      <w:numFmt w:val="bullet"/>
      <w:lvlText w:val="•"/>
      <w:lvlJc w:val="left"/>
      <w:pPr>
        <w:ind w:left="7813" w:hanging="721"/>
      </w:pPr>
      <w:rPr>
        <w:rFonts w:hint="default"/>
      </w:rPr>
    </w:lvl>
  </w:abstractNum>
  <w:abstractNum w:abstractNumId="7" w15:restartNumberingAfterBreak="0">
    <w:nsid w:val="48D8388D"/>
    <w:multiLevelType w:val="hybridMultilevel"/>
    <w:tmpl w:val="6AD015D2"/>
    <w:lvl w:ilvl="0" w:tplc="600E836C">
      <w:start w:val="1"/>
      <w:numFmt w:val="upperRoman"/>
      <w:lvlText w:val="%1."/>
      <w:lvlJc w:val="left"/>
      <w:pPr>
        <w:ind w:left="840" w:hanging="721"/>
        <w:jc w:val="left"/>
      </w:pPr>
      <w:rPr>
        <w:rFonts w:ascii="Times New Roman" w:eastAsia="Times New Roman" w:hAnsi="Times New Roman" w:cs="Times New Roman" w:hint="default"/>
        <w:b/>
        <w:bCs/>
        <w:spacing w:val="-1"/>
        <w:w w:val="100"/>
        <w:sz w:val="22"/>
        <w:szCs w:val="22"/>
      </w:rPr>
    </w:lvl>
    <w:lvl w:ilvl="1" w:tplc="26248ED6">
      <w:start w:val="1"/>
      <w:numFmt w:val="decimal"/>
      <w:lvlText w:val="%2."/>
      <w:lvlJc w:val="left"/>
      <w:pPr>
        <w:ind w:left="120" w:hanging="721"/>
        <w:jc w:val="left"/>
      </w:pPr>
      <w:rPr>
        <w:rFonts w:ascii="Times New Roman" w:eastAsia="Times New Roman" w:hAnsi="Times New Roman" w:cs="Times New Roman" w:hint="default"/>
        <w:spacing w:val="-1"/>
        <w:w w:val="100"/>
        <w:sz w:val="22"/>
        <w:szCs w:val="22"/>
      </w:rPr>
    </w:lvl>
    <w:lvl w:ilvl="2" w:tplc="31724D0C">
      <w:numFmt w:val="bullet"/>
      <w:lvlText w:val="•"/>
      <w:lvlJc w:val="left"/>
      <w:pPr>
        <w:ind w:left="1813" w:hanging="721"/>
      </w:pPr>
      <w:rPr>
        <w:rFonts w:hint="default"/>
      </w:rPr>
    </w:lvl>
    <w:lvl w:ilvl="3" w:tplc="1C787300">
      <w:numFmt w:val="bullet"/>
      <w:lvlText w:val="•"/>
      <w:lvlJc w:val="left"/>
      <w:pPr>
        <w:ind w:left="2786" w:hanging="721"/>
      </w:pPr>
      <w:rPr>
        <w:rFonts w:hint="default"/>
      </w:rPr>
    </w:lvl>
    <w:lvl w:ilvl="4" w:tplc="6AACD3A4">
      <w:numFmt w:val="bullet"/>
      <w:lvlText w:val="•"/>
      <w:lvlJc w:val="left"/>
      <w:pPr>
        <w:ind w:left="3760" w:hanging="721"/>
      </w:pPr>
      <w:rPr>
        <w:rFonts w:hint="default"/>
      </w:rPr>
    </w:lvl>
    <w:lvl w:ilvl="5" w:tplc="BCA23B80">
      <w:numFmt w:val="bullet"/>
      <w:lvlText w:val="•"/>
      <w:lvlJc w:val="left"/>
      <w:pPr>
        <w:ind w:left="4733" w:hanging="721"/>
      </w:pPr>
      <w:rPr>
        <w:rFonts w:hint="default"/>
      </w:rPr>
    </w:lvl>
    <w:lvl w:ilvl="6" w:tplc="22F8E32A">
      <w:numFmt w:val="bullet"/>
      <w:lvlText w:val="•"/>
      <w:lvlJc w:val="left"/>
      <w:pPr>
        <w:ind w:left="5706" w:hanging="721"/>
      </w:pPr>
      <w:rPr>
        <w:rFonts w:hint="default"/>
      </w:rPr>
    </w:lvl>
    <w:lvl w:ilvl="7" w:tplc="52DE67D6">
      <w:numFmt w:val="bullet"/>
      <w:lvlText w:val="•"/>
      <w:lvlJc w:val="left"/>
      <w:pPr>
        <w:ind w:left="6680" w:hanging="721"/>
      </w:pPr>
      <w:rPr>
        <w:rFonts w:hint="default"/>
      </w:rPr>
    </w:lvl>
    <w:lvl w:ilvl="8" w:tplc="EFB46620">
      <w:numFmt w:val="bullet"/>
      <w:lvlText w:val="•"/>
      <w:lvlJc w:val="left"/>
      <w:pPr>
        <w:ind w:left="7653" w:hanging="721"/>
      </w:pPr>
      <w:rPr>
        <w:rFonts w:hint="default"/>
      </w:rPr>
    </w:lvl>
  </w:abstractNum>
  <w:abstractNum w:abstractNumId="8" w15:restartNumberingAfterBreak="0">
    <w:nsid w:val="7B750926"/>
    <w:multiLevelType w:val="hybridMultilevel"/>
    <w:tmpl w:val="5DEA7352"/>
    <w:lvl w:ilvl="0" w:tplc="7DD0F7C0">
      <w:start w:val="3"/>
      <w:numFmt w:val="decimal"/>
      <w:lvlText w:val="(%1)"/>
      <w:lvlJc w:val="left"/>
      <w:pPr>
        <w:ind w:left="120" w:hanging="312"/>
        <w:jc w:val="left"/>
      </w:pPr>
      <w:rPr>
        <w:rFonts w:ascii="Times New Roman" w:eastAsia="Times New Roman" w:hAnsi="Times New Roman" w:cs="Times New Roman" w:hint="default"/>
        <w:spacing w:val="-1"/>
        <w:w w:val="100"/>
        <w:sz w:val="22"/>
        <w:szCs w:val="22"/>
      </w:rPr>
    </w:lvl>
    <w:lvl w:ilvl="1" w:tplc="31B66FF6">
      <w:start w:val="1"/>
      <w:numFmt w:val="lowerRoman"/>
      <w:lvlText w:val="(%2)"/>
      <w:lvlJc w:val="left"/>
      <w:pPr>
        <w:ind w:left="120" w:hanging="263"/>
        <w:jc w:val="left"/>
      </w:pPr>
      <w:rPr>
        <w:rFonts w:ascii="Times New Roman" w:eastAsia="Times New Roman" w:hAnsi="Times New Roman" w:cs="Times New Roman" w:hint="default"/>
        <w:spacing w:val="-1"/>
        <w:w w:val="100"/>
        <w:sz w:val="22"/>
        <w:szCs w:val="22"/>
      </w:rPr>
    </w:lvl>
    <w:lvl w:ilvl="2" w:tplc="C5888970">
      <w:numFmt w:val="bullet"/>
      <w:lvlText w:val="•"/>
      <w:lvlJc w:val="left"/>
      <w:pPr>
        <w:ind w:left="2016" w:hanging="263"/>
      </w:pPr>
      <w:rPr>
        <w:rFonts w:hint="default"/>
      </w:rPr>
    </w:lvl>
    <w:lvl w:ilvl="3" w:tplc="1BBA2E60">
      <w:numFmt w:val="bullet"/>
      <w:lvlText w:val="•"/>
      <w:lvlJc w:val="left"/>
      <w:pPr>
        <w:ind w:left="2964" w:hanging="263"/>
      </w:pPr>
      <w:rPr>
        <w:rFonts w:hint="default"/>
      </w:rPr>
    </w:lvl>
    <w:lvl w:ilvl="4" w:tplc="775EE092">
      <w:numFmt w:val="bullet"/>
      <w:lvlText w:val="•"/>
      <w:lvlJc w:val="left"/>
      <w:pPr>
        <w:ind w:left="3912" w:hanging="263"/>
      </w:pPr>
      <w:rPr>
        <w:rFonts w:hint="default"/>
      </w:rPr>
    </w:lvl>
    <w:lvl w:ilvl="5" w:tplc="DD604286">
      <w:numFmt w:val="bullet"/>
      <w:lvlText w:val="•"/>
      <w:lvlJc w:val="left"/>
      <w:pPr>
        <w:ind w:left="4860" w:hanging="263"/>
      </w:pPr>
      <w:rPr>
        <w:rFonts w:hint="default"/>
      </w:rPr>
    </w:lvl>
    <w:lvl w:ilvl="6" w:tplc="8CFC2D02">
      <w:numFmt w:val="bullet"/>
      <w:lvlText w:val="•"/>
      <w:lvlJc w:val="left"/>
      <w:pPr>
        <w:ind w:left="5808" w:hanging="263"/>
      </w:pPr>
      <w:rPr>
        <w:rFonts w:hint="default"/>
      </w:rPr>
    </w:lvl>
    <w:lvl w:ilvl="7" w:tplc="021A12B4">
      <w:numFmt w:val="bullet"/>
      <w:lvlText w:val="•"/>
      <w:lvlJc w:val="left"/>
      <w:pPr>
        <w:ind w:left="6756" w:hanging="263"/>
      </w:pPr>
      <w:rPr>
        <w:rFonts w:hint="default"/>
      </w:rPr>
    </w:lvl>
    <w:lvl w:ilvl="8" w:tplc="F99EEE64">
      <w:numFmt w:val="bullet"/>
      <w:lvlText w:val="•"/>
      <w:lvlJc w:val="left"/>
      <w:pPr>
        <w:ind w:left="7704" w:hanging="263"/>
      </w:pPr>
      <w:rPr>
        <w:rFonts w:hint="default"/>
      </w:rPr>
    </w:lvl>
  </w:abstractNum>
  <w:abstractNum w:abstractNumId="9" w15:restartNumberingAfterBreak="0">
    <w:nsid w:val="7EE86BAC"/>
    <w:multiLevelType w:val="hybridMultilevel"/>
    <w:tmpl w:val="CCC4274A"/>
    <w:lvl w:ilvl="0" w:tplc="8E4206CE">
      <w:start w:val="39"/>
      <w:numFmt w:val="decimal"/>
      <w:lvlText w:val="%1."/>
      <w:lvlJc w:val="left"/>
      <w:pPr>
        <w:ind w:left="120" w:hanging="721"/>
        <w:jc w:val="left"/>
      </w:pPr>
      <w:rPr>
        <w:rFonts w:ascii="Times New Roman" w:eastAsia="Times New Roman" w:hAnsi="Times New Roman" w:cs="Times New Roman" w:hint="default"/>
        <w:spacing w:val="-1"/>
        <w:w w:val="100"/>
        <w:sz w:val="22"/>
        <w:szCs w:val="22"/>
      </w:rPr>
    </w:lvl>
    <w:lvl w:ilvl="1" w:tplc="6750FFA0">
      <w:numFmt w:val="bullet"/>
      <w:lvlText w:val="•"/>
      <w:lvlJc w:val="left"/>
      <w:pPr>
        <w:ind w:left="2280" w:hanging="721"/>
      </w:pPr>
      <w:rPr>
        <w:rFonts w:hint="default"/>
      </w:rPr>
    </w:lvl>
    <w:lvl w:ilvl="2" w:tplc="4AFE587A">
      <w:numFmt w:val="bullet"/>
      <w:lvlText w:val="•"/>
      <w:lvlJc w:val="left"/>
      <w:pPr>
        <w:ind w:left="3093" w:hanging="721"/>
      </w:pPr>
      <w:rPr>
        <w:rFonts w:hint="default"/>
      </w:rPr>
    </w:lvl>
    <w:lvl w:ilvl="3" w:tplc="CE7E6EA2">
      <w:numFmt w:val="bullet"/>
      <w:lvlText w:val="•"/>
      <w:lvlJc w:val="left"/>
      <w:pPr>
        <w:ind w:left="3906" w:hanging="721"/>
      </w:pPr>
      <w:rPr>
        <w:rFonts w:hint="default"/>
      </w:rPr>
    </w:lvl>
    <w:lvl w:ilvl="4" w:tplc="CEB6ABF6">
      <w:numFmt w:val="bullet"/>
      <w:lvlText w:val="•"/>
      <w:lvlJc w:val="left"/>
      <w:pPr>
        <w:ind w:left="4720" w:hanging="721"/>
      </w:pPr>
      <w:rPr>
        <w:rFonts w:hint="default"/>
      </w:rPr>
    </w:lvl>
    <w:lvl w:ilvl="5" w:tplc="8B00E420">
      <w:numFmt w:val="bullet"/>
      <w:lvlText w:val="•"/>
      <w:lvlJc w:val="left"/>
      <w:pPr>
        <w:ind w:left="5533" w:hanging="721"/>
      </w:pPr>
      <w:rPr>
        <w:rFonts w:hint="default"/>
      </w:rPr>
    </w:lvl>
    <w:lvl w:ilvl="6" w:tplc="5838EB8C">
      <w:numFmt w:val="bullet"/>
      <w:lvlText w:val="•"/>
      <w:lvlJc w:val="left"/>
      <w:pPr>
        <w:ind w:left="6346" w:hanging="721"/>
      </w:pPr>
      <w:rPr>
        <w:rFonts w:hint="default"/>
      </w:rPr>
    </w:lvl>
    <w:lvl w:ilvl="7" w:tplc="EAC2C4D6">
      <w:numFmt w:val="bullet"/>
      <w:lvlText w:val="•"/>
      <w:lvlJc w:val="left"/>
      <w:pPr>
        <w:ind w:left="7160" w:hanging="721"/>
      </w:pPr>
      <w:rPr>
        <w:rFonts w:hint="default"/>
      </w:rPr>
    </w:lvl>
    <w:lvl w:ilvl="8" w:tplc="C64CEE50">
      <w:numFmt w:val="bullet"/>
      <w:lvlText w:val="•"/>
      <w:lvlJc w:val="left"/>
      <w:pPr>
        <w:ind w:left="7973" w:hanging="721"/>
      </w:pPr>
      <w:rPr>
        <w:rFonts w:hint="default"/>
      </w:rPr>
    </w:lvl>
  </w:abstractNum>
  <w:num w:numId="1">
    <w:abstractNumId w:val="6"/>
  </w:num>
  <w:num w:numId="2">
    <w:abstractNumId w:val="5"/>
  </w:num>
  <w:num w:numId="3">
    <w:abstractNumId w:val="8"/>
  </w:num>
  <w:num w:numId="4">
    <w:abstractNumId w:val="1"/>
  </w:num>
  <w:num w:numId="5">
    <w:abstractNumId w:val="4"/>
  </w:num>
  <w:num w:numId="6">
    <w:abstractNumId w:val="9"/>
  </w:num>
  <w:num w:numId="7">
    <w:abstractNumId w:val="3"/>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41911"/>
    <w:rsid w:val="004D2E02"/>
    <w:rsid w:val="009D38B3"/>
    <w:rsid w:val="00EF5081"/>
    <w:rsid w:val="00F41911"/>
    <w:rsid w:val="00FE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82120F5"/>
  <w15:docId w15:val="{B36BCAF2-C460-4646-980A-B01FCA22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120"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tsi.org/technologies/short-range-devices" TargetMode="External"/><Relationship Id="rId26" Type="http://schemas.openxmlformats.org/officeDocument/2006/relationships/hyperlink" Target="https://urldefense.proofpoint.com/v2/url?u=https-3A__mentor.ieee.org_802.11_dcn_18_11-2D18-2D2095-2D01-2D00ay-2Dwlan-2Dradar-2Dannex.docx&amp;amp;d=DwMFAg&amp;amp;c=y0h0omCe0jAUGr4gAQ02Fw&amp;amp;r=v4f4uELhwdkytzLDgEf35GYtXsOsC2ZdqMp_fRAxcPQ&amp;amp;m=zodPPswAk5YnlIAICz7AaYNzlqmdV4LSRodLw6aySec&amp;amp;s=tOndGwbQFnxhOz7HEkofq3VFt5fqJVL_rSdhfNXJDac&amp;amp;e"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etsi.org/deliver/etsi_en/305500_305599/305550/02.01.00_20/en_305550v020100a.pdf" TargetMode="External"/><Relationship Id="rId34" Type="http://schemas.openxmlformats.org/officeDocument/2006/relationships/hyperlink" Target="https://en.wikipedia.org/wiki/Turn_(geometry)" TargetMode="External"/><Relationship Id="rId42" Type="http://schemas.openxmlformats.org/officeDocument/2006/relationships/hyperlink" Target="https://www.fcc.gov/ecfs" TargetMode="External"/><Relationship Id="rId47" Type="http://schemas.openxmlformats.org/officeDocument/2006/relationships/hyperlink" Target="mailto:Thomas.Struble@fcc.gov" TargetMode="External"/><Relationship Id="rId50" Type="http://schemas.openxmlformats.org/officeDocument/2006/relationships/hyperlink" Target="https://data.census.gov/cedsci/table?text=EC1231SG2&amp;amp;n=334220&amp;amp;tid=ECNSIZE2012.EC1231SG2&amp;amp;hidePreview=false" TargetMode="External"/><Relationship Id="rId7" Type="http://schemas.openxmlformats.org/officeDocument/2006/relationships/header" Target="header1.xml"/><Relationship Id="rId12" Type="http://schemas.openxmlformats.org/officeDocument/2006/relationships/hyperlink" Target="https://www.ignitenet.com/technology/metrolinq/" TargetMode="External"/><Relationship Id="rId17" Type="http://schemas.openxmlformats.org/officeDocument/2006/relationships/hyperlink" Target="https://e2e.ti.com/blogs_/b/behind_the_wheel/posts/3-ways-radar-technology-is-changing-the-in-cabin-sensing-market" TargetMode="External"/><Relationship Id="rId25" Type="http://schemas.openxmlformats.org/officeDocument/2006/relationships/hyperlink" Target="https://urldefense.proofpoint.com/v2/url?u=https-3A__mentor.ieee.org_802.11_dcn_18_11-2D18-2D2095-2D01-2D00ay-2Dwlan-2Dradar-2Dannex.docx&amp;amp;d=DwMFAg&amp;amp;c=y0h0omCe0jAUGr4gAQ02Fw&amp;amp;r=v4f4uELhwdkytzLDgEf35GYtXsOsC2ZdqMp_fRAxcPQ&amp;amp;m=zodPPswAk5YnlIAICz7AaYNzlqmdV4LSRodLw6aySec&amp;amp;s=tOndGwbQFnxhOz7HEkofq3VFt5fqJVL_rSdhfNXJDac&amp;amp;e" TargetMode="External"/><Relationship Id="rId33" Type="http://schemas.openxmlformats.org/officeDocument/2006/relationships/hyperlink" Target="http://www.etsi.org/deliver/etsi_en/305500_305599/305550/02.01.00_20/en_305550v020100a.pdf" TargetMode="External"/><Relationship Id="rId38" Type="http://schemas.openxmlformats.org/officeDocument/2006/relationships/footer" Target="footer2.xml"/><Relationship Id="rId46" Type="http://schemas.openxmlformats.org/officeDocument/2006/relationships/hyperlink" Target="mailto:anh.wride@fcc.gov" TargetMode="External"/><Relationship Id="rId2" Type="http://schemas.openxmlformats.org/officeDocument/2006/relationships/styles" Target="styles.xml"/><Relationship Id="rId16" Type="http://schemas.openxmlformats.org/officeDocument/2006/relationships/hyperlink" Target="https://e2e.ti.com/blogs_/b/behind_the_wheel/posts/3-ways-radar-technology-is-changing-the-in-cabin-sensing-market" TargetMode="External"/><Relationship Id="rId20" Type="http://schemas.openxmlformats.org/officeDocument/2006/relationships/hyperlink" Target="https://www.etsi.org/deliver/etsi_en/305500_305599/30555001/01.02.01_60/en_30555001v010201p.pdf" TargetMode="External"/><Relationship Id="rId29" Type="http://schemas.openxmlformats.org/officeDocument/2006/relationships/hyperlink" Target="https://www.fcc.gov/encyclopedia/technological-advisory-council-members" TargetMode="External"/><Relationship Id="rId41" Type="http://schemas.openxmlformats.org/officeDocument/2006/relationships/hyperlink" Target="http://www.faa.gov/news/fact_sheets/news_story.cfm?newsId=1525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rlinx.com/" TargetMode="External"/><Relationship Id="rId24" Type="http://schemas.openxmlformats.org/officeDocument/2006/relationships/hyperlink" Target="https://www.wi-fi.org/news-events/newsroom/wi-fi-alliance-and-wireless-gigabit-alliance-to-unify" TargetMode="External"/><Relationship Id="rId32" Type="http://schemas.openxmlformats.org/officeDocument/2006/relationships/hyperlink" Target="https://en.wikipedia.org/wiki/Radio" TargetMode="External"/><Relationship Id="rId37" Type="http://schemas.openxmlformats.org/officeDocument/2006/relationships/hyperlink" Target="https://en.wikipedia.org/wiki/Pulse-Doppler_radar" TargetMode="External"/><Relationship Id="rId40" Type="http://schemas.openxmlformats.org/officeDocument/2006/relationships/hyperlink" Target="http://www.faa.gov/news/fact_sheets/news_story.cfm?newsId=15255" TargetMode="External"/><Relationship Id="rId45" Type="http://schemas.openxmlformats.org/officeDocument/2006/relationships/hyperlink" Target="mailto:fcc504@fcc.gov"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cc.gov/document/fcc-permits-hot-car-sensors-save-children" TargetMode="External"/><Relationship Id="rId23" Type="http://schemas.openxmlformats.org/officeDocument/2006/relationships/hyperlink" Target="https://www.wi-fi.org/news-events/newsroom/wi-fi-alliance-and-wireless-gigabit-alliance-to-unify" TargetMode="External"/><Relationship Id="rId28" Type="http://schemas.openxmlformats.org/officeDocument/2006/relationships/hyperlink" Target="http://www.gsa.gov/portal/content/100916" TargetMode="External"/><Relationship Id="rId36" Type="http://schemas.openxmlformats.org/officeDocument/2006/relationships/hyperlink" Target="https://en.wikipedia.org/wiki/Pulse-Doppler_radar" TargetMode="External"/><Relationship Id="rId49" Type="http://schemas.openxmlformats.org/officeDocument/2006/relationships/hyperlink" Target="https://data.census.gov/cedsci/table?text=EC1231SG2&amp;amp;n=334220&amp;amp;tid=ECNSIZE2012.EC1231SG2&amp;amp;hidePreview=false" TargetMode="External"/><Relationship Id="rId10" Type="http://schemas.openxmlformats.org/officeDocument/2006/relationships/hyperlink" Target="http://www.wi-fi.org/discover-wi-fi/wigig-certified" TargetMode="External"/><Relationship Id="rId19" Type="http://schemas.openxmlformats.org/officeDocument/2006/relationships/hyperlink" Target="https://www.etsi.org/technologies/short-range-devices" TargetMode="External"/><Relationship Id="rId31" Type="http://schemas.openxmlformats.org/officeDocument/2006/relationships/hyperlink" Target="https://www.fcc.gov/sites/default/files/tac-presentations-1-14-21.pdf" TargetMode="External"/><Relationship Id="rId44" Type="http://schemas.openxmlformats.org/officeDocument/2006/relationships/hyperlink" Target="https://www.fcc.gov/document/fcc-closes-headquarters-open-window-and-changes-hand-delivery-policy" TargetMode="External"/><Relationship Id="rId52" Type="http://schemas.openxmlformats.org/officeDocument/2006/relationships/hyperlink" Target="https://twitter.com/BrendanCarrFCC/status/1382080503931617284?s=20" TargetMode="External"/><Relationship Id="rId4" Type="http://schemas.openxmlformats.org/officeDocument/2006/relationships/webSettings" Target="webSettings.xml"/><Relationship Id="rId9" Type="http://schemas.openxmlformats.org/officeDocument/2006/relationships/hyperlink" Target="http://www.wi-fi.org/discover-wi-fi/wigig-certified" TargetMode="External"/><Relationship Id="rId14" Type="http://schemas.openxmlformats.org/officeDocument/2006/relationships/hyperlink" Target="https://atap.google.com/soli" TargetMode="External"/><Relationship Id="rId22" Type="http://schemas.openxmlformats.org/officeDocument/2006/relationships/hyperlink" Target="http://www.etsi.org/deliver/etsi_en/305500_305599/30555001/01.02.01_60/en_30555001v010201p.pdf" TargetMode="External"/><Relationship Id="rId27" Type="http://schemas.openxmlformats.org/officeDocument/2006/relationships/hyperlink" Target="http://www.gsa.gov/portal/content/100916" TargetMode="External"/><Relationship Id="rId30" Type="http://schemas.openxmlformats.org/officeDocument/2006/relationships/hyperlink" Target="https://www.fcc.gov/general/technological-advisory-council" TargetMode="External"/><Relationship Id="rId35" Type="http://schemas.openxmlformats.org/officeDocument/2006/relationships/hyperlink" Target="http://user.engineering.uiowa.edu/%7Eece195/2006/docs/Doppler.pdf" TargetMode="External"/><Relationship Id="rId43" Type="http://schemas.openxmlformats.org/officeDocument/2006/relationships/hyperlink" Target="https://www.fcc.gov/document/fcc-closes-headquarters-open-window-and-changes-hand-delivery-policy" TargetMode="External"/><Relationship Id="rId48" Type="http://schemas.openxmlformats.org/officeDocument/2006/relationships/hyperlink" Target="https://www.census.gov/naics/?input=334220&amp;amp;year=2017&amp;amp;details=334220" TargetMode="External"/><Relationship Id="rId8" Type="http://schemas.openxmlformats.org/officeDocument/2006/relationships/hyperlink" Target="https://www.wi-fi.org/discover-wi-fi/wi-fi-certified-wigig" TargetMode="External"/><Relationship Id="rId51" Type="http://schemas.openxmlformats.org/officeDocument/2006/relationships/hyperlink" Target="https://docs.fcc.gov/public/attachments/DOC-370781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18949</Words>
  <Characters>108015</Characters>
  <Application>Microsoft Office Word</Application>
  <DocSecurity>0</DocSecurity>
  <Lines>900</Lines>
  <Paragraphs>253</Paragraphs>
  <ScaleCrop>false</ScaleCrop>
  <Company/>
  <LinksUpToDate>false</LinksUpToDate>
  <CharactersWithSpaces>126711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Holcomb, Jay</cp:lastModifiedBy>
  <cp:revision>3</cp:revision>
  <dcterms:created xsi:type="dcterms:W3CDTF">2021-08-20T07:58:00Z</dcterms:created>
  <dcterms:modified xsi:type="dcterms:W3CDTF">2021-08-20T15:31:00Z</dcterms:modified>
</cp:coreProperties>
</file>