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AB7D" w14:textId="77777777" w:rsidR="00FC6D7C" w:rsidRDefault="002032AD">
      <w:pPr>
        <w:pStyle w:val="BodyText"/>
        <w:spacing w:before="78"/>
        <w:ind w:right="115"/>
        <w:jc w:val="right"/>
      </w:pPr>
      <w:bookmarkStart w:id="0" w:name="60_GHz_NPRM_(ET_21-264)_Fact_Sheet_FINAL"/>
      <w:bookmarkEnd w:id="0"/>
      <w:r>
        <w:t>June 22, 2021</w:t>
      </w:r>
    </w:p>
    <w:p w14:paraId="54D9B72C" w14:textId="77777777" w:rsidR="00FC6D7C" w:rsidRDefault="00FC6D7C">
      <w:pPr>
        <w:pStyle w:val="BodyText"/>
        <w:rPr>
          <w:sz w:val="20"/>
        </w:rPr>
      </w:pPr>
    </w:p>
    <w:p w14:paraId="3F54E7E1" w14:textId="77777777" w:rsidR="00FC6D7C" w:rsidRDefault="00FC6D7C">
      <w:pPr>
        <w:pStyle w:val="BodyText"/>
        <w:spacing w:before="1"/>
        <w:rPr>
          <w:sz w:val="20"/>
        </w:rPr>
      </w:pPr>
    </w:p>
    <w:p w14:paraId="375074DC" w14:textId="77777777" w:rsidR="00FC6D7C" w:rsidRDefault="002032AD">
      <w:pPr>
        <w:pStyle w:val="Heading1"/>
        <w:ind w:left="2247" w:right="2247"/>
        <w:jc w:val="center"/>
        <w:rPr>
          <w:sz w:val="14"/>
        </w:rPr>
      </w:pPr>
      <w:r>
        <w:rPr>
          <w:u w:val="thick"/>
        </w:rPr>
        <w:t>FCC FACT SHEET</w:t>
      </w:r>
      <w:hyperlink w:anchor="_bookmark0" w:history="1">
        <w:r>
          <w:rPr>
            <w:position w:val="8"/>
            <w:sz w:val="14"/>
          </w:rPr>
          <w:t>*</w:t>
        </w:r>
      </w:hyperlink>
    </w:p>
    <w:p w14:paraId="249FF8C3" w14:textId="77777777" w:rsidR="00FC6D7C" w:rsidRDefault="00FC6D7C">
      <w:pPr>
        <w:pStyle w:val="BodyText"/>
        <w:rPr>
          <w:b/>
          <w:sz w:val="14"/>
        </w:rPr>
      </w:pPr>
    </w:p>
    <w:p w14:paraId="28170657" w14:textId="77777777" w:rsidR="00FC6D7C" w:rsidRDefault="002032AD">
      <w:pPr>
        <w:spacing w:before="92" w:line="252" w:lineRule="exact"/>
        <w:ind w:left="381"/>
        <w:rPr>
          <w:b/>
        </w:rPr>
      </w:pPr>
      <w:r>
        <w:rPr>
          <w:b/>
        </w:rPr>
        <w:t>Allowing Expanded Flexibility and Opportunities for Radar Operation in the 57-64 GHz band</w:t>
      </w:r>
    </w:p>
    <w:p w14:paraId="165B059C" w14:textId="77777777" w:rsidR="00FC6D7C" w:rsidRDefault="002032AD">
      <w:pPr>
        <w:pStyle w:val="BodyText"/>
        <w:spacing w:line="252" w:lineRule="exact"/>
        <w:ind w:left="2247" w:right="2247"/>
        <w:jc w:val="center"/>
      </w:pPr>
      <w:r>
        <w:t>Notice of Proposed Rulemaking – ET Docket No. 21-264</w:t>
      </w:r>
    </w:p>
    <w:p w14:paraId="3CF2E885" w14:textId="77777777" w:rsidR="00FC6D7C" w:rsidRDefault="00FC6D7C">
      <w:pPr>
        <w:pStyle w:val="BodyText"/>
      </w:pPr>
    </w:p>
    <w:p w14:paraId="4DCF0EA8" w14:textId="77777777" w:rsidR="00FC6D7C" w:rsidRDefault="002032AD">
      <w:pPr>
        <w:pStyle w:val="BodyText"/>
        <w:ind w:left="120" w:right="204" w:hanging="1"/>
      </w:pPr>
      <w:r>
        <w:rPr>
          <w:b/>
          <w:u w:val="thick"/>
        </w:rPr>
        <w:t>Background</w:t>
      </w:r>
      <w:r>
        <w:rPr>
          <w:b/>
        </w:rPr>
        <w:t xml:space="preserve">: </w:t>
      </w:r>
      <w:r>
        <w:t xml:space="preserve">Section 15.255 of the Commission’s rules sets forth the operational policies and technical parameters for unlicensed device operation in the 57-71 GHz band. Unlicensed devices that operate here generally include indoor/outdoor communication devices such as </w:t>
      </w:r>
      <w:proofErr w:type="spellStart"/>
      <w:r>
        <w:t>WiGig</w:t>
      </w:r>
      <w:proofErr w:type="spellEnd"/>
      <w:r>
        <w:t xml:space="preserve"> wireless local area networking (WLAN) devices and outdoor fixed point-to-point communication links, as well as field disturbance sensors (FDS) (e.g., radar devices) that are used in fixed applications or operate on a mobile basis but are restricted to short-range interactive motion sensor (SRIMS) use.</w:t>
      </w:r>
    </w:p>
    <w:p w14:paraId="1B7222CB" w14:textId="77777777" w:rsidR="00FC6D7C" w:rsidRDefault="002032AD">
      <w:pPr>
        <w:pStyle w:val="BodyText"/>
        <w:spacing w:before="116"/>
        <w:ind w:left="120"/>
      </w:pPr>
      <w:r>
        <w:t xml:space="preserve">Recent technological advancements for FDS/radar devices </w:t>
      </w:r>
      <w:proofErr w:type="gramStart"/>
      <w:r>
        <w:t>has</w:t>
      </w:r>
      <w:proofErr w:type="gramEnd"/>
      <w:r>
        <w:t xml:space="preserve"> led to increased demand for unlicensed mobile radar operations in the 57-64 GHz portion of the band. However, FDS/radar deployment to date is limited because the current rules limit the power limit to 30 dB below that of unlicensed communication devices in the band and restrict mobile operation to SRIMS applications. The Office of Engineering and Technology previously granted waivers to Google in 2018 and to </w:t>
      </w:r>
      <w:proofErr w:type="gramStart"/>
      <w:r>
        <w:t>a number of</w:t>
      </w:r>
      <w:proofErr w:type="gramEnd"/>
      <w:r>
        <w:t xml:space="preserve"> parties in early 2021 to operate mobile radars at higher power than permitted in the rules, but only in specific, narrowly defined situations. Moreover, in its January 14, </w:t>
      </w:r>
      <w:proofErr w:type="gramStart"/>
      <w:r>
        <w:t>2021</w:t>
      </w:r>
      <w:proofErr w:type="gramEnd"/>
      <w:r>
        <w:t xml:space="preserve"> meeting, the FCC’s Technology Advisory Committee recommended that the Commission initiate a rulemaking proceeding to take a comprehensive review of unlicensed use under Section 15.255; other interested parties have also encouraged this approach.</w:t>
      </w:r>
    </w:p>
    <w:p w14:paraId="04AD7E79" w14:textId="77777777" w:rsidR="00FC6D7C" w:rsidRDefault="00FC6D7C">
      <w:pPr>
        <w:pStyle w:val="BodyText"/>
        <w:spacing w:before="3"/>
        <w:rPr>
          <w:sz w:val="32"/>
        </w:rPr>
      </w:pPr>
    </w:p>
    <w:p w14:paraId="0ED98854" w14:textId="77777777" w:rsidR="00FC6D7C" w:rsidRDefault="002032AD">
      <w:pPr>
        <w:ind w:left="120"/>
        <w:rPr>
          <w:b/>
        </w:rPr>
      </w:pPr>
      <w:r>
        <w:rPr>
          <w:b/>
          <w:u w:val="thick"/>
        </w:rPr>
        <w:t xml:space="preserve">What the </w:t>
      </w:r>
      <w:r>
        <w:rPr>
          <w:b/>
          <w:i/>
          <w:u w:val="thick"/>
        </w:rPr>
        <w:t xml:space="preserve">Notice of Proposed Rulemaking </w:t>
      </w:r>
      <w:r>
        <w:rPr>
          <w:b/>
          <w:u w:val="thick"/>
        </w:rPr>
        <w:t>Would Do</w:t>
      </w:r>
      <w:r>
        <w:rPr>
          <w:b/>
        </w:rPr>
        <w:t>:</w:t>
      </w:r>
    </w:p>
    <w:p w14:paraId="4A4FC3F9" w14:textId="77777777" w:rsidR="00FC6D7C" w:rsidRDefault="00FC6D7C">
      <w:pPr>
        <w:pStyle w:val="BodyText"/>
        <w:spacing w:before="10"/>
        <w:rPr>
          <w:b/>
          <w:sz w:val="21"/>
        </w:rPr>
      </w:pPr>
    </w:p>
    <w:p w14:paraId="711E0FE8" w14:textId="77777777" w:rsidR="00FC6D7C" w:rsidRDefault="002032AD">
      <w:pPr>
        <w:pStyle w:val="ListParagraph"/>
        <w:numPr>
          <w:ilvl w:val="0"/>
          <w:numId w:val="11"/>
        </w:numPr>
        <w:tabs>
          <w:tab w:val="left" w:pos="839"/>
          <w:tab w:val="left" w:pos="841"/>
        </w:tabs>
        <w:ind w:right="115"/>
      </w:pPr>
      <w:r>
        <w:t xml:space="preserve">Propose to allow all unlicensed FDS/radar devices that operate under Section 15.255 and that limit their operating frequencies to the 57-64 GHz portion of the band to transmit at a maximum of 20 dBm average EIRP, 13 dBm/MHz average EIRP power spectral density, and 10 dBm transmitter conducted output power, along with a maximum 10% duty cycle restriction within any 33 </w:t>
      </w:r>
      <w:proofErr w:type="spellStart"/>
      <w:r>
        <w:t>ms</w:t>
      </w:r>
      <w:proofErr w:type="spellEnd"/>
      <w:r>
        <w:t xml:space="preserve"> interval. The NPRM recognizes that some parties have claimed that a minimum ‘off time’ between radar transmission bursts should be specified to permit radar operations to successfully coexist with existing and future unlicensed communications devices, and seeks technical details, </w:t>
      </w:r>
      <w:proofErr w:type="gramStart"/>
      <w:r>
        <w:t>studies</w:t>
      </w:r>
      <w:proofErr w:type="gramEnd"/>
      <w:r>
        <w:t xml:space="preserve"> and analyses to support this</w:t>
      </w:r>
      <w:r>
        <w:rPr>
          <w:spacing w:val="-9"/>
        </w:rPr>
        <w:t xml:space="preserve"> </w:t>
      </w:r>
      <w:r>
        <w:t>assertion.</w:t>
      </w:r>
    </w:p>
    <w:p w14:paraId="29551910" w14:textId="77777777" w:rsidR="00FC6D7C" w:rsidRDefault="002032AD">
      <w:pPr>
        <w:pStyle w:val="ListParagraph"/>
        <w:numPr>
          <w:ilvl w:val="0"/>
          <w:numId w:val="11"/>
        </w:numPr>
        <w:tabs>
          <w:tab w:val="left" w:pos="840"/>
          <w:tab w:val="left" w:pos="841"/>
        </w:tabs>
        <w:spacing w:before="117"/>
        <w:ind w:right="199" w:hanging="360"/>
      </w:pPr>
      <w:r>
        <w:t>Propose, under the rules that would permit both fixed and mobile radars to operate in the 60 GHz band, to remove the SRIMS term from section 15.255 because this limitation on mobile use would no longer be</w:t>
      </w:r>
      <w:r>
        <w:rPr>
          <w:spacing w:val="-1"/>
        </w:rPr>
        <w:t xml:space="preserve"> </w:t>
      </w:r>
      <w:r>
        <w:t>needed.</w:t>
      </w:r>
    </w:p>
    <w:p w14:paraId="40AF564D" w14:textId="77777777" w:rsidR="00FC6D7C" w:rsidRDefault="002032AD">
      <w:pPr>
        <w:pStyle w:val="ListParagraph"/>
        <w:numPr>
          <w:ilvl w:val="0"/>
          <w:numId w:val="11"/>
        </w:numPr>
        <w:tabs>
          <w:tab w:val="left" w:pos="840"/>
          <w:tab w:val="left" w:pos="841"/>
        </w:tabs>
        <w:spacing w:before="117"/>
        <w:ind w:right="153" w:hanging="360"/>
      </w:pPr>
      <w:r>
        <w:t>Request comments on the potential for mobile FDS/radar devices to operate in the 61.0-61.5 GHz band at the same 40 dBm EIRP this is already permitted for fixed FDS/radar</w:t>
      </w:r>
      <w:r>
        <w:rPr>
          <w:spacing w:val="-22"/>
        </w:rPr>
        <w:t xml:space="preserve"> </w:t>
      </w:r>
      <w:r>
        <w:t>devices.</w:t>
      </w:r>
    </w:p>
    <w:p w14:paraId="218E997F" w14:textId="77777777" w:rsidR="00FC6D7C" w:rsidRDefault="002032AD">
      <w:pPr>
        <w:pStyle w:val="ListParagraph"/>
        <w:numPr>
          <w:ilvl w:val="0"/>
          <w:numId w:val="11"/>
        </w:numPr>
        <w:tabs>
          <w:tab w:val="left" w:pos="840"/>
          <w:tab w:val="left" w:pos="841"/>
        </w:tabs>
        <w:spacing w:before="117"/>
        <w:ind w:right="238" w:hanging="360"/>
      </w:pPr>
      <w:r>
        <w:t>Solicit input on whether the Commission could permit FDS/radar devices that incorporate listen- before-talk, spectrum sensing, or other methods of coexistence to operate across the entire 57-71 GHz band at the same power level (i.e., 40 dBm EIRP) as currently is permitted for 60 GHz communication devices, as well as whether there are other studies or information that could inform the final rules the Commission might</w:t>
      </w:r>
      <w:r>
        <w:rPr>
          <w:spacing w:val="-11"/>
        </w:rPr>
        <w:t xml:space="preserve"> </w:t>
      </w:r>
      <w:r>
        <w:t>adopt.</w:t>
      </w:r>
    </w:p>
    <w:p w14:paraId="76A36896" w14:textId="77777777" w:rsidR="00FC6D7C" w:rsidRDefault="00FC6D7C">
      <w:pPr>
        <w:pStyle w:val="BodyText"/>
        <w:rPr>
          <w:sz w:val="20"/>
        </w:rPr>
      </w:pPr>
    </w:p>
    <w:p w14:paraId="75F03F52" w14:textId="77777777" w:rsidR="00FC6D7C" w:rsidRDefault="0023630A">
      <w:pPr>
        <w:pStyle w:val="BodyText"/>
        <w:spacing w:before="7"/>
        <w:rPr>
          <w:sz w:val="14"/>
        </w:rPr>
      </w:pPr>
      <w:r>
        <w:pict w14:anchorId="67C7D4C1">
          <v:line id="_x0000_s1050" style="position:absolute;z-index:251645440;mso-wrap-distance-left:0;mso-wrap-distance-right:0;mso-position-horizontal-relative:page" from="1in,10.65pt" to="3in,10.65pt" strokeweight=".21131mm">
            <w10:wrap type="topAndBottom" anchorx="page"/>
          </v:line>
        </w:pict>
      </w:r>
    </w:p>
    <w:p w14:paraId="1CBA1E4F" w14:textId="77777777" w:rsidR="00FC6D7C" w:rsidRDefault="002032AD">
      <w:pPr>
        <w:pStyle w:val="ListParagraph"/>
        <w:numPr>
          <w:ilvl w:val="0"/>
          <w:numId w:val="10"/>
        </w:numPr>
        <w:tabs>
          <w:tab w:val="left" w:pos="236"/>
        </w:tabs>
        <w:spacing w:before="60"/>
        <w:ind w:right="119" w:firstLine="1"/>
        <w:rPr>
          <w:sz w:val="20"/>
        </w:rPr>
      </w:pPr>
      <w:bookmarkStart w:id="1" w:name="_bookmark0"/>
      <w:bookmarkEnd w:id="1"/>
      <w:r>
        <w:rPr>
          <w:sz w:val="20"/>
        </w:rPr>
        <w:t>This document is being released as part of a “permit-but-disclose” proceeding. Any presentations or views on the subject expressed to the Commission or its staff, including by email, must be filed in ET Docket No. 21-264, which may be accessed via the Electronic Comment Filing System (https</w:t>
      </w:r>
      <w:hyperlink r:id="rId7">
        <w:r>
          <w:rPr>
            <w:sz w:val="20"/>
          </w:rPr>
          <w:t>://w</w:t>
        </w:r>
      </w:hyperlink>
      <w:r>
        <w:rPr>
          <w:sz w:val="20"/>
        </w:rPr>
        <w:t>ww.</w:t>
      </w:r>
      <w:hyperlink r:id="rId8">
        <w:r>
          <w:rPr>
            <w:sz w:val="20"/>
          </w:rPr>
          <w:t>fcc.gov/ecfs/).</w:t>
        </w:r>
      </w:hyperlink>
      <w:r>
        <w:rPr>
          <w:sz w:val="20"/>
        </w:rPr>
        <w:t xml:space="preserve"> Before filing, participants should familiarize themselves with the Commission’s </w:t>
      </w:r>
      <w:r>
        <w:rPr>
          <w:i/>
          <w:sz w:val="20"/>
        </w:rPr>
        <w:t xml:space="preserve">ex </w:t>
      </w:r>
      <w:proofErr w:type="spellStart"/>
      <w:r>
        <w:rPr>
          <w:i/>
          <w:sz w:val="20"/>
        </w:rPr>
        <w:t>parte</w:t>
      </w:r>
      <w:proofErr w:type="spellEnd"/>
      <w:r>
        <w:rPr>
          <w:i/>
          <w:sz w:val="20"/>
        </w:rPr>
        <w:t xml:space="preserve"> </w:t>
      </w:r>
      <w:r>
        <w:rPr>
          <w:sz w:val="20"/>
        </w:rPr>
        <w:t xml:space="preserve">rules, including the general prohibition on presentations (written and oral) on matters listed on the Sunshine Agenda, which is typically released a week prior to the Commission’s meeting. </w:t>
      </w:r>
      <w:r>
        <w:rPr>
          <w:i/>
          <w:sz w:val="20"/>
        </w:rPr>
        <w:t xml:space="preserve">See </w:t>
      </w:r>
      <w:r>
        <w:rPr>
          <w:sz w:val="20"/>
        </w:rPr>
        <w:t>47 CFR § 1.1200 et</w:t>
      </w:r>
      <w:r>
        <w:rPr>
          <w:spacing w:val="-15"/>
          <w:sz w:val="20"/>
        </w:rPr>
        <w:t xml:space="preserve"> </w:t>
      </w:r>
      <w:r>
        <w:rPr>
          <w:sz w:val="20"/>
        </w:rPr>
        <w:t>seq.</w:t>
      </w:r>
    </w:p>
    <w:p w14:paraId="2B29775F" w14:textId="77777777" w:rsidR="00FC6D7C" w:rsidRDefault="00FC6D7C">
      <w:pPr>
        <w:rPr>
          <w:sz w:val="20"/>
        </w:rPr>
        <w:sectPr w:rsidR="00FC6D7C">
          <w:type w:val="continuous"/>
          <w:pgSz w:w="12240" w:h="15840"/>
          <w:pgMar w:top="640" w:right="1320" w:bottom="280" w:left="1320" w:header="720" w:footer="720" w:gutter="0"/>
          <w:cols w:space="720"/>
        </w:sectPr>
      </w:pPr>
    </w:p>
    <w:p w14:paraId="70D5339A" w14:textId="77777777" w:rsidR="00FC6D7C" w:rsidRDefault="00FC6D7C">
      <w:pPr>
        <w:pStyle w:val="BodyText"/>
        <w:rPr>
          <w:sz w:val="20"/>
        </w:rPr>
      </w:pPr>
    </w:p>
    <w:p w14:paraId="3E298EB6" w14:textId="77777777" w:rsidR="00FC6D7C" w:rsidRDefault="00FC6D7C">
      <w:pPr>
        <w:pStyle w:val="BodyText"/>
        <w:spacing w:before="9"/>
        <w:rPr>
          <w:sz w:val="18"/>
        </w:rPr>
      </w:pPr>
    </w:p>
    <w:p w14:paraId="5B54A805" w14:textId="77777777" w:rsidR="00FC6D7C" w:rsidRDefault="002032AD">
      <w:pPr>
        <w:spacing w:line="252" w:lineRule="exact"/>
        <w:ind w:left="2876" w:right="2717"/>
        <w:jc w:val="center"/>
        <w:rPr>
          <w:b/>
        </w:rPr>
      </w:pPr>
      <w:bookmarkStart w:id="2" w:name="CLAS_NO_210078_-_(PR)_60_GHz_NPRM"/>
      <w:bookmarkEnd w:id="2"/>
      <w:r>
        <w:rPr>
          <w:b/>
        </w:rPr>
        <w:t>Before the</w:t>
      </w:r>
    </w:p>
    <w:p w14:paraId="59BEA1BB" w14:textId="77777777" w:rsidR="00FC6D7C" w:rsidRDefault="002032AD">
      <w:pPr>
        <w:ind w:left="2876" w:right="2714"/>
        <w:jc w:val="center"/>
        <w:rPr>
          <w:b/>
        </w:rPr>
      </w:pPr>
      <w:r>
        <w:rPr>
          <w:b/>
        </w:rPr>
        <w:t>Federal Communications Commission Washington, D.C. 20554</w:t>
      </w:r>
    </w:p>
    <w:p w14:paraId="014F5B94" w14:textId="77777777" w:rsidR="00FC6D7C" w:rsidRDefault="00FC6D7C">
      <w:pPr>
        <w:pStyle w:val="BodyText"/>
        <w:rPr>
          <w:b/>
          <w:sz w:val="20"/>
        </w:rPr>
      </w:pPr>
    </w:p>
    <w:p w14:paraId="5C78EBAB" w14:textId="77777777" w:rsidR="00FC6D7C" w:rsidRDefault="00FC6D7C">
      <w:pPr>
        <w:pStyle w:val="BodyText"/>
        <w:spacing w:before="9"/>
        <w:rPr>
          <w:b/>
          <w:sz w:val="24"/>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146"/>
        <w:gridCol w:w="1103"/>
        <w:gridCol w:w="2451"/>
      </w:tblGrid>
      <w:tr w:rsidR="00FC6D7C" w14:paraId="5473DAB2" w14:textId="77777777">
        <w:trPr>
          <w:trHeight w:hRule="exact" w:val="1003"/>
        </w:trPr>
        <w:tc>
          <w:tcPr>
            <w:tcW w:w="4146" w:type="dxa"/>
          </w:tcPr>
          <w:p w14:paraId="25F5F416" w14:textId="77777777" w:rsidR="00FC6D7C" w:rsidRDefault="002032AD">
            <w:pPr>
              <w:pStyle w:val="TableParagraph"/>
              <w:spacing w:line="244" w:lineRule="exact"/>
              <w:ind w:left="200"/>
            </w:pPr>
            <w:r>
              <w:t>In the Matter of</w:t>
            </w:r>
          </w:p>
          <w:p w14:paraId="67A1C3AF" w14:textId="77777777" w:rsidR="00FC6D7C" w:rsidRDefault="00FC6D7C">
            <w:pPr>
              <w:pStyle w:val="TableParagraph"/>
              <w:rPr>
                <w:b/>
              </w:rPr>
            </w:pPr>
          </w:p>
          <w:p w14:paraId="43DD0CA8" w14:textId="77777777" w:rsidR="00FC6D7C" w:rsidRDefault="002032AD">
            <w:pPr>
              <w:pStyle w:val="TableParagraph"/>
              <w:ind w:left="200" w:right="663"/>
            </w:pPr>
            <w:r>
              <w:t>Amendment of Section 15.255 of the Commission’s Rules</w:t>
            </w:r>
          </w:p>
        </w:tc>
        <w:tc>
          <w:tcPr>
            <w:tcW w:w="1103" w:type="dxa"/>
          </w:tcPr>
          <w:p w14:paraId="123B5B15" w14:textId="77777777" w:rsidR="00FC6D7C" w:rsidRDefault="002032AD">
            <w:pPr>
              <w:pStyle w:val="TableParagraph"/>
              <w:spacing w:line="244" w:lineRule="exact"/>
              <w:ind w:right="276"/>
              <w:jc w:val="right"/>
              <w:rPr>
                <w:b/>
              </w:rPr>
            </w:pPr>
            <w:r>
              <w:rPr>
                <w:b/>
              </w:rPr>
              <w:t>)</w:t>
            </w:r>
          </w:p>
          <w:p w14:paraId="0A21E423" w14:textId="77777777" w:rsidR="00FC6D7C" w:rsidRDefault="002032AD">
            <w:pPr>
              <w:pStyle w:val="TableParagraph"/>
              <w:spacing w:line="252" w:lineRule="exact"/>
              <w:ind w:right="276"/>
              <w:jc w:val="right"/>
              <w:rPr>
                <w:b/>
              </w:rPr>
            </w:pPr>
            <w:r>
              <w:rPr>
                <w:b/>
              </w:rPr>
              <w:t>)</w:t>
            </w:r>
          </w:p>
          <w:p w14:paraId="5139CC55" w14:textId="77777777" w:rsidR="00FC6D7C" w:rsidRDefault="002032AD">
            <w:pPr>
              <w:pStyle w:val="TableParagraph"/>
              <w:spacing w:before="1" w:line="252" w:lineRule="exact"/>
              <w:ind w:right="276"/>
              <w:jc w:val="right"/>
              <w:rPr>
                <w:b/>
              </w:rPr>
            </w:pPr>
            <w:r>
              <w:rPr>
                <w:b/>
              </w:rPr>
              <w:t>)</w:t>
            </w:r>
          </w:p>
          <w:p w14:paraId="3160CCDE" w14:textId="77777777" w:rsidR="00FC6D7C" w:rsidRDefault="002032AD">
            <w:pPr>
              <w:pStyle w:val="TableParagraph"/>
              <w:spacing w:line="252" w:lineRule="exact"/>
              <w:ind w:right="276"/>
              <w:jc w:val="right"/>
              <w:rPr>
                <w:b/>
              </w:rPr>
            </w:pPr>
            <w:r>
              <w:rPr>
                <w:b/>
              </w:rPr>
              <w:t>)</w:t>
            </w:r>
          </w:p>
        </w:tc>
        <w:tc>
          <w:tcPr>
            <w:tcW w:w="2451" w:type="dxa"/>
          </w:tcPr>
          <w:p w14:paraId="69A04161" w14:textId="77777777" w:rsidR="00FC6D7C" w:rsidRDefault="00FC6D7C">
            <w:pPr>
              <w:pStyle w:val="TableParagraph"/>
              <w:rPr>
                <w:b/>
                <w:sz w:val="24"/>
              </w:rPr>
            </w:pPr>
          </w:p>
          <w:p w14:paraId="43F9132F" w14:textId="77777777" w:rsidR="00FC6D7C" w:rsidRDefault="00FC6D7C">
            <w:pPr>
              <w:pStyle w:val="TableParagraph"/>
              <w:spacing w:before="3"/>
              <w:rPr>
                <w:b/>
                <w:sz w:val="19"/>
              </w:rPr>
            </w:pPr>
          </w:p>
          <w:p w14:paraId="4561CFF6" w14:textId="77777777" w:rsidR="00FC6D7C" w:rsidRDefault="002032AD">
            <w:pPr>
              <w:pStyle w:val="TableParagraph"/>
              <w:ind w:left="278"/>
            </w:pPr>
            <w:r>
              <w:t>ET Docket No. 21-264</w:t>
            </w:r>
          </w:p>
        </w:tc>
      </w:tr>
    </w:tbl>
    <w:p w14:paraId="7B99BFB1" w14:textId="77777777" w:rsidR="00FC6D7C" w:rsidRDefault="00FC6D7C">
      <w:pPr>
        <w:pStyle w:val="BodyText"/>
        <w:rPr>
          <w:b/>
          <w:sz w:val="20"/>
        </w:rPr>
      </w:pPr>
    </w:p>
    <w:p w14:paraId="545BF21E" w14:textId="77777777" w:rsidR="00FC6D7C" w:rsidRDefault="00FC6D7C">
      <w:pPr>
        <w:pStyle w:val="BodyText"/>
        <w:spacing w:before="11"/>
        <w:rPr>
          <w:b/>
          <w:sz w:val="15"/>
        </w:rPr>
      </w:pPr>
    </w:p>
    <w:p w14:paraId="66645CCF" w14:textId="77777777" w:rsidR="00FC6D7C" w:rsidRDefault="002032AD">
      <w:pPr>
        <w:spacing w:before="92"/>
        <w:ind w:left="2876" w:right="2717"/>
        <w:jc w:val="center"/>
        <w:rPr>
          <w:b/>
          <w:sz w:val="13"/>
        </w:rPr>
      </w:pPr>
      <w:r>
        <w:rPr>
          <w:b/>
        </w:rPr>
        <w:t>NOTICE OF PROPOSED RULEMAKING</w:t>
      </w:r>
      <w:hyperlink w:anchor="_bookmark1" w:history="1">
        <w:r>
          <w:rPr>
            <w:b/>
            <w:position w:val="7"/>
            <w:sz w:val="13"/>
          </w:rPr>
          <w:t>*</w:t>
        </w:r>
      </w:hyperlink>
    </w:p>
    <w:p w14:paraId="33497154" w14:textId="77777777" w:rsidR="00FC6D7C" w:rsidRDefault="00FC6D7C">
      <w:pPr>
        <w:pStyle w:val="BodyText"/>
        <w:spacing w:before="11"/>
        <w:rPr>
          <w:b/>
          <w:sz w:val="19"/>
        </w:rPr>
      </w:pPr>
    </w:p>
    <w:p w14:paraId="238D6E39" w14:textId="77777777" w:rsidR="00FC6D7C" w:rsidRDefault="002032AD">
      <w:pPr>
        <w:tabs>
          <w:tab w:val="left" w:pos="8524"/>
        </w:tabs>
        <w:ind w:left="300"/>
        <w:rPr>
          <w:b/>
        </w:rPr>
      </w:pPr>
      <w:r>
        <w:rPr>
          <w:b/>
          <w:spacing w:val="-3"/>
        </w:rPr>
        <w:t>Adopted</w:t>
      </w:r>
      <w:proofErr w:type="gramStart"/>
      <w:r>
        <w:rPr>
          <w:b/>
          <w:spacing w:val="-3"/>
        </w:rPr>
        <w:t xml:space="preserve">: </w:t>
      </w:r>
      <w:r>
        <w:rPr>
          <w:b/>
          <w:spacing w:val="-1"/>
        </w:rPr>
        <w:t xml:space="preserve"> </w:t>
      </w:r>
      <w:r>
        <w:rPr>
          <w:b/>
        </w:rPr>
        <w:t>[</w:t>
      </w:r>
      <w:proofErr w:type="gramEnd"/>
      <w:r>
        <w:rPr>
          <w:b/>
        </w:rPr>
        <w:t>]</w:t>
      </w:r>
      <w:r>
        <w:rPr>
          <w:b/>
        </w:rPr>
        <w:tab/>
      </w:r>
      <w:r>
        <w:rPr>
          <w:b/>
          <w:spacing w:val="-3"/>
        </w:rPr>
        <w:t xml:space="preserve">Released: </w:t>
      </w:r>
      <w:r>
        <w:rPr>
          <w:b/>
          <w:spacing w:val="5"/>
        </w:rPr>
        <w:t xml:space="preserve"> </w:t>
      </w:r>
      <w:r>
        <w:rPr>
          <w:b/>
        </w:rPr>
        <w:t>[]</w:t>
      </w:r>
    </w:p>
    <w:p w14:paraId="03CA37DC" w14:textId="77777777" w:rsidR="00FC6D7C" w:rsidRDefault="00FC6D7C">
      <w:pPr>
        <w:pStyle w:val="BodyText"/>
        <w:spacing w:before="6"/>
        <w:rPr>
          <w:b/>
          <w:sz w:val="20"/>
        </w:rPr>
      </w:pPr>
    </w:p>
    <w:p w14:paraId="7FCD9A68" w14:textId="77777777" w:rsidR="00FC6D7C" w:rsidRDefault="002032AD">
      <w:pPr>
        <w:spacing w:line="252" w:lineRule="exact"/>
        <w:ind w:left="300"/>
        <w:rPr>
          <w:b/>
        </w:rPr>
      </w:pPr>
      <w:r>
        <w:rPr>
          <w:b/>
        </w:rPr>
        <w:t>Comment Date:  30 days after Federal Register publication</w:t>
      </w:r>
    </w:p>
    <w:p w14:paraId="0DA97D6C" w14:textId="77777777" w:rsidR="00FC6D7C" w:rsidRDefault="002032AD">
      <w:pPr>
        <w:spacing w:line="252" w:lineRule="exact"/>
        <w:ind w:left="300"/>
        <w:rPr>
          <w:b/>
        </w:rPr>
      </w:pPr>
      <w:r>
        <w:rPr>
          <w:b/>
        </w:rPr>
        <w:t>Reply Comment Date:  60 days after Federal Register publication</w:t>
      </w:r>
    </w:p>
    <w:p w14:paraId="3A3D529B" w14:textId="77777777" w:rsidR="00FC6D7C" w:rsidRDefault="00FC6D7C">
      <w:pPr>
        <w:pStyle w:val="BodyText"/>
        <w:rPr>
          <w:b/>
        </w:rPr>
      </w:pPr>
    </w:p>
    <w:p w14:paraId="5D96CAE4" w14:textId="77777777" w:rsidR="00FC6D7C" w:rsidRDefault="002032AD">
      <w:pPr>
        <w:pStyle w:val="BodyText"/>
        <w:ind w:left="300"/>
      </w:pPr>
      <w:r>
        <w:t>By the Commission:</w:t>
      </w:r>
    </w:p>
    <w:p w14:paraId="7CF26AB6" w14:textId="77777777" w:rsidR="00FC6D7C" w:rsidRDefault="00FC6D7C">
      <w:pPr>
        <w:pStyle w:val="BodyText"/>
        <w:spacing w:before="2"/>
      </w:pPr>
    </w:p>
    <w:p w14:paraId="7AF4B8CE" w14:textId="77777777" w:rsidR="00FC6D7C" w:rsidRDefault="002032AD">
      <w:pPr>
        <w:pStyle w:val="Heading1"/>
        <w:numPr>
          <w:ilvl w:val="1"/>
          <w:numId w:val="10"/>
        </w:numPr>
        <w:tabs>
          <w:tab w:val="left" w:pos="1019"/>
          <w:tab w:val="left" w:pos="1021"/>
        </w:tabs>
        <w:ind w:hanging="720"/>
        <w:jc w:val="left"/>
      </w:pPr>
      <w:bookmarkStart w:id="3" w:name="I._introduction"/>
      <w:bookmarkEnd w:id="3"/>
      <w:r>
        <w:t>INTRODUCTION</w:t>
      </w:r>
    </w:p>
    <w:p w14:paraId="1962BE3C" w14:textId="77777777" w:rsidR="00FC6D7C" w:rsidRDefault="002032AD">
      <w:pPr>
        <w:pStyle w:val="ListParagraph"/>
        <w:numPr>
          <w:ilvl w:val="2"/>
          <w:numId w:val="10"/>
        </w:numPr>
        <w:tabs>
          <w:tab w:val="left" w:pos="1740"/>
          <w:tab w:val="left" w:pos="1741"/>
        </w:tabs>
        <w:spacing w:before="116"/>
        <w:ind w:right="289" w:firstLine="720"/>
      </w:pPr>
      <w:r>
        <w:t>In this Notice of Proposed Rulemaking (NPRM), we propose to revise our rules to provide expanded operational flexibility to unlicensed field disturbance sensor (FDS) devices (e.g., radars) that operate in the 57-64 GHz band (60 GHz band) under section 15.255 of our rules.</w:t>
      </w:r>
      <w:hyperlink w:anchor="_bookmark2" w:history="1">
        <w:r>
          <w:rPr>
            <w:position w:val="7"/>
            <w:sz w:val="13"/>
          </w:rPr>
          <w:t>1</w:t>
        </w:r>
      </w:hyperlink>
      <w:r>
        <w:rPr>
          <w:position w:val="7"/>
          <w:sz w:val="13"/>
        </w:rPr>
        <w:t xml:space="preserve"> </w:t>
      </w:r>
      <w:r>
        <w:t>Our proposal recognizes the increasing practicality of using mobile radar devices in the 60 GHz band to perform innovative and life-saving functions, including gesture control, detection of unattended children in vehicles, and monitoring of vulnerable medical patients, and it is designed to stimulate the development of new products and services in a wide variety of areas to include, for example, personal safety, autonomous vehicles, home automation, environmental control, and healthcare monitoring, while also ensuring coexistence among unlicensed FDS devices and current and future unlicensed communications devices in the 60 GHz</w:t>
      </w:r>
      <w:r>
        <w:rPr>
          <w:spacing w:val="-5"/>
        </w:rPr>
        <w:t xml:space="preserve"> </w:t>
      </w:r>
      <w:r>
        <w:t>band.</w:t>
      </w:r>
    </w:p>
    <w:p w14:paraId="7C28BFF6" w14:textId="77777777" w:rsidR="00FC6D7C" w:rsidRDefault="002032AD">
      <w:pPr>
        <w:pStyle w:val="ListParagraph"/>
        <w:numPr>
          <w:ilvl w:val="2"/>
          <w:numId w:val="10"/>
        </w:numPr>
        <w:tabs>
          <w:tab w:val="left" w:pos="1739"/>
          <w:tab w:val="left" w:pos="1740"/>
        </w:tabs>
        <w:spacing w:before="116"/>
        <w:ind w:left="299" w:right="171" w:firstLine="720"/>
      </w:pPr>
      <w:r>
        <w:t>We propose to update and streamline the rules for 60 GHz radar operations while promoting compatibility with the unlicensed communications operations that have long been permitted in the band, as well as to continue to ensure that all unlicensed operations in the band – whether operating as communications devices or FDS radars – do not cause harmful interference to licensed and authorized Federal and non-Federal users. Specifically, we propose to permit up to 20 dBm average EIRP, 10 dBm transmitter conducted output power, 13 dBm/MHz average EIRP power spectral density and 10% duty cycle in every 33 milliseconds (</w:t>
      </w:r>
      <w:proofErr w:type="spellStart"/>
      <w:r>
        <w:t>ms</w:t>
      </w:r>
      <w:proofErr w:type="spellEnd"/>
      <w:r>
        <w:t>) interval for all FDS devices operating in the 57-64 GHz band; investigate the potential for mobile FDS devices to operate in the 61.0-61.5 GHz band at the same</w:t>
      </w:r>
      <w:r>
        <w:rPr>
          <w:spacing w:val="-18"/>
        </w:rPr>
        <w:t xml:space="preserve"> </w:t>
      </w:r>
      <w:proofErr w:type="gramStart"/>
      <w:r>
        <w:t>40</w:t>
      </w:r>
      <w:proofErr w:type="gramEnd"/>
    </w:p>
    <w:p w14:paraId="42593B1A" w14:textId="77777777" w:rsidR="00FC6D7C" w:rsidRDefault="0023630A">
      <w:pPr>
        <w:pStyle w:val="BodyText"/>
        <w:rPr>
          <w:sz w:val="19"/>
        </w:rPr>
      </w:pPr>
      <w:r>
        <w:pict w14:anchorId="7839DA5C">
          <v:line id="_x0000_s1049" style="position:absolute;z-index:251646464;mso-wrap-distance-left:0;mso-wrap-distance-right:0;mso-position-horizontal-relative:page" from="1in,13.2pt" to="3in,13.2pt" strokeweight=".6pt">
            <w10:wrap type="topAndBottom" anchorx="page"/>
          </v:line>
        </w:pict>
      </w:r>
    </w:p>
    <w:p w14:paraId="743D1C4C" w14:textId="77777777" w:rsidR="00FC6D7C" w:rsidRDefault="002032AD">
      <w:pPr>
        <w:spacing w:before="63"/>
        <w:ind w:left="300" w:right="131" w:hanging="1"/>
        <w:rPr>
          <w:sz w:val="20"/>
        </w:rPr>
      </w:pPr>
      <w:bookmarkStart w:id="4" w:name="_bookmark1"/>
      <w:bookmarkEnd w:id="4"/>
      <w:r>
        <w:rPr>
          <w:position w:val="7"/>
          <w:sz w:val="13"/>
        </w:rPr>
        <w:t xml:space="preserve">* </w:t>
      </w:r>
      <w:r>
        <w:rPr>
          <w:sz w:val="20"/>
        </w:rPr>
        <w:t>This document has been circulated for tentative consideration by the Commission at its July 2021 open meeting. The issues referenced in this document and the Commission’s ultimate resolutions of those issues remain under consideration and subject to change. This document does not constitute any official action by the Commission.</w:t>
      </w:r>
    </w:p>
    <w:p w14:paraId="6773973A" w14:textId="77777777" w:rsidR="00FC6D7C" w:rsidRDefault="002032AD">
      <w:pPr>
        <w:ind w:left="299" w:right="154"/>
        <w:rPr>
          <w:sz w:val="20"/>
        </w:rPr>
      </w:pPr>
      <w:r>
        <w:rPr>
          <w:sz w:val="20"/>
        </w:rPr>
        <w:t xml:space="preserve">However, the Acting Chairwoman has determined that, in the interest of promoting the public’s ability to understand the nature and scope of 4 issues under consideration, the public interest would be served by making this document publicly available. The Commission’s </w:t>
      </w:r>
      <w:r>
        <w:rPr>
          <w:i/>
          <w:sz w:val="20"/>
        </w:rPr>
        <w:t xml:space="preserve">ex </w:t>
      </w:r>
      <w:proofErr w:type="spellStart"/>
      <w:r>
        <w:rPr>
          <w:i/>
          <w:sz w:val="20"/>
        </w:rPr>
        <w:t>parte</w:t>
      </w:r>
      <w:proofErr w:type="spellEnd"/>
      <w:r>
        <w:rPr>
          <w:i/>
          <w:sz w:val="20"/>
        </w:rPr>
        <w:t xml:space="preserve"> </w:t>
      </w:r>
      <w:r>
        <w:rPr>
          <w:sz w:val="20"/>
        </w:rPr>
        <w:t xml:space="preserve">rules </w:t>
      </w:r>
      <w:proofErr w:type="gramStart"/>
      <w:r>
        <w:rPr>
          <w:sz w:val="20"/>
        </w:rPr>
        <w:t>apply</w:t>
      </w:r>
      <w:proofErr w:type="gramEnd"/>
      <w:r>
        <w:rPr>
          <w:sz w:val="20"/>
        </w:rPr>
        <w:t xml:space="preserve"> and presentations are subject to “permit-but-disclose” </w:t>
      </w:r>
      <w:r>
        <w:rPr>
          <w:i/>
          <w:sz w:val="20"/>
        </w:rPr>
        <w:t xml:space="preserve">ex </w:t>
      </w:r>
      <w:proofErr w:type="spellStart"/>
      <w:r>
        <w:rPr>
          <w:i/>
          <w:sz w:val="20"/>
        </w:rPr>
        <w:t>parte</w:t>
      </w:r>
      <w:proofErr w:type="spellEnd"/>
      <w:r>
        <w:rPr>
          <w:i/>
          <w:sz w:val="20"/>
        </w:rPr>
        <w:t xml:space="preserve"> </w:t>
      </w:r>
      <w:r>
        <w:rPr>
          <w:sz w:val="20"/>
        </w:rPr>
        <w:t xml:space="preserve">rules. </w:t>
      </w:r>
      <w:r>
        <w:rPr>
          <w:i/>
          <w:sz w:val="20"/>
        </w:rPr>
        <w:t>See, e.g</w:t>
      </w:r>
      <w:r>
        <w:rPr>
          <w:sz w:val="20"/>
        </w:rPr>
        <w:t xml:space="preserve">., 47 CFR §§ 1.1206, 1.1200(a). Participants in this proceeding should familiarize themselves with the Commission’s </w:t>
      </w:r>
      <w:r>
        <w:rPr>
          <w:i/>
          <w:sz w:val="20"/>
        </w:rPr>
        <w:t xml:space="preserve">ex </w:t>
      </w:r>
      <w:proofErr w:type="spellStart"/>
      <w:r>
        <w:rPr>
          <w:i/>
          <w:sz w:val="20"/>
        </w:rPr>
        <w:t>parte</w:t>
      </w:r>
      <w:proofErr w:type="spellEnd"/>
      <w:r>
        <w:rPr>
          <w:i/>
          <w:sz w:val="20"/>
        </w:rPr>
        <w:t xml:space="preserve"> </w:t>
      </w:r>
      <w:r>
        <w:rPr>
          <w:sz w:val="20"/>
        </w:rPr>
        <w:t xml:space="preserve">rules, including the general prohibition on presentations (written and oral) on matters listed on the Sunshine Agenda, which is typically released a week prior to the Commission’s meeting. </w:t>
      </w:r>
      <w:r>
        <w:rPr>
          <w:i/>
          <w:sz w:val="20"/>
        </w:rPr>
        <w:t xml:space="preserve">See </w:t>
      </w:r>
      <w:r>
        <w:rPr>
          <w:sz w:val="20"/>
        </w:rPr>
        <w:t>47 CFR §§ 1.1200(a),</w:t>
      </w:r>
      <w:r>
        <w:rPr>
          <w:spacing w:val="-7"/>
          <w:sz w:val="20"/>
        </w:rPr>
        <w:t xml:space="preserve"> </w:t>
      </w:r>
      <w:r>
        <w:rPr>
          <w:sz w:val="20"/>
        </w:rPr>
        <w:t>1.1203.</w:t>
      </w:r>
    </w:p>
    <w:p w14:paraId="587D8394" w14:textId="77777777" w:rsidR="00FC6D7C" w:rsidRDefault="002032AD">
      <w:pPr>
        <w:spacing w:before="114"/>
        <w:ind w:left="300"/>
        <w:rPr>
          <w:sz w:val="20"/>
        </w:rPr>
      </w:pPr>
      <w:bookmarkStart w:id="5" w:name="_bookmark2"/>
      <w:bookmarkEnd w:id="5"/>
      <w:r>
        <w:rPr>
          <w:position w:val="7"/>
          <w:sz w:val="13"/>
        </w:rPr>
        <w:t xml:space="preserve">1 </w:t>
      </w:r>
      <w:r>
        <w:rPr>
          <w:sz w:val="20"/>
        </w:rPr>
        <w:t>47 CFR § 15.255.</w:t>
      </w:r>
    </w:p>
    <w:p w14:paraId="622DBA1A" w14:textId="77777777" w:rsidR="00FC6D7C" w:rsidRDefault="00FC6D7C">
      <w:pPr>
        <w:rPr>
          <w:sz w:val="20"/>
        </w:rPr>
        <w:sectPr w:rsidR="00FC6D7C">
          <w:headerReference w:type="default" r:id="rId9"/>
          <w:pgSz w:w="12240" w:h="15840"/>
          <w:pgMar w:top="980" w:right="1300" w:bottom="280" w:left="1140" w:header="727" w:footer="0" w:gutter="0"/>
          <w:cols w:space="720"/>
        </w:sectPr>
      </w:pPr>
    </w:p>
    <w:p w14:paraId="0F496285" w14:textId="77777777" w:rsidR="00FC6D7C" w:rsidRDefault="00FC6D7C">
      <w:pPr>
        <w:pStyle w:val="BodyText"/>
        <w:rPr>
          <w:sz w:val="20"/>
        </w:rPr>
      </w:pPr>
    </w:p>
    <w:p w14:paraId="0D555173" w14:textId="77777777" w:rsidR="00FC6D7C" w:rsidRDefault="00FC6D7C">
      <w:pPr>
        <w:pStyle w:val="BodyText"/>
        <w:spacing w:before="4"/>
      </w:pPr>
    </w:p>
    <w:p w14:paraId="1D22670C" w14:textId="77777777" w:rsidR="00FC6D7C" w:rsidRDefault="002032AD">
      <w:pPr>
        <w:pStyle w:val="BodyText"/>
        <w:ind w:left="119" w:right="102"/>
      </w:pPr>
      <w:r>
        <w:t>dBm EIRP at which fixed FDS devices currently are permitted to operate; and ask whether we could permit radar devices that incorporate listen-before-talk, spectrum sensing, or other methods of coexistence to operate across the entire 57-71 GHz band at the same power level (i.e., 40 dBm EIRP) as currently is permitted for 60 GHz communication devices.</w:t>
      </w:r>
    </w:p>
    <w:p w14:paraId="4BD7E8A9" w14:textId="77777777" w:rsidR="00FC6D7C" w:rsidRDefault="002032AD">
      <w:pPr>
        <w:pStyle w:val="Heading1"/>
        <w:numPr>
          <w:ilvl w:val="1"/>
          <w:numId w:val="10"/>
        </w:numPr>
        <w:tabs>
          <w:tab w:val="left" w:pos="839"/>
          <w:tab w:val="left" w:pos="840"/>
        </w:tabs>
        <w:spacing w:before="121"/>
        <w:ind w:left="839" w:hanging="720"/>
        <w:jc w:val="left"/>
      </w:pPr>
      <w:bookmarkStart w:id="6" w:name="II._Background"/>
      <w:bookmarkEnd w:id="6"/>
      <w:r>
        <w:t>BACKGROUND</w:t>
      </w:r>
    </w:p>
    <w:p w14:paraId="3505892A" w14:textId="77777777" w:rsidR="00FC6D7C" w:rsidRDefault="002032AD">
      <w:pPr>
        <w:pStyle w:val="ListParagraph"/>
        <w:numPr>
          <w:ilvl w:val="0"/>
          <w:numId w:val="9"/>
        </w:numPr>
        <w:tabs>
          <w:tab w:val="left" w:pos="1559"/>
          <w:tab w:val="left" w:pos="1560"/>
        </w:tabs>
        <w:spacing w:before="116"/>
        <w:ind w:right="225" w:firstLine="720"/>
        <w:rPr>
          <w:sz w:val="13"/>
        </w:rPr>
      </w:pPr>
      <w:r>
        <w:t>The Part 15 rules permit low-power intentional radiators (popularly known as “unlicensed devices”) to operate without an individual license where such use is not anticipated to cause harmful interference to authorized users of the radio spectrum.</w:t>
      </w:r>
      <w:hyperlink w:anchor="_bookmark3" w:history="1">
        <w:r>
          <w:rPr>
            <w:position w:val="7"/>
            <w:sz w:val="13"/>
          </w:rPr>
          <w:t>2</w:t>
        </w:r>
      </w:hyperlink>
      <w:r>
        <w:rPr>
          <w:position w:val="7"/>
          <w:sz w:val="13"/>
        </w:rPr>
        <w:t xml:space="preserve"> </w:t>
      </w:r>
      <w:r>
        <w:t xml:space="preserve">Unlicensed devices in the 60 GHz band generally include indoor/outdoor communication devices such as </w:t>
      </w:r>
      <w:proofErr w:type="spellStart"/>
      <w:r>
        <w:t>WiGig</w:t>
      </w:r>
      <w:proofErr w:type="spellEnd"/>
      <w:r>
        <w:fldChar w:fldCharType="begin"/>
      </w:r>
      <w:r>
        <w:instrText xml:space="preserve"> HYPERLINK \l "_bookmark4" </w:instrText>
      </w:r>
      <w:r>
        <w:fldChar w:fldCharType="separate"/>
      </w:r>
      <w:r>
        <w:rPr>
          <w:position w:val="7"/>
          <w:sz w:val="13"/>
        </w:rPr>
        <w:t>3</w:t>
      </w:r>
      <w:r>
        <w:rPr>
          <w:position w:val="7"/>
          <w:sz w:val="13"/>
        </w:rPr>
        <w:fldChar w:fldCharType="end"/>
      </w:r>
      <w:r>
        <w:rPr>
          <w:position w:val="7"/>
          <w:sz w:val="13"/>
        </w:rPr>
        <w:t xml:space="preserve"> </w:t>
      </w:r>
      <w:r>
        <w:t>wireless local area networking (WLAN) devices,</w:t>
      </w:r>
      <w:hyperlink w:anchor="_bookmark5" w:history="1">
        <w:r>
          <w:rPr>
            <w:position w:val="7"/>
            <w:sz w:val="13"/>
          </w:rPr>
          <w:t>4</w:t>
        </w:r>
      </w:hyperlink>
      <w:r>
        <w:rPr>
          <w:position w:val="7"/>
          <w:sz w:val="13"/>
        </w:rPr>
        <w:t xml:space="preserve"> </w:t>
      </w:r>
      <w:r>
        <w:t>outdoor fixed point-to-point communication links,</w:t>
      </w:r>
      <w:hyperlink w:anchor="_bookmark6" w:history="1">
        <w:r>
          <w:rPr>
            <w:position w:val="7"/>
            <w:sz w:val="13"/>
          </w:rPr>
          <w:t>5</w:t>
        </w:r>
      </w:hyperlink>
      <w:r>
        <w:rPr>
          <w:position w:val="7"/>
          <w:sz w:val="13"/>
        </w:rPr>
        <w:t xml:space="preserve"> </w:t>
      </w:r>
      <w:r>
        <w:t>and field disturbance sensors (FDS) – which includes radar operations.</w:t>
      </w:r>
      <w:hyperlink w:anchor="_bookmark7" w:history="1">
        <w:r>
          <w:rPr>
            <w:position w:val="7"/>
            <w:sz w:val="13"/>
          </w:rPr>
          <w:t>6</w:t>
        </w:r>
      </w:hyperlink>
      <w:r>
        <w:rPr>
          <w:position w:val="7"/>
          <w:sz w:val="13"/>
        </w:rPr>
        <w:t xml:space="preserve"> </w:t>
      </w:r>
      <w:r>
        <w:t>Unlicensed device users must account for the operations of authorized Federal and non-Federal users in the band, who operate under a variety of co-primary allocations. These allocations, which vary by band segment, consist of the Mobile, Fixed, Inter-Satellite, Earth-Exploration Satellite Service (EESS), Space Research, Mobile-Satellite, Radiolocation, Radionavigation, and Radionavigation-Satellite</w:t>
      </w:r>
      <w:r>
        <w:rPr>
          <w:spacing w:val="-3"/>
        </w:rPr>
        <w:t xml:space="preserve"> </w:t>
      </w:r>
      <w:r>
        <w:t>services.</w:t>
      </w:r>
      <w:hyperlink w:anchor="_bookmark8" w:history="1">
        <w:r>
          <w:rPr>
            <w:position w:val="7"/>
            <w:sz w:val="13"/>
          </w:rPr>
          <w:t>7</w:t>
        </w:r>
      </w:hyperlink>
    </w:p>
    <w:p w14:paraId="306BEE12" w14:textId="77777777" w:rsidR="00FC6D7C" w:rsidRDefault="002032AD">
      <w:pPr>
        <w:pStyle w:val="ListParagraph"/>
        <w:numPr>
          <w:ilvl w:val="0"/>
          <w:numId w:val="9"/>
        </w:numPr>
        <w:tabs>
          <w:tab w:val="left" w:pos="1559"/>
          <w:tab w:val="left" w:pos="1561"/>
        </w:tabs>
        <w:spacing w:before="116"/>
        <w:ind w:right="125" w:firstLine="721"/>
        <w:rPr>
          <w:sz w:val="13"/>
        </w:rPr>
      </w:pPr>
      <w:r>
        <w:t>Section 15.255 of the rules stipulates operational policies and technical parameters for the 60 GHz band.</w:t>
      </w:r>
      <w:hyperlink w:anchor="_bookmark9" w:history="1">
        <w:r>
          <w:rPr>
            <w:position w:val="7"/>
            <w:sz w:val="13"/>
          </w:rPr>
          <w:t>8</w:t>
        </w:r>
      </w:hyperlink>
      <w:r>
        <w:rPr>
          <w:position w:val="7"/>
          <w:sz w:val="13"/>
        </w:rPr>
        <w:t xml:space="preserve"> </w:t>
      </w:r>
      <w:r>
        <w:t>The rule limits FDS operations to fixed operation or when used as short-range devices for interactive motion sensing (SRIMS).</w:t>
      </w:r>
      <w:hyperlink w:anchor="_bookmark10" w:history="1">
        <w:r>
          <w:rPr>
            <w:position w:val="7"/>
            <w:sz w:val="13"/>
          </w:rPr>
          <w:t>9</w:t>
        </w:r>
      </w:hyperlink>
      <w:r>
        <w:rPr>
          <w:position w:val="7"/>
          <w:sz w:val="13"/>
        </w:rPr>
        <w:t xml:space="preserve"> </w:t>
      </w:r>
      <w:r>
        <w:t>Furthermore, a fixed FDS with an occupied bandwidth fully contained within the 61.0-61.5 GHz band may operate with average output power levels up to 40 dBm and peak output power levels up to 43 dBm, while all other FDS devices (including those being used for SRIMS) are limited to a maximum transmitter conducted output power not to exceed -10 dBm and a maximum EIRP level not to exceed 10 dBm.</w:t>
      </w:r>
      <w:hyperlink w:anchor="_bookmark11" w:history="1">
        <w:r>
          <w:rPr>
            <w:position w:val="7"/>
            <w:sz w:val="13"/>
          </w:rPr>
          <w:t>10</w:t>
        </w:r>
      </w:hyperlink>
    </w:p>
    <w:p w14:paraId="3798EBE7" w14:textId="77777777" w:rsidR="00FC6D7C" w:rsidRDefault="00FC6D7C">
      <w:pPr>
        <w:pStyle w:val="BodyText"/>
        <w:rPr>
          <w:sz w:val="20"/>
        </w:rPr>
      </w:pPr>
    </w:p>
    <w:p w14:paraId="009EBBB6" w14:textId="77777777" w:rsidR="00FC6D7C" w:rsidRDefault="00FC6D7C">
      <w:pPr>
        <w:pStyle w:val="BodyText"/>
        <w:rPr>
          <w:sz w:val="20"/>
        </w:rPr>
      </w:pPr>
    </w:p>
    <w:p w14:paraId="6493F0D5" w14:textId="77777777" w:rsidR="00FC6D7C" w:rsidRDefault="0023630A">
      <w:pPr>
        <w:pStyle w:val="BodyText"/>
        <w:spacing w:before="11"/>
        <w:rPr>
          <w:sz w:val="21"/>
        </w:rPr>
      </w:pPr>
      <w:r>
        <w:pict w14:anchorId="5E7AEAFD">
          <v:line id="_x0000_s1048" style="position:absolute;z-index:251647488;mso-wrap-distance-left:0;mso-wrap-distance-right:0;mso-position-horizontal-relative:page" from="1in,14.9pt" to="3in,14.9pt" strokeweight=".6pt">
            <w10:wrap type="topAndBottom" anchorx="page"/>
          </v:line>
        </w:pict>
      </w:r>
    </w:p>
    <w:p w14:paraId="1A8B12AB" w14:textId="77777777" w:rsidR="00FC6D7C" w:rsidRDefault="002032AD">
      <w:pPr>
        <w:spacing w:before="63"/>
        <w:ind w:left="120" w:hanging="1"/>
        <w:rPr>
          <w:sz w:val="20"/>
        </w:rPr>
      </w:pPr>
      <w:bookmarkStart w:id="7" w:name="_bookmark3"/>
      <w:bookmarkEnd w:id="7"/>
      <w:r>
        <w:rPr>
          <w:position w:val="7"/>
          <w:sz w:val="13"/>
        </w:rPr>
        <w:t xml:space="preserve">2 </w:t>
      </w:r>
      <w:r>
        <w:rPr>
          <w:sz w:val="20"/>
        </w:rPr>
        <w:t>The fundamental operating conditions under Part 15 are that the operator of a Part 15 device has no vested right to continued use of any given frequency, must accept interference that may be caused by the operations of authorized users or other unlicensed devices, and must not cause harmful interference it causes. Should harmful interference occur, the operator is required to immediately correct the interference problem, even if correction of the problem requires ceasing operation of the part 15 equipment causing interference. 47 CFR § 15.5.</w:t>
      </w:r>
    </w:p>
    <w:p w14:paraId="6457EFA7" w14:textId="77777777" w:rsidR="00FC6D7C" w:rsidRDefault="002032AD">
      <w:pPr>
        <w:spacing w:before="115"/>
        <w:ind w:left="120"/>
        <w:rPr>
          <w:sz w:val="20"/>
        </w:rPr>
      </w:pPr>
      <w:bookmarkStart w:id="8" w:name="_bookmark4"/>
      <w:bookmarkEnd w:id="8"/>
      <w:r>
        <w:rPr>
          <w:position w:val="7"/>
          <w:sz w:val="13"/>
        </w:rPr>
        <w:t xml:space="preserve">3 </w:t>
      </w:r>
      <w:proofErr w:type="spellStart"/>
      <w:r>
        <w:rPr>
          <w:sz w:val="20"/>
        </w:rPr>
        <w:t>WiGig</w:t>
      </w:r>
      <w:proofErr w:type="spellEnd"/>
      <w:r>
        <w:rPr>
          <w:sz w:val="20"/>
        </w:rPr>
        <w:t xml:space="preserve">, alternatively known as 60 GHz Wi-Fi, refers to a set of 60 GHz wireless network protocols. It includes the current Institute of Electrical and Electronics Engineers (IEEE) IEEE 802.11ad standard </w:t>
      </w:r>
      <w:proofErr w:type="gramStart"/>
      <w:r>
        <w:rPr>
          <w:sz w:val="20"/>
        </w:rPr>
        <w:t>and also</w:t>
      </w:r>
      <w:proofErr w:type="gramEnd"/>
      <w:r>
        <w:rPr>
          <w:sz w:val="20"/>
        </w:rPr>
        <w:t xml:space="preserve"> the</w:t>
      </w:r>
    </w:p>
    <w:p w14:paraId="1C91C917" w14:textId="77777777" w:rsidR="00FC6D7C" w:rsidRDefault="002032AD">
      <w:pPr>
        <w:ind w:left="120" w:right="204"/>
        <w:rPr>
          <w:sz w:val="20"/>
        </w:rPr>
      </w:pPr>
      <w:r>
        <w:rPr>
          <w:sz w:val="20"/>
        </w:rPr>
        <w:t xml:space="preserve">upcoming IEEE 802.11ay standard. The name </w:t>
      </w:r>
      <w:proofErr w:type="spellStart"/>
      <w:r>
        <w:rPr>
          <w:i/>
          <w:sz w:val="20"/>
        </w:rPr>
        <w:t>WiGig</w:t>
      </w:r>
      <w:proofErr w:type="spellEnd"/>
      <w:r>
        <w:rPr>
          <w:i/>
          <w:sz w:val="20"/>
        </w:rPr>
        <w:t xml:space="preserve"> </w:t>
      </w:r>
      <w:r>
        <w:rPr>
          <w:sz w:val="20"/>
        </w:rPr>
        <w:t xml:space="preserve">comes from Wireless Gigabit Alliance, the original association being formed to promote the adoption of IEEE 802.11ad. However, it is now certified by Wi-Fi Alliance. </w:t>
      </w:r>
      <w:r>
        <w:rPr>
          <w:i/>
          <w:sz w:val="20"/>
        </w:rPr>
        <w:t xml:space="preserve">See </w:t>
      </w:r>
      <w:hyperlink r:id="rId10">
        <w:r>
          <w:rPr>
            <w:color w:val="0000FF"/>
            <w:sz w:val="20"/>
            <w:u w:val="single" w:color="0000FF"/>
          </w:rPr>
          <w:t>https://www.wi-fi.org/discover-wi-fi/wi-fi-certified-wigig</w:t>
        </w:r>
        <w:r>
          <w:rPr>
            <w:sz w:val="20"/>
          </w:rPr>
          <w:t>.</w:t>
        </w:r>
      </w:hyperlink>
    </w:p>
    <w:p w14:paraId="1FDC2EA8" w14:textId="77777777" w:rsidR="00FC6D7C" w:rsidRDefault="002032AD">
      <w:pPr>
        <w:spacing w:before="118"/>
        <w:ind w:left="119" w:right="204"/>
        <w:rPr>
          <w:sz w:val="20"/>
        </w:rPr>
      </w:pPr>
      <w:bookmarkStart w:id="9" w:name="_bookmark5"/>
      <w:bookmarkEnd w:id="9"/>
      <w:r>
        <w:rPr>
          <w:position w:val="7"/>
          <w:sz w:val="13"/>
        </w:rPr>
        <w:t xml:space="preserve">4 </w:t>
      </w:r>
      <w:r>
        <w:rPr>
          <w:sz w:val="20"/>
        </w:rPr>
        <w:t xml:space="preserve">A wireless LAN (WLAN) is a wireless network that links two or more devices using wireless communication to form a local area network (LAN) within a limited area such as a home, school, computer laboratory, campus, or office building. </w:t>
      </w:r>
      <w:r>
        <w:rPr>
          <w:i/>
          <w:sz w:val="20"/>
        </w:rPr>
        <w:t xml:space="preserve">See generally </w:t>
      </w:r>
      <w:r>
        <w:rPr>
          <w:sz w:val="20"/>
        </w:rPr>
        <w:t xml:space="preserve">Wi-Fi Alliance, </w:t>
      </w:r>
      <w:r>
        <w:rPr>
          <w:i/>
          <w:sz w:val="20"/>
        </w:rPr>
        <w:t>Wi</w:t>
      </w:r>
      <w:r>
        <w:rPr>
          <w:sz w:val="20"/>
        </w:rPr>
        <w:t>-</w:t>
      </w:r>
      <w:r>
        <w:rPr>
          <w:i/>
          <w:sz w:val="20"/>
        </w:rPr>
        <w:t xml:space="preserve">Fi Certified </w:t>
      </w:r>
      <w:proofErr w:type="spellStart"/>
      <w:r>
        <w:rPr>
          <w:i/>
          <w:sz w:val="20"/>
        </w:rPr>
        <w:t>WiGig</w:t>
      </w:r>
      <w:proofErr w:type="spellEnd"/>
      <w:r>
        <w:rPr>
          <w:i/>
          <w:sz w:val="20"/>
        </w:rPr>
        <w:t xml:space="preserve">, </w:t>
      </w:r>
      <w:hyperlink r:id="rId11">
        <w:r>
          <w:rPr>
            <w:sz w:val="20"/>
          </w:rPr>
          <w:t>http://www.wi-fi.org/discover-wi-fi/wigig-</w:t>
        </w:r>
      </w:hyperlink>
      <w:r>
        <w:rPr>
          <w:sz w:val="20"/>
        </w:rPr>
        <w:t xml:space="preserve"> </w:t>
      </w:r>
      <w:hyperlink r:id="rId12">
        <w:r>
          <w:rPr>
            <w:sz w:val="20"/>
          </w:rPr>
          <w:t>certified</w:t>
        </w:r>
      </w:hyperlink>
      <w:r>
        <w:rPr>
          <w:sz w:val="20"/>
        </w:rPr>
        <w:t xml:space="preserve"> (last visited May 17, 2021).</w:t>
      </w:r>
    </w:p>
    <w:p w14:paraId="5CF69874" w14:textId="77777777" w:rsidR="00FC6D7C" w:rsidRDefault="002032AD">
      <w:pPr>
        <w:spacing w:before="113"/>
        <w:ind w:left="120"/>
        <w:rPr>
          <w:sz w:val="20"/>
        </w:rPr>
      </w:pPr>
      <w:bookmarkStart w:id="10" w:name="_bookmark6"/>
      <w:bookmarkEnd w:id="10"/>
      <w:r>
        <w:rPr>
          <w:position w:val="7"/>
          <w:sz w:val="13"/>
        </w:rPr>
        <w:t xml:space="preserve">5 </w:t>
      </w:r>
      <w:r>
        <w:rPr>
          <w:i/>
          <w:sz w:val="20"/>
        </w:rPr>
        <w:t>See, e.g.</w:t>
      </w:r>
      <w:r>
        <w:rPr>
          <w:sz w:val="20"/>
        </w:rPr>
        <w:t xml:space="preserve">, </w:t>
      </w:r>
      <w:hyperlink r:id="rId13">
        <w:r>
          <w:rPr>
            <w:color w:val="0000FF"/>
            <w:sz w:val="20"/>
            <w:u w:val="single" w:color="0000FF"/>
          </w:rPr>
          <w:t>http://www.airlinx.com</w:t>
        </w:r>
        <w:r>
          <w:rPr>
            <w:sz w:val="20"/>
          </w:rPr>
          <w:t>;</w:t>
        </w:r>
      </w:hyperlink>
      <w:r>
        <w:rPr>
          <w:sz w:val="20"/>
        </w:rPr>
        <w:t xml:space="preserve"> </w:t>
      </w:r>
      <w:hyperlink r:id="rId14">
        <w:r>
          <w:rPr>
            <w:color w:val="0000FF"/>
            <w:sz w:val="20"/>
            <w:u w:val="single" w:color="0000FF"/>
          </w:rPr>
          <w:t>https://www.ignitenet.com/technology/metrolinq/</w:t>
        </w:r>
        <w:r>
          <w:rPr>
            <w:sz w:val="20"/>
          </w:rPr>
          <w:t>.</w:t>
        </w:r>
      </w:hyperlink>
    </w:p>
    <w:p w14:paraId="7B438788" w14:textId="77777777" w:rsidR="00FC6D7C" w:rsidRDefault="002032AD">
      <w:pPr>
        <w:spacing w:before="116"/>
        <w:ind w:left="120" w:right="118" w:hanging="1"/>
        <w:rPr>
          <w:sz w:val="20"/>
        </w:rPr>
      </w:pPr>
      <w:bookmarkStart w:id="11" w:name="_bookmark7"/>
      <w:bookmarkEnd w:id="11"/>
      <w:r>
        <w:rPr>
          <w:position w:val="7"/>
          <w:sz w:val="13"/>
        </w:rPr>
        <w:t xml:space="preserve">6 </w:t>
      </w:r>
      <w:r>
        <w:rPr>
          <w:sz w:val="20"/>
        </w:rPr>
        <w:t xml:space="preserve">As discussed </w:t>
      </w:r>
      <w:r>
        <w:rPr>
          <w:i/>
          <w:sz w:val="20"/>
        </w:rPr>
        <w:t xml:space="preserve">infra, </w:t>
      </w:r>
      <w:r>
        <w:rPr>
          <w:sz w:val="20"/>
        </w:rPr>
        <w:t xml:space="preserve">the Commission has a long history of considering radar devices in Part 15 of the rules as a subset of FDS. </w:t>
      </w:r>
      <w:r>
        <w:rPr>
          <w:i/>
          <w:sz w:val="20"/>
        </w:rPr>
        <w:t>See, e.g</w:t>
      </w:r>
      <w:r>
        <w:rPr>
          <w:sz w:val="20"/>
        </w:rPr>
        <w:t>., 47 CFR §§ 15.503, 15.515. Unless specifically noted, we use the terms “FDS” and “radar” in this item interchangeably.</w:t>
      </w:r>
    </w:p>
    <w:p w14:paraId="68B37419" w14:textId="77777777" w:rsidR="00FC6D7C" w:rsidRDefault="002032AD">
      <w:pPr>
        <w:spacing w:before="113"/>
        <w:ind w:left="120"/>
        <w:rPr>
          <w:sz w:val="20"/>
        </w:rPr>
      </w:pPr>
      <w:bookmarkStart w:id="12" w:name="_bookmark8"/>
      <w:bookmarkEnd w:id="12"/>
      <w:r>
        <w:rPr>
          <w:position w:val="7"/>
          <w:sz w:val="13"/>
        </w:rPr>
        <w:t xml:space="preserve">7 </w:t>
      </w:r>
      <w:r>
        <w:rPr>
          <w:sz w:val="20"/>
        </w:rPr>
        <w:t xml:space="preserve">47 CFR § 2.106. Industrial, </w:t>
      </w:r>
      <w:proofErr w:type="gramStart"/>
      <w:r>
        <w:rPr>
          <w:sz w:val="20"/>
        </w:rPr>
        <w:t>scientific</w:t>
      </w:r>
      <w:proofErr w:type="gramEnd"/>
      <w:r>
        <w:rPr>
          <w:sz w:val="20"/>
        </w:rPr>
        <w:t xml:space="preserve"> and medical (ISM) equipment may also operate in the band at 61.00--</w:t>
      </w:r>
    </w:p>
    <w:p w14:paraId="4779E17C" w14:textId="77777777" w:rsidR="00FC6D7C" w:rsidRDefault="002032AD">
      <w:pPr>
        <w:ind w:left="120"/>
        <w:rPr>
          <w:sz w:val="20"/>
        </w:rPr>
      </w:pPr>
      <w:r>
        <w:rPr>
          <w:sz w:val="20"/>
        </w:rPr>
        <w:t>-61.50 GHz, pursuant to 47 CFR § 18.301.</w:t>
      </w:r>
    </w:p>
    <w:p w14:paraId="29CC3C4C" w14:textId="77777777" w:rsidR="00FC6D7C" w:rsidRDefault="002032AD">
      <w:pPr>
        <w:spacing w:before="115"/>
        <w:ind w:left="120"/>
        <w:rPr>
          <w:sz w:val="20"/>
        </w:rPr>
      </w:pPr>
      <w:bookmarkStart w:id="13" w:name="_bookmark9"/>
      <w:bookmarkEnd w:id="13"/>
      <w:r>
        <w:rPr>
          <w:position w:val="7"/>
          <w:sz w:val="13"/>
        </w:rPr>
        <w:t xml:space="preserve">8 </w:t>
      </w:r>
      <w:r>
        <w:rPr>
          <w:sz w:val="20"/>
        </w:rPr>
        <w:t>47 CFR § 15.255.</w:t>
      </w:r>
    </w:p>
    <w:p w14:paraId="1B31F8D1" w14:textId="77777777" w:rsidR="00FC6D7C" w:rsidRDefault="002032AD">
      <w:pPr>
        <w:spacing w:before="115"/>
        <w:ind w:left="120"/>
        <w:rPr>
          <w:sz w:val="20"/>
        </w:rPr>
      </w:pPr>
      <w:bookmarkStart w:id="14" w:name="_bookmark10"/>
      <w:bookmarkEnd w:id="14"/>
      <w:r>
        <w:rPr>
          <w:position w:val="7"/>
          <w:sz w:val="13"/>
        </w:rPr>
        <w:t xml:space="preserve">9 </w:t>
      </w:r>
      <w:r>
        <w:rPr>
          <w:sz w:val="20"/>
        </w:rPr>
        <w:t>47 CFR § 15.255(a)(2).</w:t>
      </w:r>
    </w:p>
    <w:p w14:paraId="67232F28" w14:textId="77777777" w:rsidR="00FC6D7C" w:rsidRDefault="002032AD">
      <w:pPr>
        <w:spacing w:before="115"/>
        <w:ind w:left="120"/>
        <w:rPr>
          <w:sz w:val="20"/>
        </w:rPr>
      </w:pPr>
      <w:bookmarkStart w:id="15" w:name="_bookmark11"/>
      <w:bookmarkEnd w:id="15"/>
      <w:r>
        <w:rPr>
          <w:position w:val="7"/>
          <w:sz w:val="13"/>
        </w:rPr>
        <w:t xml:space="preserve">10 </w:t>
      </w:r>
      <w:r>
        <w:rPr>
          <w:sz w:val="20"/>
        </w:rPr>
        <w:t>47 CFR § 15.255(c)(2), (c)(3), respectively.</w:t>
      </w:r>
    </w:p>
    <w:p w14:paraId="4BD50B70" w14:textId="77777777" w:rsidR="00FC6D7C" w:rsidRDefault="00FC6D7C">
      <w:pPr>
        <w:rPr>
          <w:sz w:val="20"/>
        </w:rPr>
        <w:sectPr w:rsidR="00FC6D7C">
          <w:footerReference w:type="default" r:id="rId15"/>
          <w:pgSz w:w="12240" w:h="15840"/>
          <w:pgMar w:top="980" w:right="1320" w:bottom="960" w:left="1320" w:header="727" w:footer="765" w:gutter="0"/>
          <w:pgNumType w:start="2"/>
          <w:cols w:space="720"/>
        </w:sectPr>
      </w:pPr>
    </w:p>
    <w:p w14:paraId="4724B5D5" w14:textId="77777777" w:rsidR="00FC6D7C" w:rsidRDefault="00FC6D7C">
      <w:pPr>
        <w:pStyle w:val="BodyText"/>
        <w:rPr>
          <w:sz w:val="20"/>
        </w:rPr>
      </w:pPr>
    </w:p>
    <w:p w14:paraId="666086AA" w14:textId="77777777" w:rsidR="00FC6D7C" w:rsidRDefault="00FC6D7C">
      <w:pPr>
        <w:pStyle w:val="BodyText"/>
        <w:spacing w:before="4"/>
      </w:pPr>
    </w:p>
    <w:p w14:paraId="201B233E" w14:textId="77777777" w:rsidR="00FC6D7C" w:rsidRDefault="002032AD">
      <w:pPr>
        <w:pStyle w:val="ListParagraph"/>
        <w:numPr>
          <w:ilvl w:val="0"/>
          <w:numId w:val="9"/>
        </w:numPr>
        <w:tabs>
          <w:tab w:val="left" w:pos="1559"/>
          <w:tab w:val="left" w:pos="1560"/>
        </w:tabs>
        <w:ind w:right="132" w:firstLine="720"/>
        <w:rPr>
          <w:sz w:val="13"/>
        </w:rPr>
      </w:pPr>
      <w:r>
        <w:t>When it first adopted Section 15.255 in 1995, the Commission stated that its intent was to foster the potential of the 60 GHz band “for allowing the development of short-range wireless radio systems with communications capabilities approaching those … achievable only with coaxial and optical fiber cable.”</w:t>
      </w:r>
      <w:hyperlink w:anchor="_bookmark12" w:history="1">
        <w:r>
          <w:rPr>
            <w:position w:val="7"/>
            <w:sz w:val="13"/>
          </w:rPr>
          <w:t>11</w:t>
        </w:r>
      </w:hyperlink>
      <w:r>
        <w:rPr>
          <w:position w:val="7"/>
          <w:sz w:val="13"/>
        </w:rPr>
        <w:t xml:space="preserve"> </w:t>
      </w:r>
      <w:r>
        <w:t>When it finalized the rule by adopting a spectrum etiquette</w:t>
      </w:r>
      <w:hyperlink w:anchor="_bookmark13" w:history="1">
        <w:r>
          <w:rPr>
            <w:position w:val="7"/>
            <w:sz w:val="13"/>
          </w:rPr>
          <w:t>12</w:t>
        </w:r>
      </w:hyperlink>
      <w:r>
        <w:rPr>
          <w:position w:val="7"/>
          <w:sz w:val="13"/>
        </w:rPr>
        <w:t xml:space="preserve"> </w:t>
      </w:r>
      <w:r>
        <w:t>three years later, it also included a provision that permitted fixed FDS operation in the</w:t>
      </w:r>
      <w:r>
        <w:rPr>
          <w:spacing w:val="-12"/>
        </w:rPr>
        <w:t xml:space="preserve"> </w:t>
      </w:r>
      <w:r>
        <w:t>band.</w:t>
      </w:r>
      <w:hyperlink w:anchor="_bookmark14" w:history="1">
        <w:r>
          <w:rPr>
            <w:position w:val="7"/>
            <w:sz w:val="13"/>
          </w:rPr>
          <w:t>13</w:t>
        </w:r>
      </w:hyperlink>
    </w:p>
    <w:p w14:paraId="4C23C230" w14:textId="77777777" w:rsidR="00FC6D7C" w:rsidRDefault="002032AD">
      <w:pPr>
        <w:pStyle w:val="ListParagraph"/>
        <w:numPr>
          <w:ilvl w:val="0"/>
          <w:numId w:val="9"/>
        </w:numPr>
        <w:tabs>
          <w:tab w:val="left" w:pos="1559"/>
          <w:tab w:val="left" w:pos="1560"/>
        </w:tabs>
        <w:spacing w:before="116"/>
        <w:ind w:right="127" w:firstLine="720"/>
        <w:rPr>
          <w:sz w:val="13"/>
        </w:rPr>
      </w:pPr>
      <w:r>
        <w:t xml:space="preserve">In 2016, the Commission further expanded unlicensed device use in the band to permit limited mobile radar operations and to extend the use of fixed field disturbance sensors to the 64-71 </w:t>
      </w:r>
      <w:r>
        <w:rPr>
          <w:spacing w:val="-2"/>
        </w:rPr>
        <w:t xml:space="preserve">GHz </w:t>
      </w:r>
      <w:r>
        <w:t>band. At that time, the Commission recognized that wireless innovation included the development of gesture-recognition technology using short-range radars that would allow users to interact with devices without needing to touch them.</w:t>
      </w:r>
      <w:hyperlink w:anchor="_bookmark15" w:history="1">
        <w:r>
          <w:rPr>
            <w:position w:val="7"/>
            <w:sz w:val="13"/>
          </w:rPr>
          <w:t>14</w:t>
        </w:r>
      </w:hyperlink>
      <w:r>
        <w:rPr>
          <w:position w:val="7"/>
          <w:sz w:val="13"/>
        </w:rPr>
        <w:t xml:space="preserve"> </w:t>
      </w:r>
      <w:r>
        <w:t>It thus decided to permit SRIMS radars while also noting that the record before it was insufficient to allow for the unfettered operation of mobile radars in the band. Specifically, the Commission’s decision permitted the “narrow application of mobile radars for short-range interactive motion sensing” at reduced power levels to ensure that they would successfully co-exist with co-channel communications devices already permitted to operate in the band.</w:t>
      </w:r>
      <w:hyperlink w:anchor="_bookmark16" w:history="1">
        <w:r>
          <w:rPr>
            <w:position w:val="7"/>
            <w:sz w:val="13"/>
          </w:rPr>
          <w:t>15</w:t>
        </w:r>
      </w:hyperlink>
      <w:r>
        <w:rPr>
          <w:position w:val="7"/>
          <w:sz w:val="13"/>
        </w:rPr>
        <w:t xml:space="preserve">  </w:t>
      </w:r>
      <w:r>
        <w:t>While the Commission did not adopt a specific definition for SRIMS, in permitting narrow use of short-range mobile radars it discussed the work of Google LLC (Google) in developing its “Soli” sensor technology, which envisioned that smartphones and other personal devices would be able to sense hand gestures when a user is located at a very short distance from the device to perform functions such as controlling web pages or answering phone calls.</w:t>
      </w:r>
      <w:hyperlink w:anchor="_bookmark17" w:history="1">
        <w:r>
          <w:rPr>
            <w:position w:val="7"/>
            <w:sz w:val="13"/>
          </w:rPr>
          <w:t>16</w:t>
        </w:r>
      </w:hyperlink>
      <w:r>
        <w:rPr>
          <w:position w:val="7"/>
          <w:sz w:val="13"/>
        </w:rPr>
        <w:t xml:space="preserve"> </w:t>
      </w:r>
      <w:r>
        <w:t>Furthermore, while the Commission specifically rejected comments calling on it to completely eliminate restrictions on FDS use, it also stated that it might consider allowing higher power levels in the future after it had acquired more experience with the devices it was permitting at that</w:t>
      </w:r>
      <w:r>
        <w:rPr>
          <w:spacing w:val="-21"/>
        </w:rPr>
        <w:t xml:space="preserve"> </w:t>
      </w:r>
      <w:r>
        <w:t>time.</w:t>
      </w:r>
      <w:hyperlink w:anchor="_bookmark18" w:history="1">
        <w:r>
          <w:rPr>
            <w:position w:val="7"/>
            <w:sz w:val="13"/>
          </w:rPr>
          <w:t>17</w:t>
        </w:r>
      </w:hyperlink>
    </w:p>
    <w:p w14:paraId="12DD7BEA" w14:textId="77777777" w:rsidR="00FC6D7C" w:rsidRDefault="002032AD">
      <w:pPr>
        <w:pStyle w:val="ListParagraph"/>
        <w:numPr>
          <w:ilvl w:val="0"/>
          <w:numId w:val="9"/>
        </w:numPr>
        <w:tabs>
          <w:tab w:val="left" w:pos="1559"/>
          <w:tab w:val="left" w:pos="1560"/>
        </w:tabs>
        <w:spacing w:before="119"/>
        <w:ind w:right="127" w:firstLine="720"/>
      </w:pPr>
      <w:r>
        <w:t>Since the 2016 decision, there has been continued interest in developing mobile radar applications that use the 60 GHz band. To date, the Commission’s Office of Engineering and Technology (OET) has granted focused waivers of the rules to support discrete applications. First, Google requested a waiver of the emission limits to allow Soli radar devices to operate at a higher output power level than what had been authorized in the rulemaking, arguing that it had determined that higher power levels were necessary for the radar sensor to provide sufficient resolution to engage in effective interactions.</w:t>
      </w:r>
      <w:hyperlink w:anchor="_bookmark19" w:history="1">
        <w:r>
          <w:rPr>
            <w:position w:val="7"/>
            <w:sz w:val="13"/>
          </w:rPr>
          <w:t>18</w:t>
        </w:r>
      </w:hyperlink>
      <w:r>
        <w:rPr>
          <w:position w:val="7"/>
          <w:sz w:val="13"/>
        </w:rPr>
        <w:t xml:space="preserve">  </w:t>
      </w:r>
      <w:r>
        <w:t>In</w:t>
      </w:r>
      <w:r>
        <w:rPr>
          <w:spacing w:val="-18"/>
        </w:rPr>
        <w:t xml:space="preserve"> </w:t>
      </w:r>
      <w:r>
        <w:t>its</w:t>
      </w:r>
    </w:p>
    <w:p w14:paraId="55E776A1" w14:textId="77777777" w:rsidR="00FC6D7C" w:rsidRDefault="0023630A">
      <w:pPr>
        <w:pStyle w:val="BodyText"/>
        <w:spacing w:before="1"/>
        <w:rPr>
          <w:sz w:val="13"/>
        </w:rPr>
      </w:pPr>
      <w:r>
        <w:pict w14:anchorId="2C95D795">
          <v:line id="_x0000_s1047" style="position:absolute;z-index:251648512;mso-wrap-distance-left:0;mso-wrap-distance-right:0;mso-position-horizontal-relative:page" from="1in,9.8pt" to="3in,9.8pt" strokeweight=".6pt">
            <w10:wrap type="topAndBottom" anchorx="page"/>
          </v:line>
        </w:pict>
      </w:r>
    </w:p>
    <w:p w14:paraId="2BBEE84A" w14:textId="77777777" w:rsidR="00FC6D7C" w:rsidRDefault="002032AD">
      <w:pPr>
        <w:spacing w:before="60"/>
        <w:ind w:left="119" w:right="204"/>
        <w:rPr>
          <w:sz w:val="20"/>
        </w:rPr>
      </w:pPr>
      <w:bookmarkStart w:id="16" w:name="_bookmark12"/>
      <w:bookmarkEnd w:id="16"/>
      <w:r>
        <w:rPr>
          <w:position w:val="7"/>
          <w:sz w:val="13"/>
        </w:rPr>
        <w:t xml:space="preserve">11 </w:t>
      </w:r>
      <w:r>
        <w:rPr>
          <w:i/>
          <w:sz w:val="20"/>
        </w:rPr>
        <w:t xml:space="preserve">Amendment of Parts 2, 15 and 97 of the Commission’s Rules to Permit Use of Radio Frequencies Above 40 GHz for New Radio Applications, </w:t>
      </w:r>
      <w:r>
        <w:rPr>
          <w:sz w:val="20"/>
        </w:rPr>
        <w:t xml:space="preserve">ET Docket No. 94-124, First Report and Order and Second Notice of Proposed Rule Making, 11 FCC </w:t>
      </w:r>
      <w:proofErr w:type="spellStart"/>
      <w:r>
        <w:rPr>
          <w:sz w:val="20"/>
        </w:rPr>
        <w:t>Rcd</w:t>
      </w:r>
      <w:proofErr w:type="spellEnd"/>
      <w:r>
        <w:rPr>
          <w:sz w:val="20"/>
        </w:rPr>
        <w:t>. 4481, 4488, para. 14 (1995).</w:t>
      </w:r>
    </w:p>
    <w:p w14:paraId="55E224A4" w14:textId="77777777" w:rsidR="00FC6D7C" w:rsidRDefault="002032AD">
      <w:pPr>
        <w:spacing w:before="115"/>
        <w:ind w:left="119"/>
        <w:rPr>
          <w:sz w:val="20"/>
        </w:rPr>
      </w:pPr>
      <w:bookmarkStart w:id="17" w:name="_bookmark13"/>
      <w:bookmarkEnd w:id="17"/>
      <w:r>
        <w:rPr>
          <w:position w:val="7"/>
          <w:sz w:val="13"/>
        </w:rPr>
        <w:t xml:space="preserve">12 </w:t>
      </w:r>
      <w:r>
        <w:rPr>
          <w:sz w:val="20"/>
        </w:rPr>
        <w:t>A spectrum etiquette is a set of rules to facilitate accessing and sharing of the same spectrum among all authorized users.</w:t>
      </w:r>
    </w:p>
    <w:p w14:paraId="5FA48589" w14:textId="77777777" w:rsidR="00FC6D7C" w:rsidRDefault="002032AD">
      <w:pPr>
        <w:spacing w:before="113"/>
        <w:ind w:left="119"/>
        <w:rPr>
          <w:sz w:val="20"/>
        </w:rPr>
      </w:pPr>
      <w:bookmarkStart w:id="18" w:name="_bookmark14"/>
      <w:bookmarkEnd w:id="18"/>
      <w:r>
        <w:rPr>
          <w:position w:val="7"/>
          <w:sz w:val="13"/>
        </w:rPr>
        <w:t xml:space="preserve">13 </w:t>
      </w:r>
      <w:r>
        <w:rPr>
          <w:sz w:val="20"/>
        </w:rPr>
        <w:t xml:space="preserve">The provisions for fixed FDS operations </w:t>
      </w:r>
      <w:proofErr w:type="gramStart"/>
      <w:r>
        <w:rPr>
          <w:sz w:val="20"/>
        </w:rPr>
        <w:t>was</w:t>
      </w:r>
      <w:proofErr w:type="gramEnd"/>
      <w:r>
        <w:rPr>
          <w:sz w:val="20"/>
        </w:rPr>
        <w:t xml:space="preserve"> part of the spectrum etiquette developed by the Millimeter Wave Communications Working Group (MWCWG) at the behest of the Commission to facilitate coexistence of all</w:t>
      </w:r>
    </w:p>
    <w:p w14:paraId="45A3D06E" w14:textId="77777777" w:rsidR="00FC6D7C" w:rsidRDefault="002032AD">
      <w:pPr>
        <w:ind w:left="119" w:right="126"/>
        <w:jc w:val="both"/>
        <w:rPr>
          <w:sz w:val="20"/>
        </w:rPr>
      </w:pPr>
      <w:r>
        <w:rPr>
          <w:sz w:val="20"/>
        </w:rPr>
        <w:t xml:space="preserve">60 GHz devices in the 57-64 GHz band and adopted into the rules in 1998. </w:t>
      </w:r>
      <w:r>
        <w:rPr>
          <w:i/>
          <w:sz w:val="20"/>
        </w:rPr>
        <w:t xml:space="preserve">See Amendment of Parts 2, 15 and 97 of the </w:t>
      </w:r>
      <w:proofErr w:type="gramStart"/>
      <w:r>
        <w:rPr>
          <w:i/>
          <w:sz w:val="20"/>
        </w:rPr>
        <w:t>Commission‘</w:t>
      </w:r>
      <w:proofErr w:type="gramEnd"/>
      <w:r>
        <w:rPr>
          <w:i/>
          <w:sz w:val="20"/>
        </w:rPr>
        <w:t xml:space="preserve">s Rules to Permit Use of Radio Frequencies Above 40 GHz for New Radio Applications, </w:t>
      </w:r>
      <w:r>
        <w:rPr>
          <w:sz w:val="20"/>
        </w:rPr>
        <w:t xml:space="preserve">ET Docket No. 19-124, Third Report and Order, 13 FCC </w:t>
      </w:r>
      <w:proofErr w:type="spellStart"/>
      <w:r>
        <w:rPr>
          <w:sz w:val="20"/>
        </w:rPr>
        <w:t>Rcd</w:t>
      </w:r>
      <w:proofErr w:type="spellEnd"/>
      <w:r>
        <w:rPr>
          <w:sz w:val="20"/>
        </w:rPr>
        <w:t xml:space="preserve"> 15074 (1998).</w:t>
      </w:r>
    </w:p>
    <w:p w14:paraId="387FE8DF" w14:textId="77777777" w:rsidR="00FC6D7C" w:rsidRDefault="002032AD">
      <w:pPr>
        <w:spacing w:before="115"/>
        <w:ind w:left="119" w:right="204"/>
        <w:rPr>
          <w:sz w:val="20"/>
        </w:rPr>
      </w:pPr>
      <w:bookmarkStart w:id="19" w:name="_bookmark15"/>
      <w:bookmarkEnd w:id="19"/>
      <w:r>
        <w:rPr>
          <w:position w:val="7"/>
          <w:sz w:val="13"/>
        </w:rPr>
        <w:t xml:space="preserve">14 </w:t>
      </w:r>
      <w:r>
        <w:rPr>
          <w:i/>
          <w:sz w:val="20"/>
        </w:rPr>
        <w:t>Use of Spectrum Bands Above 24 GHz For Mobile Radio Services</w:t>
      </w:r>
      <w:r>
        <w:rPr>
          <w:sz w:val="20"/>
        </w:rPr>
        <w:t xml:space="preserve">, GN Docket No. 14-117, FCC 16-89, Report and Order and Further Notice of Proposed Rulemaking, 31 FCC </w:t>
      </w:r>
      <w:proofErr w:type="spellStart"/>
      <w:r>
        <w:rPr>
          <w:sz w:val="20"/>
        </w:rPr>
        <w:t>Rcd</w:t>
      </w:r>
      <w:proofErr w:type="spellEnd"/>
      <w:r>
        <w:rPr>
          <w:sz w:val="20"/>
        </w:rPr>
        <w:t xml:space="preserve"> 8014, 8133, para. 336 (2016).</w:t>
      </w:r>
    </w:p>
    <w:p w14:paraId="1E1595D8" w14:textId="77777777" w:rsidR="00FC6D7C" w:rsidRDefault="002032AD">
      <w:pPr>
        <w:spacing w:before="113"/>
        <w:ind w:left="120"/>
        <w:rPr>
          <w:sz w:val="20"/>
        </w:rPr>
      </w:pPr>
      <w:bookmarkStart w:id="20" w:name="_bookmark16"/>
      <w:bookmarkEnd w:id="20"/>
      <w:r>
        <w:rPr>
          <w:position w:val="7"/>
          <w:sz w:val="13"/>
        </w:rPr>
        <w:t xml:space="preserve">15 </w:t>
      </w:r>
      <w:r>
        <w:rPr>
          <w:i/>
          <w:sz w:val="20"/>
        </w:rPr>
        <w:t>Id.</w:t>
      </w:r>
      <w:r>
        <w:rPr>
          <w:sz w:val="20"/>
        </w:rPr>
        <w:t xml:space="preserve">, 31 FCC </w:t>
      </w:r>
      <w:proofErr w:type="spellStart"/>
      <w:r>
        <w:rPr>
          <w:sz w:val="20"/>
        </w:rPr>
        <w:t>Rcd</w:t>
      </w:r>
      <w:proofErr w:type="spellEnd"/>
      <w:r>
        <w:rPr>
          <w:sz w:val="20"/>
        </w:rPr>
        <w:t xml:space="preserve"> at 8133-8134, para. 337.</w:t>
      </w:r>
    </w:p>
    <w:p w14:paraId="3D224959" w14:textId="77777777" w:rsidR="00FC6D7C" w:rsidRDefault="002032AD">
      <w:pPr>
        <w:spacing w:before="115"/>
        <w:ind w:left="120" w:hanging="1"/>
        <w:rPr>
          <w:sz w:val="20"/>
        </w:rPr>
      </w:pPr>
      <w:bookmarkStart w:id="21" w:name="_bookmark17"/>
      <w:bookmarkEnd w:id="21"/>
      <w:r>
        <w:rPr>
          <w:position w:val="7"/>
          <w:sz w:val="13"/>
        </w:rPr>
        <w:t xml:space="preserve">16 </w:t>
      </w:r>
      <w:r>
        <w:rPr>
          <w:i/>
          <w:sz w:val="20"/>
        </w:rPr>
        <w:t xml:space="preserve">Id. </w:t>
      </w:r>
      <w:r>
        <w:rPr>
          <w:sz w:val="20"/>
        </w:rPr>
        <w:t xml:space="preserve">Google developed the Soli sensor to capture motion in a three-dimensional space using a radar beam, which enables persons to use gestures and motions to control a smartphone’s functions or features. </w:t>
      </w:r>
      <w:r>
        <w:rPr>
          <w:i/>
          <w:sz w:val="20"/>
        </w:rPr>
        <w:t xml:space="preserve">See </w:t>
      </w:r>
      <w:hyperlink r:id="rId16">
        <w:r>
          <w:rPr>
            <w:sz w:val="20"/>
          </w:rPr>
          <w:t>https://atap.google.com/soli.</w:t>
        </w:r>
      </w:hyperlink>
    </w:p>
    <w:p w14:paraId="6764B8EA" w14:textId="77777777" w:rsidR="00FC6D7C" w:rsidRDefault="002032AD">
      <w:pPr>
        <w:spacing w:before="112"/>
        <w:ind w:left="119" w:right="204"/>
        <w:rPr>
          <w:sz w:val="20"/>
        </w:rPr>
      </w:pPr>
      <w:bookmarkStart w:id="22" w:name="_bookmark18"/>
      <w:bookmarkEnd w:id="22"/>
      <w:r>
        <w:rPr>
          <w:position w:val="7"/>
          <w:sz w:val="13"/>
        </w:rPr>
        <w:t xml:space="preserve">17 </w:t>
      </w:r>
      <w:r>
        <w:rPr>
          <w:i/>
          <w:sz w:val="20"/>
        </w:rPr>
        <w:t>Use of Spectrum Bands Above 24 GHz For Mobile Radio Services</w:t>
      </w:r>
      <w:r>
        <w:rPr>
          <w:sz w:val="20"/>
        </w:rPr>
        <w:t xml:space="preserve">, GN Docket No. 14-117, FCC 16-89, Report and Order and Further Notice of Proposed Rulemaking, 31 FCC </w:t>
      </w:r>
      <w:proofErr w:type="spellStart"/>
      <w:r>
        <w:rPr>
          <w:sz w:val="20"/>
        </w:rPr>
        <w:t>Rcd</w:t>
      </w:r>
      <w:proofErr w:type="spellEnd"/>
      <w:r>
        <w:rPr>
          <w:sz w:val="20"/>
        </w:rPr>
        <w:t xml:space="preserve"> at 8133-8134, para. 337 (2016).</w:t>
      </w:r>
    </w:p>
    <w:p w14:paraId="1E16E431" w14:textId="77777777" w:rsidR="00FC6D7C" w:rsidRDefault="002032AD">
      <w:pPr>
        <w:spacing w:before="115"/>
        <w:ind w:left="119" w:right="118"/>
        <w:rPr>
          <w:i/>
          <w:sz w:val="20"/>
        </w:rPr>
      </w:pPr>
      <w:bookmarkStart w:id="23" w:name="_bookmark19"/>
      <w:bookmarkEnd w:id="23"/>
      <w:r>
        <w:rPr>
          <w:position w:val="7"/>
          <w:sz w:val="13"/>
        </w:rPr>
        <w:t xml:space="preserve">18 </w:t>
      </w:r>
      <w:r>
        <w:rPr>
          <w:i/>
          <w:sz w:val="20"/>
        </w:rPr>
        <w:t>Google LLC Request for Waiver of Section 15.255(c)(3) of the Commission's Rules Applicable to Radars used for Short Range Interactive Motion Sensing in the 57-64 GHz Frequency Band</w:t>
      </w:r>
      <w:r>
        <w:rPr>
          <w:sz w:val="20"/>
        </w:rPr>
        <w:t xml:space="preserve">, DA 18-1308, Order, 33 FCC </w:t>
      </w:r>
      <w:proofErr w:type="spellStart"/>
      <w:r>
        <w:rPr>
          <w:sz w:val="20"/>
        </w:rPr>
        <w:t>Rcd</w:t>
      </w:r>
      <w:proofErr w:type="spellEnd"/>
      <w:r>
        <w:rPr>
          <w:sz w:val="20"/>
        </w:rPr>
        <w:t xml:space="preserve"> 12542 (2018) (</w:t>
      </w:r>
      <w:r>
        <w:rPr>
          <w:i/>
          <w:sz w:val="20"/>
        </w:rPr>
        <w:t>Google Waiver</w:t>
      </w:r>
      <w:r>
        <w:rPr>
          <w:sz w:val="20"/>
        </w:rPr>
        <w:t>)</w:t>
      </w:r>
      <w:r>
        <w:rPr>
          <w:i/>
          <w:sz w:val="20"/>
        </w:rPr>
        <w:t>.</w:t>
      </w:r>
    </w:p>
    <w:p w14:paraId="6F3CF6F4" w14:textId="77777777" w:rsidR="00FC6D7C" w:rsidRDefault="00FC6D7C">
      <w:pPr>
        <w:rPr>
          <w:sz w:val="20"/>
        </w:rPr>
        <w:sectPr w:rsidR="00FC6D7C">
          <w:pgSz w:w="12240" w:h="15840"/>
          <w:pgMar w:top="980" w:right="1320" w:bottom="960" w:left="1320" w:header="727" w:footer="765" w:gutter="0"/>
          <w:cols w:space="720"/>
        </w:sectPr>
      </w:pPr>
    </w:p>
    <w:p w14:paraId="10DACF9A" w14:textId="77777777" w:rsidR="00FC6D7C" w:rsidRDefault="00FC6D7C">
      <w:pPr>
        <w:pStyle w:val="BodyText"/>
        <w:rPr>
          <w:i/>
          <w:sz w:val="20"/>
        </w:rPr>
      </w:pPr>
    </w:p>
    <w:p w14:paraId="355AFC38" w14:textId="77777777" w:rsidR="00FC6D7C" w:rsidRDefault="00FC6D7C">
      <w:pPr>
        <w:pStyle w:val="BodyText"/>
        <w:spacing w:before="4"/>
        <w:rPr>
          <w:i/>
        </w:rPr>
      </w:pPr>
    </w:p>
    <w:p w14:paraId="7E8ACFCD" w14:textId="77777777" w:rsidR="00FC6D7C" w:rsidRDefault="002032AD">
      <w:pPr>
        <w:pStyle w:val="BodyText"/>
        <w:ind w:left="119" w:right="204"/>
      </w:pPr>
      <w:r>
        <w:t>2018 order granting that waiver, which was limited to use of the specific Soli sensor described in Google’s request, OET found that allowing Google Soli sensors to operate at the requested power levels would not materially change the operating environment in the 57-64 GHz band from the perspective of the other users in the band.</w:t>
      </w:r>
      <w:hyperlink w:anchor="_bookmark21" w:history="1">
        <w:r>
          <w:rPr>
            <w:position w:val="7"/>
            <w:sz w:val="13"/>
          </w:rPr>
          <w:t>19</w:t>
        </w:r>
      </w:hyperlink>
      <w:r>
        <w:rPr>
          <w:position w:val="7"/>
          <w:sz w:val="13"/>
        </w:rPr>
        <w:t xml:space="preserve"> </w:t>
      </w:r>
      <w:r>
        <w:t>Specifically, it determined that the higher-power Google Soli device would be able to cooperatively share this spectrum with all users.  The waiver permitted Google to deploy its Soli sensor technology at 10 dBm peak transmitter conducted output power, 13 dBm peak EIRP level, and 13 dBm/MHz power spectral density, with a maximum 10% duty cycle in any 33 milliseconds (</w:t>
      </w:r>
      <w:proofErr w:type="spellStart"/>
      <w:r>
        <w:t>ms</w:t>
      </w:r>
      <w:proofErr w:type="spellEnd"/>
      <w:r>
        <w:t>) interval.</w:t>
      </w:r>
      <w:hyperlink w:anchor="_bookmark22" w:history="1">
        <w:r>
          <w:rPr>
            <w:position w:val="7"/>
            <w:sz w:val="13"/>
          </w:rPr>
          <w:t>20</w:t>
        </w:r>
      </w:hyperlink>
      <w:r>
        <w:rPr>
          <w:position w:val="7"/>
          <w:sz w:val="13"/>
        </w:rPr>
        <w:t xml:space="preserve"> </w:t>
      </w:r>
      <w:r>
        <w:t>This represented a lesser peak power limit than Google had originally sought, as it had revised its request following discussions with other parties who had interests in using the band for unlicensed operations, such as Facebook, in an effort to facilitate coexistence between unlicensed users in the band.</w:t>
      </w:r>
    </w:p>
    <w:p w14:paraId="2E52D50C" w14:textId="77777777" w:rsidR="00FC6D7C" w:rsidRDefault="002032AD">
      <w:pPr>
        <w:pStyle w:val="ListParagraph"/>
        <w:numPr>
          <w:ilvl w:val="0"/>
          <w:numId w:val="9"/>
        </w:numPr>
        <w:tabs>
          <w:tab w:val="left" w:pos="1559"/>
          <w:tab w:val="left" w:pos="1561"/>
        </w:tabs>
        <w:spacing w:before="116"/>
        <w:ind w:right="125" w:firstLine="721"/>
        <w:rPr>
          <w:sz w:val="13"/>
        </w:rPr>
      </w:pPr>
      <w:bookmarkStart w:id="24" w:name="_bookmark20"/>
      <w:bookmarkEnd w:id="24"/>
      <w:r>
        <w:t>Earlier this year, OET granted waivers to six parties to permit the operation of vehicle cabin-mounted radars in the 57-64 GHz range at the same power levels as those granted to Google in 2018.</w:t>
      </w:r>
      <w:hyperlink w:anchor="_bookmark23" w:history="1">
        <w:r>
          <w:rPr>
            <w:position w:val="7"/>
            <w:sz w:val="13"/>
          </w:rPr>
          <w:t>21</w:t>
        </w:r>
      </w:hyperlink>
      <w:r>
        <w:rPr>
          <w:position w:val="7"/>
          <w:sz w:val="13"/>
        </w:rPr>
        <w:t xml:space="preserve"> </w:t>
      </w:r>
      <w:r>
        <w:t>These narrowly tailored waivers support an especially compelling public interest - using radar technology to monitor for children left in dangerous, hot cars and to trigger alerts that could save lives.</w:t>
      </w:r>
      <w:hyperlink w:anchor="_bookmark24" w:history="1">
        <w:r>
          <w:rPr>
            <w:position w:val="7"/>
            <w:sz w:val="13"/>
          </w:rPr>
          <w:t>22</w:t>
        </w:r>
      </w:hyperlink>
      <w:r>
        <w:rPr>
          <w:position w:val="7"/>
          <w:sz w:val="13"/>
        </w:rPr>
        <w:t xml:space="preserve"> </w:t>
      </w:r>
      <w:r>
        <w:t>While radars operating under these waivers must be installed within the vehicle cabin and have the primary function of preventing children from inadvertently being left unattended in rear car seats, they are also expected to provide additional passenger safety and theft prevention benefits.</w:t>
      </w:r>
      <w:hyperlink w:anchor="_bookmark25" w:history="1">
        <w:r>
          <w:rPr>
            <w:position w:val="7"/>
            <w:sz w:val="13"/>
          </w:rPr>
          <w:t>23</w:t>
        </w:r>
      </w:hyperlink>
      <w:r>
        <w:rPr>
          <w:position w:val="7"/>
          <w:sz w:val="13"/>
        </w:rPr>
        <w:t xml:space="preserve"> </w:t>
      </w:r>
      <w:r>
        <w:t>In addition, OET granted a waiver to Leica Geosystems AG in July 2020 that allows a limited number of radars to operate in the 60-64 GHz band on specialized unmanned aircraft for the specific purpose of avoiding collisions with structures, supporting wires, or other fixed objects during the visual inspection of</w:t>
      </w:r>
      <w:r>
        <w:rPr>
          <w:spacing w:val="-16"/>
        </w:rPr>
        <w:t xml:space="preserve"> </w:t>
      </w:r>
      <w:r>
        <w:t>structures.</w:t>
      </w:r>
      <w:hyperlink w:anchor="_bookmark26" w:history="1">
        <w:r>
          <w:rPr>
            <w:position w:val="7"/>
            <w:sz w:val="13"/>
          </w:rPr>
          <w:t>24</w:t>
        </w:r>
      </w:hyperlink>
    </w:p>
    <w:p w14:paraId="3AC404A7" w14:textId="77777777" w:rsidR="00FC6D7C" w:rsidRDefault="002032AD">
      <w:pPr>
        <w:pStyle w:val="ListParagraph"/>
        <w:numPr>
          <w:ilvl w:val="0"/>
          <w:numId w:val="9"/>
        </w:numPr>
        <w:tabs>
          <w:tab w:val="left" w:pos="1559"/>
          <w:tab w:val="left" w:pos="1561"/>
        </w:tabs>
        <w:spacing w:before="116"/>
        <w:ind w:left="120" w:right="118" w:firstLine="720"/>
      </w:pPr>
      <w:r>
        <w:t>Applications such as the use of in-cabin automotive radars represent one of the many uses that parties have identified as being well suited for development in the 57-71 GHz band if the</w:t>
      </w:r>
      <w:r>
        <w:rPr>
          <w:spacing w:val="-18"/>
        </w:rPr>
        <w:t xml:space="preserve"> </w:t>
      </w:r>
      <w:proofErr w:type="gramStart"/>
      <w:r>
        <w:t>Section</w:t>
      </w:r>
      <w:proofErr w:type="gramEnd"/>
    </w:p>
    <w:p w14:paraId="0CF3459A" w14:textId="77777777" w:rsidR="00FC6D7C" w:rsidRDefault="002032AD">
      <w:pPr>
        <w:pStyle w:val="BodyText"/>
        <w:ind w:left="119" w:right="283"/>
      </w:pPr>
      <w:r>
        <w:t>15.255 rules were amended to permit expanded mobile radar use. The Commission has received additional waiver requests–which are still pending–asking for permission, for example, to install a radar on the exterior of a vehicle to enable closure of a door by the detection of foot movement or hand gestures;</w:t>
      </w:r>
      <w:hyperlink w:anchor="_bookmark27" w:history="1">
        <w:r>
          <w:rPr>
            <w:position w:val="7"/>
            <w:sz w:val="13"/>
          </w:rPr>
          <w:t>25</w:t>
        </w:r>
      </w:hyperlink>
      <w:r>
        <w:rPr>
          <w:position w:val="7"/>
          <w:sz w:val="13"/>
        </w:rPr>
        <w:t xml:space="preserve"> </w:t>
      </w:r>
      <w:r>
        <w:t>to operate 60 GHz radars in robotic lawn mowers,</w:t>
      </w:r>
      <w:hyperlink w:anchor="_bookmark28" w:history="1">
        <w:r>
          <w:rPr>
            <w:position w:val="7"/>
            <w:sz w:val="13"/>
          </w:rPr>
          <w:t>26</w:t>
        </w:r>
      </w:hyperlink>
      <w:r>
        <w:rPr>
          <w:position w:val="7"/>
          <w:sz w:val="13"/>
        </w:rPr>
        <w:t xml:space="preserve"> </w:t>
      </w:r>
      <w:r>
        <w:t>or in personal safety wall-mount devices to detect changes in a person’s gait or a fall, and in 3D imaging equipment in healthcare environments.</w:t>
      </w:r>
      <w:hyperlink w:anchor="_bookmark29" w:history="1">
        <w:r>
          <w:rPr>
            <w:position w:val="7"/>
            <w:sz w:val="13"/>
          </w:rPr>
          <w:t>27</w:t>
        </w:r>
      </w:hyperlink>
      <w:r>
        <w:rPr>
          <w:position w:val="7"/>
          <w:sz w:val="13"/>
        </w:rPr>
        <w:t xml:space="preserve"> </w:t>
      </w:r>
      <w:r>
        <w:t>In general, these requests have been consistent with the same technical parameters as the waiver granted to Google and are represented to occupy the same “spectrum footprint” as the Soli device.</w:t>
      </w:r>
      <w:hyperlink w:anchor="_bookmark30" w:history="1">
        <w:r>
          <w:rPr>
            <w:position w:val="7"/>
            <w:sz w:val="13"/>
          </w:rPr>
          <w:t>28</w:t>
        </w:r>
      </w:hyperlink>
      <w:r>
        <w:rPr>
          <w:position w:val="7"/>
          <w:sz w:val="13"/>
        </w:rPr>
        <w:t xml:space="preserve"> </w:t>
      </w:r>
      <w:r>
        <w:t>The</w:t>
      </w:r>
    </w:p>
    <w:p w14:paraId="6BC1CAA2" w14:textId="77777777" w:rsidR="00FC6D7C" w:rsidRDefault="0023630A">
      <w:pPr>
        <w:pStyle w:val="BodyText"/>
        <w:spacing w:before="9"/>
        <w:rPr>
          <w:sz w:val="16"/>
        </w:rPr>
      </w:pPr>
      <w:r>
        <w:pict w14:anchorId="0B7C49A5">
          <v:line id="_x0000_s1046" style="position:absolute;z-index:251649536;mso-wrap-distance-left:0;mso-wrap-distance-right:0;mso-position-horizontal-relative:page" from="1in,11.95pt" to="3in,11.95pt" strokeweight=".21131mm">
            <w10:wrap type="topAndBottom" anchorx="page"/>
          </v:line>
        </w:pict>
      </w:r>
    </w:p>
    <w:p w14:paraId="048790B5" w14:textId="77777777" w:rsidR="00FC6D7C" w:rsidRDefault="002032AD">
      <w:pPr>
        <w:spacing w:before="60"/>
        <w:ind w:left="120"/>
        <w:rPr>
          <w:sz w:val="20"/>
        </w:rPr>
      </w:pPr>
      <w:bookmarkStart w:id="25" w:name="_bookmark21"/>
      <w:bookmarkEnd w:id="25"/>
      <w:r>
        <w:rPr>
          <w:position w:val="7"/>
          <w:sz w:val="13"/>
        </w:rPr>
        <w:t xml:space="preserve">19 </w:t>
      </w:r>
      <w:r>
        <w:rPr>
          <w:i/>
          <w:sz w:val="20"/>
        </w:rPr>
        <w:t>Id</w:t>
      </w:r>
      <w:r>
        <w:rPr>
          <w:sz w:val="20"/>
        </w:rPr>
        <w:t xml:space="preserve">., 33 FCC </w:t>
      </w:r>
      <w:proofErr w:type="spellStart"/>
      <w:r>
        <w:rPr>
          <w:sz w:val="20"/>
        </w:rPr>
        <w:t>Rcd</w:t>
      </w:r>
      <w:proofErr w:type="spellEnd"/>
      <w:r>
        <w:rPr>
          <w:sz w:val="20"/>
        </w:rPr>
        <w:t xml:space="preserve"> at 12544, para. 6.</w:t>
      </w:r>
    </w:p>
    <w:p w14:paraId="5FC719F0" w14:textId="77777777" w:rsidR="00FC6D7C" w:rsidRDefault="002032AD">
      <w:pPr>
        <w:spacing w:before="115"/>
        <w:ind w:left="119" w:right="204"/>
        <w:rPr>
          <w:sz w:val="20"/>
        </w:rPr>
      </w:pPr>
      <w:bookmarkStart w:id="26" w:name="_bookmark22"/>
      <w:bookmarkEnd w:id="26"/>
      <w:r>
        <w:rPr>
          <w:position w:val="7"/>
          <w:sz w:val="13"/>
        </w:rPr>
        <w:t xml:space="preserve">20 </w:t>
      </w:r>
      <w:r>
        <w:rPr>
          <w:sz w:val="20"/>
        </w:rPr>
        <w:t>The waiver permitted a 20 dB increase in the conducted power and a 3 dB increase in the EIRP over what the rules currently permit.</w:t>
      </w:r>
    </w:p>
    <w:p w14:paraId="743AF024" w14:textId="77777777" w:rsidR="00FC6D7C" w:rsidRDefault="002032AD">
      <w:pPr>
        <w:spacing w:before="115"/>
        <w:ind w:left="120"/>
        <w:rPr>
          <w:sz w:val="20"/>
        </w:rPr>
      </w:pPr>
      <w:bookmarkStart w:id="27" w:name="_bookmark23"/>
      <w:bookmarkEnd w:id="27"/>
      <w:r>
        <w:rPr>
          <w:position w:val="7"/>
          <w:sz w:val="13"/>
        </w:rPr>
        <w:t xml:space="preserve">21 </w:t>
      </w:r>
      <w:r>
        <w:rPr>
          <w:i/>
          <w:sz w:val="20"/>
        </w:rPr>
        <w:t>60 GHz Vehicle Radar Waiver</w:t>
      </w:r>
      <w:r>
        <w:rPr>
          <w:sz w:val="20"/>
        </w:rPr>
        <w:t>, ET Docket Nos. 20-15, 20-121, 20-263, 20-264, 20-434, 20-435, DA 21-407,</w:t>
      </w:r>
    </w:p>
    <w:p w14:paraId="141B7AC2" w14:textId="77777777" w:rsidR="00FC6D7C" w:rsidRDefault="002032AD">
      <w:pPr>
        <w:ind w:left="119"/>
        <w:rPr>
          <w:sz w:val="20"/>
        </w:rPr>
      </w:pPr>
      <w:r>
        <w:rPr>
          <w:sz w:val="20"/>
        </w:rPr>
        <w:t>Order (2021).</w:t>
      </w:r>
    </w:p>
    <w:p w14:paraId="7D412AAE" w14:textId="77777777" w:rsidR="00FC6D7C" w:rsidRDefault="002032AD">
      <w:pPr>
        <w:spacing w:before="113"/>
        <w:ind w:left="119" w:right="2889"/>
        <w:rPr>
          <w:sz w:val="20"/>
        </w:rPr>
      </w:pPr>
      <w:bookmarkStart w:id="28" w:name="_bookmark24"/>
      <w:bookmarkEnd w:id="28"/>
      <w:r>
        <w:rPr>
          <w:position w:val="7"/>
          <w:sz w:val="13"/>
        </w:rPr>
        <w:t xml:space="preserve">22 </w:t>
      </w:r>
      <w:r>
        <w:rPr>
          <w:i/>
          <w:sz w:val="20"/>
        </w:rPr>
        <w:t>FCC Permits Hot-Car Sensors to Save Children</w:t>
      </w:r>
      <w:r>
        <w:rPr>
          <w:sz w:val="20"/>
        </w:rPr>
        <w:t>, Press Release (April 14, 2021) https</w:t>
      </w:r>
      <w:hyperlink r:id="rId17">
        <w:r>
          <w:rPr>
            <w:sz w:val="20"/>
          </w:rPr>
          <w:t>://w</w:t>
        </w:r>
      </w:hyperlink>
      <w:r>
        <w:rPr>
          <w:sz w:val="20"/>
        </w:rPr>
        <w:t>ww.</w:t>
      </w:r>
      <w:hyperlink r:id="rId18">
        <w:r>
          <w:rPr>
            <w:sz w:val="20"/>
          </w:rPr>
          <w:t>fcc.gov/document/fcc-permits-hot-car-sensors-save-children.</w:t>
        </w:r>
      </w:hyperlink>
    </w:p>
    <w:p w14:paraId="480F5CFB" w14:textId="77777777" w:rsidR="00FC6D7C" w:rsidRDefault="002032AD">
      <w:pPr>
        <w:spacing w:before="115"/>
        <w:ind w:left="120"/>
        <w:rPr>
          <w:i/>
          <w:sz w:val="20"/>
        </w:rPr>
      </w:pPr>
      <w:bookmarkStart w:id="29" w:name="_bookmark25"/>
      <w:bookmarkEnd w:id="29"/>
      <w:r>
        <w:rPr>
          <w:position w:val="7"/>
          <w:sz w:val="13"/>
        </w:rPr>
        <w:t xml:space="preserve">23 </w:t>
      </w:r>
      <w:r>
        <w:rPr>
          <w:i/>
          <w:sz w:val="20"/>
        </w:rPr>
        <w:t>See, e.g.</w:t>
      </w:r>
      <w:r>
        <w:rPr>
          <w:sz w:val="20"/>
        </w:rPr>
        <w:t xml:space="preserve">, </w:t>
      </w:r>
      <w:proofErr w:type="spellStart"/>
      <w:r>
        <w:rPr>
          <w:i/>
          <w:sz w:val="20"/>
        </w:rPr>
        <w:t>Vayyar</w:t>
      </w:r>
      <w:proofErr w:type="spellEnd"/>
      <w:r>
        <w:rPr>
          <w:i/>
          <w:sz w:val="20"/>
        </w:rPr>
        <w:t xml:space="preserve"> Imaging Ltd. Waiver Request </w:t>
      </w:r>
      <w:r>
        <w:rPr>
          <w:sz w:val="20"/>
        </w:rPr>
        <w:t xml:space="preserve">(filed Nov. 13, 2019); </w:t>
      </w:r>
      <w:proofErr w:type="spellStart"/>
      <w:r>
        <w:rPr>
          <w:i/>
          <w:sz w:val="20"/>
        </w:rPr>
        <w:t>Valeo</w:t>
      </w:r>
      <w:proofErr w:type="spellEnd"/>
      <w:r>
        <w:rPr>
          <w:i/>
          <w:sz w:val="20"/>
        </w:rPr>
        <w:t xml:space="preserve"> North America, Inc. Waiver Request</w:t>
      </w:r>
    </w:p>
    <w:p w14:paraId="106EE81F" w14:textId="77777777" w:rsidR="00FC6D7C" w:rsidRDefault="002032AD">
      <w:pPr>
        <w:ind w:left="120" w:right="611"/>
        <w:jc w:val="both"/>
        <w:rPr>
          <w:sz w:val="20"/>
        </w:rPr>
      </w:pPr>
      <w:r>
        <w:rPr>
          <w:sz w:val="20"/>
        </w:rPr>
        <w:t>(</w:t>
      </w:r>
      <w:proofErr w:type="gramStart"/>
      <w:r>
        <w:rPr>
          <w:sz w:val="20"/>
        </w:rPr>
        <w:t>filed</w:t>
      </w:r>
      <w:proofErr w:type="gramEnd"/>
      <w:r>
        <w:rPr>
          <w:sz w:val="20"/>
        </w:rPr>
        <w:t xml:space="preserve"> Mar. 31, 2020); </w:t>
      </w:r>
      <w:r>
        <w:rPr>
          <w:i/>
          <w:sz w:val="20"/>
        </w:rPr>
        <w:t xml:space="preserve">Infineon Technologies Americas Corp. Waiver Request </w:t>
      </w:r>
      <w:r>
        <w:rPr>
          <w:sz w:val="20"/>
        </w:rPr>
        <w:t xml:space="preserve">(filed July 23, 2020); </w:t>
      </w:r>
      <w:r>
        <w:rPr>
          <w:i/>
          <w:sz w:val="20"/>
        </w:rPr>
        <w:t>Tesla, Inc. Waiver</w:t>
      </w:r>
      <w:r>
        <w:rPr>
          <w:i/>
          <w:spacing w:val="-4"/>
          <w:sz w:val="20"/>
        </w:rPr>
        <w:t xml:space="preserve"> </w:t>
      </w:r>
      <w:r>
        <w:rPr>
          <w:i/>
          <w:sz w:val="20"/>
        </w:rPr>
        <w:t>Request</w:t>
      </w:r>
      <w:r>
        <w:rPr>
          <w:i/>
          <w:spacing w:val="-3"/>
          <w:sz w:val="20"/>
        </w:rPr>
        <w:t xml:space="preserve"> </w:t>
      </w:r>
      <w:r>
        <w:rPr>
          <w:sz w:val="20"/>
        </w:rPr>
        <w:t>(filed</w:t>
      </w:r>
      <w:r>
        <w:rPr>
          <w:spacing w:val="-2"/>
          <w:sz w:val="20"/>
        </w:rPr>
        <w:t xml:space="preserve"> </w:t>
      </w:r>
      <w:r>
        <w:rPr>
          <w:sz w:val="20"/>
        </w:rPr>
        <w:t>July</w:t>
      </w:r>
      <w:r>
        <w:rPr>
          <w:spacing w:val="-2"/>
          <w:sz w:val="20"/>
        </w:rPr>
        <w:t xml:space="preserve"> </w:t>
      </w:r>
      <w:r>
        <w:rPr>
          <w:sz w:val="20"/>
        </w:rPr>
        <w:t>31,</w:t>
      </w:r>
      <w:r>
        <w:rPr>
          <w:spacing w:val="-5"/>
          <w:sz w:val="20"/>
        </w:rPr>
        <w:t xml:space="preserve"> </w:t>
      </w:r>
      <w:r>
        <w:rPr>
          <w:sz w:val="20"/>
        </w:rPr>
        <w:t>2020);</w:t>
      </w:r>
      <w:r>
        <w:rPr>
          <w:spacing w:val="-3"/>
          <w:sz w:val="20"/>
        </w:rPr>
        <w:t xml:space="preserve"> </w:t>
      </w:r>
      <w:r>
        <w:rPr>
          <w:i/>
          <w:sz w:val="20"/>
        </w:rPr>
        <w:t>IEE</w:t>
      </w:r>
      <w:r>
        <w:rPr>
          <w:i/>
          <w:spacing w:val="-5"/>
          <w:sz w:val="20"/>
        </w:rPr>
        <w:t xml:space="preserve"> </w:t>
      </w:r>
      <w:r>
        <w:rPr>
          <w:i/>
          <w:sz w:val="20"/>
        </w:rPr>
        <w:t>Sensing</w:t>
      </w:r>
      <w:r>
        <w:rPr>
          <w:i/>
          <w:spacing w:val="-2"/>
          <w:sz w:val="20"/>
        </w:rPr>
        <w:t xml:space="preserve"> </w:t>
      </w:r>
      <w:r>
        <w:rPr>
          <w:i/>
          <w:sz w:val="20"/>
        </w:rPr>
        <w:t>Inc.</w:t>
      </w:r>
      <w:r>
        <w:rPr>
          <w:i/>
          <w:spacing w:val="-2"/>
          <w:sz w:val="20"/>
        </w:rPr>
        <w:t xml:space="preserve"> </w:t>
      </w:r>
      <w:r>
        <w:rPr>
          <w:i/>
          <w:sz w:val="20"/>
        </w:rPr>
        <w:t>Waiver</w:t>
      </w:r>
      <w:r>
        <w:rPr>
          <w:i/>
          <w:spacing w:val="-4"/>
          <w:sz w:val="20"/>
        </w:rPr>
        <w:t xml:space="preserve"> </w:t>
      </w:r>
      <w:r>
        <w:rPr>
          <w:i/>
          <w:sz w:val="20"/>
        </w:rPr>
        <w:t>Request</w:t>
      </w:r>
      <w:r>
        <w:rPr>
          <w:i/>
          <w:spacing w:val="-3"/>
          <w:sz w:val="20"/>
        </w:rPr>
        <w:t xml:space="preserve"> </w:t>
      </w:r>
      <w:r>
        <w:rPr>
          <w:sz w:val="20"/>
        </w:rPr>
        <w:t>(filed</w:t>
      </w:r>
      <w:r>
        <w:rPr>
          <w:spacing w:val="-2"/>
          <w:sz w:val="20"/>
        </w:rPr>
        <w:t xml:space="preserve"> </w:t>
      </w:r>
      <w:r>
        <w:rPr>
          <w:sz w:val="20"/>
        </w:rPr>
        <w:t>Nov.</w:t>
      </w:r>
      <w:r>
        <w:rPr>
          <w:spacing w:val="-5"/>
          <w:sz w:val="20"/>
        </w:rPr>
        <w:t xml:space="preserve"> </w:t>
      </w:r>
      <w:r>
        <w:rPr>
          <w:sz w:val="20"/>
        </w:rPr>
        <w:t>16,</w:t>
      </w:r>
      <w:r>
        <w:rPr>
          <w:spacing w:val="-5"/>
          <w:sz w:val="20"/>
        </w:rPr>
        <w:t xml:space="preserve"> </w:t>
      </w:r>
      <w:r>
        <w:rPr>
          <w:sz w:val="20"/>
        </w:rPr>
        <w:t>2020);</w:t>
      </w:r>
      <w:r>
        <w:rPr>
          <w:spacing w:val="-3"/>
          <w:sz w:val="20"/>
        </w:rPr>
        <w:t xml:space="preserve"> </w:t>
      </w:r>
      <w:r>
        <w:rPr>
          <w:sz w:val="20"/>
        </w:rPr>
        <w:t>and</w:t>
      </w:r>
      <w:r>
        <w:rPr>
          <w:spacing w:val="-4"/>
          <w:sz w:val="20"/>
        </w:rPr>
        <w:t xml:space="preserve"> </w:t>
      </w:r>
      <w:r>
        <w:rPr>
          <w:i/>
          <w:sz w:val="20"/>
        </w:rPr>
        <w:t>Brose</w:t>
      </w:r>
      <w:r>
        <w:rPr>
          <w:i/>
          <w:spacing w:val="-3"/>
          <w:sz w:val="20"/>
        </w:rPr>
        <w:t xml:space="preserve"> </w:t>
      </w:r>
      <w:r>
        <w:rPr>
          <w:i/>
          <w:sz w:val="20"/>
        </w:rPr>
        <w:t xml:space="preserve">North America, Inc. Waiver Request </w:t>
      </w:r>
      <w:r>
        <w:rPr>
          <w:sz w:val="20"/>
        </w:rPr>
        <w:t>(filed Nov. 25,</w:t>
      </w:r>
      <w:r>
        <w:rPr>
          <w:spacing w:val="-18"/>
          <w:sz w:val="20"/>
        </w:rPr>
        <w:t xml:space="preserve"> </w:t>
      </w:r>
      <w:r>
        <w:rPr>
          <w:sz w:val="20"/>
        </w:rPr>
        <w:t>2020).</w:t>
      </w:r>
    </w:p>
    <w:p w14:paraId="09CBA610" w14:textId="77777777" w:rsidR="00FC6D7C" w:rsidRDefault="002032AD">
      <w:pPr>
        <w:spacing w:before="113"/>
        <w:ind w:left="119" w:right="102"/>
        <w:rPr>
          <w:sz w:val="20"/>
        </w:rPr>
      </w:pPr>
      <w:bookmarkStart w:id="30" w:name="_bookmark26"/>
      <w:bookmarkEnd w:id="30"/>
      <w:r>
        <w:rPr>
          <w:position w:val="7"/>
          <w:sz w:val="13"/>
        </w:rPr>
        <w:t xml:space="preserve">24 </w:t>
      </w:r>
      <w:r>
        <w:rPr>
          <w:i/>
          <w:sz w:val="20"/>
        </w:rPr>
        <w:t>In the Matter of Leica Geosystems AG Request for Waiver of Section 15.255 of the Commission's Rules Applicable to Radars used on Unmanned Aerial Vehicles in the 60-64 GHz Frequency Band</w:t>
      </w:r>
      <w:r>
        <w:rPr>
          <w:sz w:val="20"/>
        </w:rPr>
        <w:t xml:space="preserve">, ET Docket No. 19-350, DA 20- 795, Order, FCC </w:t>
      </w:r>
      <w:proofErr w:type="spellStart"/>
      <w:r>
        <w:rPr>
          <w:sz w:val="20"/>
        </w:rPr>
        <w:t>Rcd</w:t>
      </w:r>
      <w:proofErr w:type="spellEnd"/>
      <w:r>
        <w:rPr>
          <w:sz w:val="20"/>
        </w:rPr>
        <w:t xml:space="preserve"> 7929 (2020).</w:t>
      </w:r>
    </w:p>
    <w:p w14:paraId="64AE5B26" w14:textId="77777777" w:rsidR="00FC6D7C" w:rsidRDefault="002032AD">
      <w:pPr>
        <w:spacing w:before="115"/>
        <w:ind w:left="120"/>
        <w:rPr>
          <w:sz w:val="20"/>
        </w:rPr>
      </w:pPr>
      <w:bookmarkStart w:id="31" w:name="_bookmark27"/>
      <w:bookmarkEnd w:id="31"/>
      <w:r>
        <w:rPr>
          <w:position w:val="7"/>
          <w:sz w:val="13"/>
        </w:rPr>
        <w:t xml:space="preserve">25 </w:t>
      </w:r>
      <w:proofErr w:type="spellStart"/>
      <w:r>
        <w:rPr>
          <w:i/>
          <w:sz w:val="20"/>
        </w:rPr>
        <w:t>Acconeer</w:t>
      </w:r>
      <w:proofErr w:type="spellEnd"/>
      <w:r>
        <w:rPr>
          <w:i/>
          <w:sz w:val="20"/>
        </w:rPr>
        <w:t xml:space="preserve"> AB Request for Waiver of 47 CFR § 15.255(c)(3) </w:t>
      </w:r>
      <w:r>
        <w:rPr>
          <w:sz w:val="20"/>
        </w:rPr>
        <w:t>(filed Dec. 23, 2020).</w:t>
      </w:r>
    </w:p>
    <w:p w14:paraId="0FEBA882" w14:textId="77777777" w:rsidR="00FC6D7C" w:rsidRDefault="002032AD">
      <w:pPr>
        <w:spacing w:before="115"/>
        <w:ind w:left="120"/>
        <w:rPr>
          <w:sz w:val="20"/>
        </w:rPr>
      </w:pPr>
      <w:bookmarkStart w:id="32" w:name="_bookmark28"/>
      <w:bookmarkEnd w:id="32"/>
      <w:r>
        <w:rPr>
          <w:position w:val="7"/>
          <w:sz w:val="13"/>
        </w:rPr>
        <w:t xml:space="preserve">26 </w:t>
      </w:r>
      <w:r>
        <w:rPr>
          <w:i/>
          <w:sz w:val="20"/>
        </w:rPr>
        <w:t xml:space="preserve">Husqvarna AB Request for Waiver of 47 CFR § 15.255(c)(3) for Collision Avoidance Radars </w:t>
      </w:r>
      <w:r>
        <w:rPr>
          <w:sz w:val="20"/>
        </w:rPr>
        <w:t>(filed Dec. 8, 2020).</w:t>
      </w:r>
    </w:p>
    <w:p w14:paraId="5EAC45B0" w14:textId="77777777" w:rsidR="00FC6D7C" w:rsidRDefault="002032AD">
      <w:pPr>
        <w:spacing w:before="115"/>
        <w:ind w:left="120"/>
        <w:rPr>
          <w:sz w:val="20"/>
        </w:rPr>
      </w:pPr>
      <w:bookmarkStart w:id="33" w:name="_bookmark29"/>
      <w:bookmarkEnd w:id="33"/>
      <w:r>
        <w:rPr>
          <w:position w:val="7"/>
          <w:sz w:val="13"/>
        </w:rPr>
        <w:t xml:space="preserve">27 </w:t>
      </w:r>
      <w:proofErr w:type="spellStart"/>
      <w:r>
        <w:rPr>
          <w:i/>
          <w:sz w:val="20"/>
        </w:rPr>
        <w:t>Vayyar</w:t>
      </w:r>
      <w:proofErr w:type="spellEnd"/>
      <w:r>
        <w:rPr>
          <w:i/>
          <w:sz w:val="20"/>
        </w:rPr>
        <w:t xml:space="preserve"> Imaging Ltd. Request for Limited Waiver of 47 CFR § 15.255 </w:t>
      </w:r>
      <w:r>
        <w:rPr>
          <w:sz w:val="20"/>
        </w:rPr>
        <w:t>(filed Nov 13, 2019).</w:t>
      </w:r>
    </w:p>
    <w:p w14:paraId="11FA4F33" w14:textId="77777777" w:rsidR="00FC6D7C" w:rsidRDefault="002032AD">
      <w:pPr>
        <w:spacing w:before="113"/>
        <w:ind w:left="120"/>
        <w:rPr>
          <w:sz w:val="20"/>
        </w:rPr>
      </w:pPr>
      <w:bookmarkStart w:id="34" w:name="_bookmark30"/>
      <w:bookmarkEnd w:id="34"/>
      <w:r>
        <w:rPr>
          <w:position w:val="7"/>
          <w:sz w:val="13"/>
        </w:rPr>
        <w:t xml:space="preserve">28 </w:t>
      </w:r>
      <w:r>
        <w:rPr>
          <w:i/>
          <w:sz w:val="20"/>
        </w:rPr>
        <w:t xml:space="preserve">See, e.g., id. </w:t>
      </w:r>
      <w:r>
        <w:rPr>
          <w:sz w:val="20"/>
        </w:rPr>
        <w:t>at 2.</w:t>
      </w:r>
    </w:p>
    <w:p w14:paraId="4ABD1E56" w14:textId="77777777" w:rsidR="00FC6D7C" w:rsidRDefault="00FC6D7C">
      <w:pPr>
        <w:rPr>
          <w:sz w:val="20"/>
        </w:rPr>
        <w:sectPr w:rsidR="00FC6D7C">
          <w:pgSz w:w="12240" w:h="15840"/>
          <w:pgMar w:top="980" w:right="1320" w:bottom="960" w:left="1320" w:header="727" w:footer="765" w:gutter="0"/>
          <w:cols w:space="720"/>
        </w:sectPr>
      </w:pPr>
    </w:p>
    <w:p w14:paraId="544195AB" w14:textId="77777777" w:rsidR="00FC6D7C" w:rsidRDefault="00FC6D7C">
      <w:pPr>
        <w:pStyle w:val="BodyText"/>
        <w:rPr>
          <w:sz w:val="20"/>
        </w:rPr>
      </w:pPr>
    </w:p>
    <w:p w14:paraId="7317A573" w14:textId="77777777" w:rsidR="00FC6D7C" w:rsidRDefault="00FC6D7C">
      <w:pPr>
        <w:pStyle w:val="BodyText"/>
        <w:spacing w:before="4"/>
      </w:pPr>
    </w:p>
    <w:p w14:paraId="6D330EEE" w14:textId="77777777" w:rsidR="00FC6D7C" w:rsidRDefault="002032AD">
      <w:pPr>
        <w:pStyle w:val="BodyText"/>
        <w:ind w:left="119" w:right="220"/>
      </w:pPr>
      <w:r>
        <w:t>increased interest in use of the band and accompanying breadth of potential applications that parties have identified is a relatively recent development, attributable at least in part, we believe, to the availability of mass-produced chipsets that are capable of operating in the band,</w:t>
      </w:r>
      <w:hyperlink w:anchor="_bookmark32" w:history="1">
        <w:r>
          <w:rPr>
            <w:position w:val="7"/>
            <w:sz w:val="13"/>
          </w:rPr>
          <w:t>29</w:t>
        </w:r>
      </w:hyperlink>
      <w:r>
        <w:rPr>
          <w:position w:val="7"/>
          <w:sz w:val="13"/>
        </w:rPr>
        <w:t xml:space="preserve"> </w:t>
      </w:r>
      <w:r>
        <w:t>as well as the prospect of marketing and operating these mobile radar devices on a broad international scale.</w:t>
      </w:r>
    </w:p>
    <w:p w14:paraId="5AD0BEDD" w14:textId="77777777" w:rsidR="00FC6D7C" w:rsidRDefault="002032AD">
      <w:pPr>
        <w:pStyle w:val="ListParagraph"/>
        <w:numPr>
          <w:ilvl w:val="0"/>
          <w:numId w:val="9"/>
        </w:numPr>
        <w:tabs>
          <w:tab w:val="left" w:pos="1560"/>
          <w:tab w:val="left" w:pos="1561"/>
        </w:tabs>
        <w:spacing w:before="118"/>
        <w:ind w:right="166" w:firstLine="721"/>
        <w:rPr>
          <w:sz w:val="13"/>
        </w:rPr>
      </w:pPr>
      <w:r>
        <w:t xml:space="preserve">To that end, we note that operation at higher </w:t>
      </w:r>
      <w:bookmarkStart w:id="35" w:name="_bookmark31"/>
      <w:bookmarkEnd w:id="35"/>
      <w:r>
        <w:t>power than specified in our rules has been allowed in Europe under general rules for short-range devices.</w:t>
      </w:r>
      <w:hyperlink w:anchor="_bookmark33" w:history="1">
        <w:r>
          <w:rPr>
            <w:position w:val="7"/>
            <w:sz w:val="13"/>
          </w:rPr>
          <w:t>30</w:t>
        </w:r>
      </w:hyperlink>
      <w:r>
        <w:rPr>
          <w:position w:val="7"/>
          <w:sz w:val="13"/>
        </w:rPr>
        <w:t xml:space="preserve"> </w:t>
      </w:r>
      <w:r>
        <w:t>A European Telecommunications Standards Institute (ETSI) standard, which has been in effect since 2014, permits short-range devices to operate in a portion of the 57-71 GHz band at power levels that exceed those for FDS - including those operating as SRIMS - under section 15.255 of the rules. Specifically, ETSI Standard EN 305 550 permits operation of short-range devices in the 57-64 GHz band at up to 20 dBm mean (average) EIRP, which is 10 dB greater than the Commission permits under its rules.</w:t>
      </w:r>
      <w:hyperlink w:anchor="_bookmark34" w:history="1">
        <w:r>
          <w:rPr>
            <w:position w:val="7"/>
            <w:sz w:val="13"/>
          </w:rPr>
          <w:t>31</w:t>
        </w:r>
      </w:hyperlink>
      <w:r>
        <w:rPr>
          <w:position w:val="7"/>
          <w:sz w:val="13"/>
        </w:rPr>
        <w:t xml:space="preserve"> </w:t>
      </w:r>
      <w:r>
        <w:t>ETSI EN 305 550 also permits a maximum transmitter output power of 10 dBm, which is 20 dB greater than the level that Section 15.255(c)(3) permits in this band.</w:t>
      </w:r>
      <w:hyperlink w:anchor="_bookmark35" w:history="1">
        <w:r>
          <w:rPr>
            <w:position w:val="7"/>
            <w:sz w:val="13"/>
          </w:rPr>
          <w:t>32</w:t>
        </w:r>
      </w:hyperlink>
      <w:r>
        <w:rPr>
          <w:position w:val="7"/>
          <w:sz w:val="13"/>
        </w:rPr>
        <w:t xml:space="preserve"> </w:t>
      </w:r>
      <w:r>
        <w:t>There are some additional differences between the US and European approaches. For example, the ETSI power limits are based on average measurements, whereas the Commission’s limits are based on peak power measurements.</w:t>
      </w:r>
      <w:hyperlink w:anchor="_bookmark36" w:history="1">
        <w:r>
          <w:rPr>
            <w:position w:val="7"/>
            <w:sz w:val="13"/>
          </w:rPr>
          <w:t>33</w:t>
        </w:r>
      </w:hyperlink>
      <w:r>
        <w:rPr>
          <w:position w:val="7"/>
          <w:sz w:val="13"/>
        </w:rPr>
        <w:t xml:space="preserve"> </w:t>
      </w:r>
      <w:r>
        <w:t>In addition, ETSI EN 305 550 also requires short-range devices in the 57-64 GHz band to comply with a power spectral density (PSD) limit of 13 dBm/MHz, which the Commission’s rules do not include.</w:t>
      </w:r>
      <w:hyperlink w:anchor="_bookmark37" w:history="1">
        <w:r>
          <w:rPr>
            <w:position w:val="7"/>
            <w:sz w:val="13"/>
          </w:rPr>
          <w:t>34</w:t>
        </w:r>
      </w:hyperlink>
      <w:r>
        <w:rPr>
          <w:position w:val="7"/>
          <w:sz w:val="13"/>
        </w:rPr>
        <w:t xml:space="preserve"> </w:t>
      </w:r>
      <w:r>
        <w:t>Finally, unlike the U.S, ETSI does not have a separate provision that allows for higher EIRP levels of up to 40 dBm for FDS in the 61.0-61.5 GHz band, nor does it provide for operation in the 64-71 GHz</w:t>
      </w:r>
      <w:r>
        <w:rPr>
          <w:spacing w:val="-2"/>
        </w:rPr>
        <w:t xml:space="preserve"> </w:t>
      </w:r>
      <w:r>
        <w:t>band.</w:t>
      </w:r>
      <w:hyperlink w:anchor="_bookmark38" w:history="1">
        <w:r>
          <w:rPr>
            <w:position w:val="7"/>
            <w:sz w:val="13"/>
          </w:rPr>
          <w:t>35</w:t>
        </w:r>
      </w:hyperlink>
    </w:p>
    <w:p w14:paraId="15370E9D" w14:textId="77777777" w:rsidR="00FC6D7C" w:rsidRDefault="002032AD">
      <w:pPr>
        <w:pStyle w:val="ListParagraph"/>
        <w:numPr>
          <w:ilvl w:val="0"/>
          <w:numId w:val="9"/>
        </w:numPr>
        <w:tabs>
          <w:tab w:val="left" w:pos="1559"/>
          <w:tab w:val="left" w:pos="1560"/>
        </w:tabs>
        <w:spacing w:before="118"/>
        <w:ind w:right="375" w:firstLine="720"/>
      </w:pPr>
      <w:r>
        <w:t>The protocols for wireless systems operating in the 60 GHz band within the U.S. have been established by the Institute of Electrical and Electronics Engineers (IEEE) 802.11 Standards Committee.</w:t>
      </w:r>
      <w:hyperlink w:anchor="_bookmark39" w:history="1">
        <w:r>
          <w:rPr>
            <w:position w:val="7"/>
            <w:sz w:val="13"/>
          </w:rPr>
          <w:t>36</w:t>
        </w:r>
      </w:hyperlink>
      <w:r>
        <w:rPr>
          <w:position w:val="7"/>
          <w:sz w:val="13"/>
        </w:rPr>
        <w:t xml:space="preserve">  </w:t>
      </w:r>
      <w:r>
        <w:t>These protocols are often referred to as “</w:t>
      </w:r>
      <w:proofErr w:type="spellStart"/>
      <w:r>
        <w:t>WiGig</w:t>
      </w:r>
      <w:proofErr w:type="spellEnd"/>
      <w:r>
        <w:t>,” named for the former Wireless</w:t>
      </w:r>
      <w:r>
        <w:rPr>
          <w:spacing w:val="-18"/>
        </w:rPr>
        <w:t xml:space="preserve"> </w:t>
      </w:r>
      <w:proofErr w:type="gramStart"/>
      <w:r>
        <w:t>Gigabit</w:t>
      </w:r>
      <w:proofErr w:type="gramEnd"/>
    </w:p>
    <w:p w14:paraId="7C3846D8" w14:textId="77777777" w:rsidR="00FC6D7C" w:rsidRDefault="00FC6D7C">
      <w:pPr>
        <w:pStyle w:val="BodyText"/>
        <w:rPr>
          <w:sz w:val="20"/>
        </w:rPr>
      </w:pPr>
    </w:p>
    <w:p w14:paraId="1602B3F3" w14:textId="77777777" w:rsidR="00FC6D7C" w:rsidRDefault="0023630A">
      <w:pPr>
        <w:pStyle w:val="BodyText"/>
        <w:spacing w:before="1"/>
        <w:rPr>
          <w:sz w:val="23"/>
        </w:rPr>
      </w:pPr>
      <w:r>
        <w:pict w14:anchorId="3A22029A">
          <v:line id="_x0000_s1045" style="position:absolute;z-index:251650560;mso-wrap-distance-left:0;mso-wrap-distance-right:0;mso-position-horizontal-relative:page" from="1in,15.55pt" to="3in,15.55pt" strokeweight=".6pt">
            <w10:wrap type="topAndBottom" anchorx="page"/>
          </v:line>
        </w:pict>
      </w:r>
    </w:p>
    <w:p w14:paraId="00BE1EEA" w14:textId="77777777" w:rsidR="00FC6D7C" w:rsidRDefault="002032AD">
      <w:pPr>
        <w:spacing w:before="60"/>
        <w:ind w:left="120" w:right="217"/>
        <w:rPr>
          <w:sz w:val="20"/>
        </w:rPr>
      </w:pPr>
      <w:bookmarkStart w:id="36" w:name="_bookmark32"/>
      <w:bookmarkEnd w:id="36"/>
      <w:r>
        <w:rPr>
          <w:position w:val="7"/>
          <w:sz w:val="13"/>
        </w:rPr>
        <w:t xml:space="preserve">29 </w:t>
      </w:r>
      <w:r>
        <w:rPr>
          <w:i/>
          <w:sz w:val="20"/>
        </w:rPr>
        <w:t xml:space="preserve">See, e.g., </w:t>
      </w:r>
      <w:r>
        <w:rPr>
          <w:sz w:val="20"/>
        </w:rPr>
        <w:t xml:space="preserve">Texas Instruments, “3 ways radar technology is changing the in-cabin sensing market,” </w:t>
      </w:r>
      <w:hyperlink r:id="rId19">
        <w:r>
          <w:rPr>
            <w:color w:val="0000FF"/>
            <w:sz w:val="20"/>
            <w:u w:val="single" w:color="0000FF"/>
          </w:rPr>
          <w:t>https://e2e.ti.com/blogs_/b/behind_the_wheel/posts/3-ways-radar-technology-is-changing-the-in-cabin-sensing-</w:t>
        </w:r>
      </w:hyperlink>
      <w:r>
        <w:rPr>
          <w:color w:val="0000FF"/>
          <w:sz w:val="20"/>
          <w:u w:val="single" w:color="0000FF"/>
        </w:rPr>
        <w:t xml:space="preserve"> </w:t>
      </w:r>
      <w:hyperlink r:id="rId20">
        <w:r>
          <w:rPr>
            <w:color w:val="0000FF"/>
            <w:sz w:val="20"/>
            <w:u w:val="single" w:color="0000FF"/>
          </w:rPr>
          <w:t xml:space="preserve">market </w:t>
        </w:r>
      </w:hyperlink>
      <w:r>
        <w:rPr>
          <w:sz w:val="20"/>
        </w:rPr>
        <w:t xml:space="preserve">(May 4, 2020) (stating that TI offers scalable single-chip </w:t>
      </w:r>
      <w:proofErr w:type="spellStart"/>
      <w:r>
        <w:rPr>
          <w:sz w:val="20"/>
        </w:rPr>
        <w:t>mmWave</w:t>
      </w:r>
      <w:proofErr w:type="spellEnd"/>
      <w:r>
        <w:rPr>
          <w:sz w:val="20"/>
        </w:rPr>
        <w:t xml:space="preserve"> sensors in the 60-GHz band that are pin- to-pin and software-compatible).</w:t>
      </w:r>
    </w:p>
    <w:p w14:paraId="18B49BE0" w14:textId="77777777" w:rsidR="00FC6D7C" w:rsidRDefault="002032AD">
      <w:pPr>
        <w:spacing w:before="113"/>
        <w:ind w:left="120" w:right="102" w:hanging="1"/>
        <w:rPr>
          <w:sz w:val="20"/>
        </w:rPr>
      </w:pPr>
      <w:bookmarkStart w:id="37" w:name="_bookmark33"/>
      <w:bookmarkEnd w:id="37"/>
      <w:r>
        <w:rPr>
          <w:position w:val="7"/>
          <w:sz w:val="13"/>
        </w:rPr>
        <w:t xml:space="preserve">30 </w:t>
      </w:r>
      <w:r>
        <w:rPr>
          <w:sz w:val="20"/>
        </w:rPr>
        <w:t xml:space="preserve">The European Telecommunications Standards Institute (ETSI) describes short-range devices (SRD) as radio transmitters that offer a low risk of interference with other radio services, usually because their transmitted power, and hence their range, is low. This definition “Short Range Device” can encompass many different types of wireless equipment, including but not limited to door and gate openers, alarms and movement detectors, medical implants, remote control devices. </w:t>
      </w:r>
      <w:r>
        <w:rPr>
          <w:i/>
          <w:sz w:val="20"/>
        </w:rPr>
        <w:t xml:space="preserve">See </w:t>
      </w:r>
      <w:hyperlink r:id="rId21" w:anchor="%3A%7E%3Atext%3DStandards-%2CIntroduction%2Chence%20their%20range%2C%20is%20low">
        <w:r>
          <w:rPr>
            <w:color w:val="0000FF"/>
            <w:sz w:val="20"/>
            <w:u w:val="single" w:color="0000FF"/>
          </w:rPr>
          <w:t>https://www.etsi.org/technologies/short-range-devices#:~:text=Standards-</w:t>
        </w:r>
      </w:hyperlink>
    </w:p>
    <w:p w14:paraId="63CCA1F0" w14:textId="77777777" w:rsidR="00FC6D7C" w:rsidRDefault="0023630A">
      <w:pPr>
        <w:ind w:left="119" w:right="183"/>
        <w:rPr>
          <w:sz w:val="20"/>
        </w:rPr>
      </w:pPr>
      <w:hyperlink r:id="rId22" w:anchor="%3A%7E%3Atext%3DStandards-%2CIntroduction%2Chence%20their%20range%2C%20is%20low">
        <w:r w:rsidR="002032AD">
          <w:rPr>
            <w:color w:val="0000FF"/>
            <w:sz w:val="20"/>
            <w:u w:val="single" w:color="0000FF"/>
          </w:rPr>
          <w:t>,Introduction,hence%20their%20range%2C%20is%20low</w:t>
        </w:r>
        <w:r w:rsidR="002032AD">
          <w:rPr>
            <w:sz w:val="20"/>
          </w:rPr>
          <w:t>.</w:t>
        </w:r>
      </w:hyperlink>
      <w:r w:rsidR="002032AD">
        <w:rPr>
          <w:sz w:val="20"/>
        </w:rPr>
        <w:t xml:space="preserve"> ETSI regulations for SRD operating in the 57-64 GHz band are found in ETSI EN 305 550-1 V1.2.1 (2014-10), Clause 7.2.2, </w:t>
      </w:r>
      <w:hyperlink r:id="rId23">
        <w:r w:rsidR="002032AD">
          <w:rPr>
            <w:color w:val="0000FF"/>
            <w:sz w:val="20"/>
            <w:u w:val="single" w:color="0000FF"/>
          </w:rPr>
          <w:t>https://www.etsi.org/deliver/etsi_en/305500_305599/30555001/01.02.01_60/en_30555001v010201p.pdf</w:t>
        </w:r>
        <w:r w:rsidR="002032AD">
          <w:rPr>
            <w:sz w:val="20"/>
          </w:rPr>
          <w:t>;</w:t>
        </w:r>
      </w:hyperlink>
      <w:r w:rsidR="002032AD">
        <w:rPr>
          <w:sz w:val="20"/>
        </w:rPr>
        <w:t xml:space="preserve"> 47 CFR § 15.255(c)(3). ETSI released an updated draft version of this standard in 2017 which has the same EIRP and PSD limits in the 57-64 GHz band as the 2014 version. </w:t>
      </w:r>
      <w:r w:rsidR="002032AD">
        <w:rPr>
          <w:i/>
          <w:sz w:val="20"/>
        </w:rPr>
        <w:t xml:space="preserve">See </w:t>
      </w:r>
      <w:r w:rsidR="002032AD">
        <w:rPr>
          <w:sz w:val="20"/>
        </w:rPr>
        <w:t xml:space="preserve">ETSI EN 305 550 V2.1.0 (2017-10), Clauses 4.3.3.3 and </w:t>
      </w:r>
      <w:r w:rsidR="002032AD">
        <w:rPr>
          <w:w w:val="95"/>
          <w:sz w:val="20"/>
        </w:rPr>
        <w:t xml:space="preserve">4.3.4.3,         </w:t>
      </w:r>
      <w:hyperlink r:id="rId24">
        <w:r w:rsidR="002032AD">
          <w:rPr>
            <w:color w:val="0000FF"/>
            <w:w w:val="95"/>
            <w:sz w:val="20"/>
            <w:u w:val="single" w:color="0000FF"/>
          </w:rPr>
          <w:t>https://www.etsi.org/deliver/etsi_en/305500_305599/305550/02.01.00_20/en_305550v020100a.pdf.</w:t>
        </w:r>
      </w:hyperlink>
    </w:p>
    <w:p w14:paraId="3C6D570E" w14:textId="77777777" w:rsidR="00FC6D7C" w:rsidRDefault="002032AD">
      <w:pPr>
        <w:spacing w:before="115"/>
        <w:ind w:left="120"/>
        <w:rPr>
          <w:sz w:val="20"/>
        </w:rPr>
      </w:pPr>
      <w:bookmarkStart w:id="38" w:name="_bookmark34"/>
      <w:bookmarkEnd w:id="38"/>
      <w:r>
        <w:rPr>
          <w:position w:val="7"/>
          <w:sz w:val="13"/>
        </w:rPr>
        <w:t xml:space="preserve">31 </w:t>
      </w:r>
      <w:r>
        <w:rPr>
          <w:sz w:val="20"/>
        </w:rPr>
        <w:t>ETSI EN 305 550-1 V1.2.1 (2014-10), Clause 7.2.2,</w:t>
      </w:r>
    </w:p>
    <w:p w14:paraId="49B19498" w14:textId="77777777" w:rsidR="00FC6D7C" w:rsidRDefault="002032AD">
      <w:pPr>
        <w:ind w:left="119"/>
        <w:rPr>
          <w:sz w:val="20"/>
        </w:rPr>
      </w:pPr>
      <w:r>
        <w:rPr>
          <w:sz w:val="20"/>
        </w:rPr>
        <w:t>https</w:t>
      </w:r>
      <w:hyperlink r:id="rId25">
        <w:r>
          <w:rPr>
            <w:sz w:val="20"/>
          </w:rPr>
          <w:t>://w</w:t>
        </w:r>
      </w:hyperlink>
      <w:r>
        <w:rPr>
          <w:sz w:val="20"/>
        </w:rPr>
        <w:t>ww.</w:t>
      </w:r>
      <w:hyperlink r:id="rId26">
        <w:r>
          <w:rPr>
            <w:sz w:val="20"/>
          </w:rPr>
          <w:t>etsi.org/deliver/etsi_en/305500_305599/30555001/01.02.01_60/en_30555001v010201p.pdf.</w:t>
        </w:r>
      </w:hyperlink>
    </w:p>
    <w:p w14:paraId="3C9E6343" w14:textId="77777777" w:rsidR="00FC6D7C" w:rsidRDefault="002032AD">
      <w:pPr>
        <w:spacing w:before="115"/>
        <w:ind w:left="120"/>
        <w:rPr>
          <w:sz w:val="20"/>
        </w:rPr>
      </w:pPr>
      <w:bookmarkStart w:id="39" w:name="_bookmark35"/>
      <w:bookmarkEnd w:id="39"/>
      <w:r>
        <w:rPr>
          <w:position w:val="7"/>
          <w:sz w:val="13"/>
        </w:rPr>
        <w:t xml:space="preserve">32 </w:t>
      </w:r>
      <w:r>
        <w:rPr>
          <w:sz w:val="20"/>
        </w:rPr>
        <w:t>47 CFR § 15.255(c)(3).</w:t>
      </w:r>
    </w:p>
    <w:p w14:paraId="2352C53A" w14:textId="77777777" w:rsidR="00FC6D7C" w:rsidRDefault="002032AD">
      <w:pPr>
        <w:spacing w:before="115"/>
        <w:ind w:left="120"/>
        <w:rPr>
          <w:sz w:val="20"/>
        </w:rPr>
      </w:pPr>
      <w:bookmarkStart w:id="40" w:name="_bookmark36"/>
      <w:bookmarkEnd w:id="40"/>
      <w:r>
        <w:rPr>
          <w:position w:val="7"/>
          <w:sz w:val="13"/>
        </w:rPr>
        <w:t xml:space="preserve">33 </w:t>
      </w:r>
      <w:r>
        <w:rPr>
          <w:sz w:val="20"/>
        </w:rPr>
        <w:t>ETSI EN 305 550-1, Clause 7.2.2; 47 CFR § 15.255(c)(3).</w:t>
      </w:r>
    </w:p>
    <w:p w14:paraId="39650B47" w14:textId="77777777" w:rsidR="00FC6D7C" w:rsidRDefault="002032AD">
      <w:pPr>
        <w:spacing w:before="115"/>
        <w:ind w:left="120"/>
        <w:rPr>
          <w:sz w:val="20"/>
        </w:rPr>
      </w:pPr>
      <w:bookmarkStart w:id="41" w:name="_bookmark37"/>
      <w:bookmarkEnd w:id="41"/>
      <w:r>
        <w:rPr>
          <w:position w:val="7"/>
          <w:sz w:val="13"/>
        </w:rPr>
        <w:t xml:space="preserve">34 </w:t>
      </w:r>
      <w:r>
        <w:rPr>
          <w:sz w:val="20"/>
        </w:rPr>
        <w:t>ETSI EN 305 550-1, Clause 7.1.2.</w:t>
      </w:r>
    </w:p>
    <w:p w14:paraId="746E6806" w14:textId="77777777" w:rsidR="00FC6D7C" w:rsidRDefault="002032AD">
      <w:pPr>
        <w:spacing w:before="115"/>
        <w:ind w:left="120"/>
        <w:rPr>
          <w:sz w:val="20"/>
        </w:rPr>
      </w:pPr>
      <w:bookmarkStart w:id="42" w:name="_bookmark38"/>
      <w:bookmarkEnd w:id="42"/>
      <w:r>
        <w:rPr>
          <w:position w:val="7"/>
          <w:sz w:val="13"/>
        </w:rPr>
        <w:t xml:space="preserve">35 </w:t>
      </w:r>
      <w:r>
        <w:rPr>
          <w:sz w:val="20"/>
        </w:rPr>
        <w:t>47 CFR § 15.255(c).</w:t>
      </w:r>
    </w:p>
    <w:p w14:paraId="4A99A816" w14:textId="77777777" w:rsidR="00FC6D7C" w:rsidRDefault="002032AD">
      <w:pPr>
        <w:spacing w:before="113"/>
        <w:ind w:left="119" w:right="102"/>
        <w:rPr>
          <w:sz w:val="20"/>
        </w:rPr>
      </w:pPr>
      <w:bookmarkStart w:id="43" w:name="_bookmark39"/>
      <w:bookmarkEnd w:id="43"/>
      <w:r>
        <w:rPr>
          <w:position w:val="7"/>
          <w:sz w:val="13"/>
        </w:rPr>
        <w:t xml:space="preserve">36 </w:t>
      </w:r>
      <w:r>
        <w:rPr>
          <w:sz w:val="20"/>
        </w:rPr>
        <w:t xml:space="preserve">"IEEE Standard for Information Technology--Telecommunications and Information Exchange between Systems - Local and Metropolitan Area Networks--Specific Requirements - Part 11: Wireless LAN Medium Access Control (MAC) and Physical Layer (PHY) Specifications," in </w:t>
      </w:r>
      <w:r>
        <w:rPr>
          <w:i/>
          <w:sz w:val="20"/>
        </w:rPr>
        <w:t>IEEE Std 802.11-2020 (Revision of IEEE Std 802.11-2016)</w:t>
      </w:r>
      <w:r>
        <w:rPr>
          <w:sz w:val="20"/>
        </w:rPr>
        <w:t xml:space="preserve">, vol., no., pp.1-4379, 26 Feb. 2021, </w:t>
      </w:r>
      <w:proofErr w:type="spellStart"/>
      <w:r>
        <w:rPr>
          <w:sz w:val="20"/>
        </w:rPr>
        <w:t>doi</w:t>
      </w:r>
      <w:proofErr w:type="spellEnd"/>
      <w:r>
        <w:rPr>
          <w:sz w:val="20"/>
        </w:rPr>
        <w:t>: 10.1109/IEEESTD.2021.9363693.</w:t>
      </w:r>
    </w:p>
    <w:p w14:paraId="03D24237" w14:textId="77777777" w:rsidR="00FC6D7C" w:rsidRDefault="00FC6D7C">
      <w:pPr>
        <w:rPr>
          <w:sz w:val="20"/>
        </w:rPr>
        <w:sectPr w:rsidR="00FC6D7C">
          <w:pgSz w:w="12240" w:h="15840"/>
          <w:pgMar w:top="980" w:right="1320" w:bottom="960" w:left="1320" w:header="727" w:footer="765" w:gutter="0"/>
          <w:cols w:space="720"/>
        </w:sectPr>
      </w:pPr>
    </w:p>
    <w:p w14:paraId="3442F2E0" w14:textId="77777777" w:rsidR="00FC6D7C" w:rsidRDefault="00FC6D7C">
      <w:pPr>
        <w:pStyle w:val="BodyText"/>
        <w:rPr>
          <w:sz w:val="20"/>
        </w:rPr>
      </w:pPr>
    </w:p>
    <w:p w14:paraId="076C4C60" w14:textId="77777777" w:rsidR="00FC6D7C" w:rsidRDefault="00FC6D7C">
      <w:pPr>
        <w:pStyle w:val="BodyText"/>
        <w:spacing w:before="4"/>
      </w:pPr>
    </w:p>
    <w:p w14:paraId="60BABFE9" w14:textId="77777777" w:rsidR="00FC6D7C" w:rsidRDefault="002032AD">
      <w:pPr>
        <w:pStyle w:val="BodyText"/>
        <w:ind w:left="120" w:right="149" w:hanging="1"/>
        <w:rPr>
          <w:sz w:val="13"/>
        </w:rPr>
      </w:pPr>
      <w:r>
        <w:t>Alliance which advocated for their development.</w:t>
      </w:r>
      <w:hyperlink w:anchor="_bookmark42" w:history="1">
        <w:r>
          <w:rPr>
            <w:position w:val="7"/>
            <w:sz w:val="13"/>
          </w:rPr>
          <w:t>37</w:t>
        </w:r>
      </w:hyperlink>
      <w:r>
        <w:rPr>
          <w:position w:val="7"/>
          <w:sz w:val="13"/>
        </w:rPr>
        <w:t xml:space="preserve">  </w:t>
      </w:r>
      <w:r>
        <w:t>The current IEEE 802.11ad standard allows for channel sizes of up to 2.16 gigahertz in the 60 GHz band, which support a data rate of up to 8 gigabits per second and permits a total of six channels in the 57-71 GHz band available in the United States.</w:t>
      </w:r>
      <w:hyperlink w:anchor="_bookmark43" w:history="1">
        <w:r>
          <w:rPr>
            <w:position w:val="7"/>
            <w:sz w:val="13"/>
          </w:rPr>
          <w:t>38</w:t>
        </w:r>
      </w:hyperlink>
      <w:r>
        <w:rPr>
          <w:position w:val="7"/>
          <w:sz w:val="13"/>
        </w:rPr>
        <w:t xml:space="preserve"> </w:t>
      </w:r>
      <w:r>
        <w:t>Furthermore, there are IEEE 802.11 working groups with ongoing activities to define the channel access protoc</w:t>
      </w:r>
      <w:bookmarkStart w:id="44" w:name="_bookmark40"/>
      <w:bookmarkEnd w:id="44"/>
      <w:r>
        <w:t>ols to enable the same 60 GHz system transmitting communication signals to transmit radar signals.</w:t>
      </w:r>
      <w:hyperlink w:anchor="_bookmark44" w:history="1">
        <w:r>
          <w:rPr>
            <w:position w:val="7"/>
            <w:sz w:val="13"/>
          </w:rPr>
          <w:t>39</w:t>
        </w:r>
      </w:hyperlink>
    </w:p>
    <w:p w14:paraId="776140F5" w14:textId="77777777" w:rsidR="00FC6D7C" w:rsidRDefault="002032AD">
      <w:pPr>
        <w:pStyle w:val="ListParagraph"/>
        <w:numPr>
          <w:ilvl w:val="0"/>
          <w:numId w:val="9"/>
        </w:numPr>
        <w:tabs>
          <w:tab w:val="left" w:pos="1560"/>
          <w:tab w:val="left" w:pos="1561"/>
        </w:tabs>
        <w:spacing w:before="118"/>
        <w:ind w:left="120" w:right="127" w:firstLine="720"/>
      </w:pPr>
      <w:r>
        <w:t xml:space="preserve">The ongoing interest in expanding the scope of permissible unlicensed operations in the 60 GHz band has prompted interested parties to form a 60 GHz Coexistence Study Group that has been looking into ways to accommodate both unlicensed communications device and FDS operations in the band. This group, which has attracted the active participation of many key members of the industry and meets on a regular basis, operates independently of the Commission. Members of this group, however, have submitted comments and </w:t>
      </w:r>
      <w:r>
        <w:rPr>
          <w:i/>
        </w:rPr>
        <w:t xml:space="preserve">ex </w:t>
      </w:r>
      <w:proofErr w:type="spellStart"/>
      <w:r>
        <w:rPr>
          <w:i/>
        </w:rPr>
        <w:t>parte</w:t>
      </w:r>
      <w:proofErr w:type="spellEnd"/>
      <w:r>
        <w:rPr>
          <w:i/>
        </w:rPr>
        <w:t xml:space="preserve"> </w:t>
      </w:r>
      <w:r>
        <w:t>filings in conjunction with many of the recent waiver proceedings. In general, these submissions have documented the parties’ interest in 60 GHz unlicensed operations and have encouraged us to initiate a rulemaking proceeding to review section 15.255 of the rules with a goal of putting into place a new framework to promote further innovation in the 60 GHz band by both unlicensed communications and FDS</w:t>
      </w:r>
      <w:r>
        <w:rPr>
          <w:spacing w:val="-7"/>
        </w:rPr>
        <w:t xml:space="preserve"> </w:t>
      </w:r>
      <w:r>
        <w:t>operations.</w:t>
      </w:r>
    </w:p>
    <w:p w14:paraId="6905E5BF" w14:textId="77777777" w:rsidR="00FC6D7C" w:rsidRDefault="002032AD">
      <w:pPr>
        <w:pStyle w:val="ListParagraph"/>
        <w:numPr>
          <w:ilvl w:val="0"/>
          <w:numId w:val="9"/>
        </w:numPr>
        <w:tabs>
          <w:tab w:val="left" w:pos="1560"/>
          <w:tab w:val="left" w:pos="1561"/>
        </w:tabs>
        <w:spacing w:before="118"/>
        <w:ind w:right="140" w:firstLine="721"/>
        <w:rPr>
          <w:sz w:val="13"/>
        </w:rPr>
      </w:pPr>
      <w:r>
        <w:t>Finally, the 2020 panel of the FCC’s Technological Advisory Council (TAC)</w:t>
      </w:r>
      <w:hyperlink w:anchor="_bookmark45" w:history="1">
        <w:r>
          <w:rPr>
            <w:position w:val="7"/>
            <w:sz w:val="13"/>
          </w:rPr>
          <w:t>40</w:t>
        </w:r>
      </w:hyperlink>
      <w:r>
        <w:rPr>
          <w:position w:val="7"/>
          <w:sz w:val="13"/>
        </w:rPr>
        <w:t xml:space="preserve"> </w:t>
      </w:r>
      <w:r>
        <w:t xml:space="preserve">took notice of the 60 GHz Coexistence Study Group when its Future of Unlicensed Operations working group examined ways to improve regulations for the 60 GHz band. As part of the TAC’s January 14, </w:t>
      </w:r>
      <w:proofErr w:type="gramStart"/>
      <w:r>
        <w:t>2021</w:t>
      </w:r>
      <w:proofErr w:type="gramEnd"/>
      <w:r>
        <w:t xml:space="preserve"> meeting, the working group recommended that the Commission initiate a rulemaking proceeding to examine the 60 GHz rules in Section 15.255 to address issues raised by the numerous waiver requests that had been</w:t>
      </w:r>
      <w:r>
        <w:rPr>
          <w:spacing w:val="5"/>
        </w:rPr>
        <w:t xml:space="preserve"> </w:t>
      </w:r>
      <w:r>
        <w:t>file</w:t>
      </w:r>
      <w:bookmarkStart w:id="45" w:name="_bookmark41"/>
      <w:bookmarkEnd w:id="45"/>
      <w:r>
        <w:t>d.</w:t>
      </w:r>
      <w:hyperlink w:anchor="_bookmark46" w:history="1">
        <w:r>
          <w:rPr>
            <w:position w:val="7"/>
            <w:sz w:val="13"/>
          </w:rPr>
          <w:t>41</w:t>
        </w:r>
      </w:hyperlink>
    </w:p>
    <w:p w14:paraId="224BBC36" w14:textId="77777777" w:rsidR="00FC6D7C" w:rsidRDefault="00FC6D7C">
      <w:pPr>
        <w:pStyle w:val="BodyText"/>
        <w:rPr>
          <w:sz w:val="20"/>
        </w:rPr>
      </w:pPr>
    </w:p>
    <w:p w14:paraId="4E8025B4" w14:textId="77777777" w:rsidR="00FC6D7C" w:rsidRDefault="00FC6D7C">
      <w:pPr>
        <w:pStyle w:val="BodyText"/>
        <w:rPr>
          <w:sz w:val="20"/>
        </w:rPr>
      </w:pPr>
    </w:p>
    <w:p w14:paraId="25334C2D" w14:textId="77777777" w:rsidR="00FC6D7C" w:rsidRDefault="00FC6D7C">
      <w:pPr>
        <w:pStyle w:val="BodyText"/>
        <w:rPr>
          <w:sz w:val="20"/>
        </w:rPr>
      </w:pPr>
    </w:p>
    <w:p w14:paraId="3BFE0F66" w14:textId="77777777" w:rsidR="00FC6D7C" w:rsidRDefault="0023630A">
      <w:pPr>
        <w:pStyle w:val="BodyText"/>
        <w:spacing w:before="2"/>
        <w:rPr>
          <w:sz w:val="14"/>
        </w:rPr>
      </w:pPr>
      <w:r>
        <w:pict w14:anchorId="45CAA89C">
          <v:line id="_x0000_s1044" style="position:absolute;z-index:251651584;mso-wrap-distance-left:0;mso-wrap-distance-right:0;mso-position-horizontal-relative:page" from="1in,10.45pt" to="3in,10.45pt" strokeweight=".6pt">
            <w10:wrap type="topAndBottom" anchorx="page"/>
          </v:line>
        </w:pict>
      </w:r>
    </w:p>
    <w:p w14:paraId="1CA1869C" w14:textId="77777777" w:rsidR="00FC6D7C" w:rsidRDefault="002032AD">
      <w:pPr>
        <w:spacing w:before="60"/>
        <w:ind w:left="120" w:right="908"/>
        <w:rPr>
          <w:sz w:val="20"/>
        </w:rPr>
      </w:pPr>
      <w:bookmarkStart w:id="46" w:name="_bookmark42"/>
      <w:bookmarkEnd w:id="46"/>
      <w:r>
        <w:rPr>
          <w:position w:val="7"/>
          <w:sz w:val="13"/>
        </w:rPr>
        <w:t xml:space="preserve">37 </w:t>
      </w:r>
      <w:r>
        <w:rPr>
          <w:sz w:val="20"/>
        </w:rPr>
        <w:t xml:space="preserve">The Wireless Gigabit Alliance merged with the </w:t>
      </w:r>
      <w:proofErr w:type="spellStart"/>
      <w:r>
        <w:rPr>
          <w:sz w:val="20"/>
        </w:rPr>
        <w:t>WiFi</w:t>
      </w:r>
      <w:proofErr w:type="spellEnd"/>
      <w:r>
        <w:rPr>
          <w:sz w:val="20"/>
        </w:rPr>
        <w:t xml:space="preserve"> Alliance in 2013. </w:t>
      </w:r>
      <w:r>
        <w:rPr>
          <w:i/>
          <w:sz w:val="20"/>
        </w:rPr>
        <w:t xml:space="preserve">See </w:t>
      </w:r>
      <w:hyperlink r:id="rId27">
        <w:r>
          <w:rPr>
            <w:color w:val="0000FF"/>
            <w:sz w:val="20"/>
            <w:u w:val="single" w:color="0000FF"/>
          </w:rPr>
          <w:t>https://www.wi-fi.org/news-</w:t>
        </w:r>
      </w:hyperlink>
      <w:r>
        <w:rPr>
          <w:color w:val="0000FF"/>
          <w:sz w:val="20"/>
          <w:u w:val="single" w:color="0000FF"/>
        </w:rPr>
        <w:t xml:space="preserve"> </w:t>
      </w:r>
      <w:hyperlink r:id="rId28">
        <w:r>
          <w:rPr>
            <w:color w:val="0000FF"/>
            <w:sz w:val="20"/>
            <w:u w:val="single" w:color="0000FF"/>
          </w:rPr>
          <w:t>events/newsroom/wi-fi-alliance-and-wireless-gigabit-alliance-to-unify</w:t>
        </w:r>
        <w:r>
          <w:rPr>
            <w:sz w:val="20"/>
          </w:rPr>
          <w:t>.</w:t>
        </w:r>
      </w:hyperlink>
    </w:p>
    <w:p w14:paraId="7BB5DE3E" w14:textId="77777777" w:rsidR="00FC6D7C" w:rsidRDefault="002032AD">
      <w:pPr>
        <w:spacing w:before="115"/>
        <w:ind w:left="119" w:right="157"/>
        <w:rPr>
          <w:sz w:val="20"/>
        </w:rPr>
      </w:pPr>
      <w:bookmarkStart w:id="47" w:name="_bookmark43"/>
      <w:bookmarkEnd w:id="47"/>
      <w:r>
        <w:rPr>
          <w:position w:val="7"/>
          <w:sz w:val="13"/>
        </w:rPr>
        <w:t xml:space="preserve">38 </w:t>
      </w:r>
      <w:r>
        <w:rPr>
          <w:sz w:val="20"/>
        </w:rPr>
        <w:t xml:space="preserve">IEEE is currently working on an amendment to this standard, IEEE P802.11ay, which would modify the provisions for 60 GHz systems to allow bonding of multiple 2.16 gigahertz channels and which could increase the maximum possible data rate to approximately 20 to 40 gigabits per second. </w:t>
      </w:r>
      <w:r>
        <w:rPr>
          <w:i/>
          <w:sz w:val="20"/>
        </w:rPr>
        <w:t xml:space="preserve">See </w:t>
      </w:r>
      <w:r>
        <w:rPr>
          <w:sz w:val="20"/>
        </w:rPr>
        <w:t xml:space="preserve">“IEEE Draft Standard for Information Technology-Telecommunications and Information Exchange Between Systems - Local and Metropolitan Area Networks-Specific Requirements Part 11: Wireless LAN Medium Access Control (MAC) and Physical Layer (PHY) Specifications-Amendment 2: Enhanced Throughput for Operation in License-Exempt Bands Above 45 GHz,” </w:t>
      </w:r>
      <w:r>
        <w:rPr>
          <w:i/>
          <w:sz w:val="20"/>
        </w:rPr>
        <w:t>in IEEE P802.11ay/D7.0</w:t>
      </w:r>
      <w:r>
        <w:rPr>
          <w:sz w:val="20"/>
        </w:rPr>
        <w:t xml:space="preserve">, December </w:t>
      </w:r>
      <w:proofErr w:type="gramStart"/>
      <w:r>
        <w:rPr>
          <w:sz w:val="20"/>
        </w:rPr>
        <w:t>2020 ,</w:t>
      </w:r>
      <w:proofErr w:type="gramEnd"/>
      <w:r>
        <w:rPr>
          <w:sz w:val="20"/>
        </w:rPr>
        <w:t xml:space="preserve"> vol., no., pp.1-784, 11 Dec. 2020.</w:t>
      </w:r>
    </w:p>
    <w:p w14:paraId="0B1BECFC" w14:textId="77777777" w:rsidR="00FC6D7C" w:rsidRDefault="002032AD">
      <w:pPr>
        <w:spacing w:before="112"/>
        <w:ind w:left="119" w:right="102"/>
        <w:rPr>
          <w:sz w:val="20"/>
        </w:rPr>
      </w:pPr>
      <w:bookmarkStart w:id="48" w:name="_bookmark44"/>
      <w:bookmarkEnd w:id="48"/>
      <w:r>
        <w:rPr>
          <w:position w:val="7"/>
          <w:sz w:val="13"/>
        </w:rPr>
        <w:t xml:space="preserve">39 </w:t>
      </w:r>
      <w:r>
        <w:rPr>
          <w:sz w:val="20"/>
        </w:rPr>
        <w:t>IEEE 802.11 working papers describe that “…the same waveforms (PPDUs) that are used in 60GHz WLAN may be used as radars pulses, with high efficiency. This is due to the high bandwidth of the signals and fact that some of the fields of the PPDU enable accurate channel estimation with high time resolution. The advantage of using these waveforms for [sic] radar signal is that they are compatible with 802.11 signals at the same band. A device that receives these PPDUs will respect them as it estimates CCA and will know exactly when to expect the end of the waveform. A radar based on 802.11 devices operating in this band shall also respect the medium access rules of</w:t>
      </w:r>
    </w:p>
    <w:p w14:paraId="495F27C8" w14:textId="77777777" w:rsidR="00FC6D7C" w:rsidRDefault="002032AD">
      <w:pPr>
        <w:ind w:left="119" w:right="162"/>
        <w:rPr>
          <w:sz w:val="20"/>
        </w:rPr>
      </w:pPr>
      <w:r>
        <w:rPr>
          <w:sz w:val="20"/>
        </w:rPr>
        <w:t xml:space="preserve">802.11 devices and respect their transmission. Therefore, we can achieve better coexistence between radars and WLAN devices.” </w:t>
      </w:r>
      <w:r>
        <w:rPr>
          <w:i/>
          <w:sz w:val="20"/>
        </w:rPr>
        <w:t xml:space="preserve">See </w:t>
      </w:r>
      <w:r>
        <w:rPr>
          <w:sz w:val="20"/>
        </w:rPr>
        <w:t xml:space="preserve">IEEE 802.11-18/2095r1, Nov. 2018, at </w:t>
      </w:r>
      <w:hyperlink r:id="rId29">
        <w:r>
          <w:rPr>
            <w:color w:val="0000FF"/>
            <w:sz w:val="20"/>
            <w:u w:val="single" w:color="0000FF"/>
          </w:rPr>
          <w:t xml:space="preserve">https://mentor.ieee.org/802.11/dcn/18/11-18-2095-01- </w:t>
        </w:r>
      </w:hyperlink>
      <w:hyperlink r:id="rId30">
        <w:r>
          <w:rPr>
            <w:color w:val="0000FF"/>
            <w:sz w:val="20"/>
            <w:u w:val="single" w:color="0000FF"/>
          </w:rPr>
          <w:t>00ay-wlan-radar-annex.docx</w:t>
        </w:r>
        <w:r>
          <w:rPr>
            <w:sz w:val="20"/>
          </w:rPr>
          <w:t>.</w:t>
        </w:r>
      </w:hyperlink>
    </w:p>
    <w:p w14:paraId="62861240" w14:textId="77777777" w:rsidR="00FC6D7C" w:rsidRDefault="002032AD">
      <w:pPr>
        <w:spacing w:before="118"/>
        <w:ind w:left="119" w:right="364"/>
        <w:rPr>
          <w:i/>
          <w:sz w:val="20"/>
        </w:rPr>
      </w:pPr>
      <w:bookmarkStart w:id="49" w:name="_bookmark45"/>
      <w:bookmarkEnd w:id="49"/>
      <w:r>
        <w:rPr>
          <w:position w:val="7"/>
          <w:sz w:val="13"/>
        </w:rPr>
        <w:t xml:space="preserve">40 </w:t>
      </w:r>
      <w:r>
        <w:rPr>
          <w:sz w:val="20"/>
        </w:rPr>
        <w:t xml:space="preserve">The FCC’s Technological Advisory Council (TAC), which is organized under the authority of the </w:t>
      </w:r>
      <w:hyperlink r:id="rId31">
        <w:r>
          <w:rPr>
            <w:sz w:val="20"/>
          </w:rPr>
          <w:t>Federal</w:t>
        </w:r>
      </w:hyperlink>
      <w:r>
        <w:rPr>
          <w:sz w:val="20"/>
        </w:rPr>
        <w:t xml:space="preserve"> </w:t>
      </w:r>
      <w:hyperlink r:id="rId32">
        <w:r>
          <w:rPr>
            <w:sz w:val="20"/>
          </w:rPr>
          <w:t>Advisory Committee Act,</w:t>
        </w:r>
      </w:hyperlink>
      <w:r>
        <w:rPr>
          <w:sz w:val="20"/>
        </w:rPr>
        <w:t xml:space="preserve"> is comprised of a </w:t>
      </w:r>
      <w:hyperlink r:id="rId33">
        <w:r>
          <w:rPr>
            <w:sz w:val="20"/>
          </w:rPr>
          <w:t>diverse array of leading experts</w:t>
        </w:r>
      </w:hyperlink>
      <w:r>
        <w:rPr>
          <w:sz w:val="20"/>
        </w:rPr>
        <w:t xml:space="preserve"> that helps the FCC identify important areas of innovation and develop informed technology policies supporting America’s competitiveness and job creation in the global economy provides technical advice to the FCC. </w:t>
      </w:r>
      <w:r>
        <w:rPr>
          <w:i/>
          <w:sz w:val="20"/>
        </w:rPr>
        <w:t xml:space="preserve">See </w:t>
      </w:r>
      <w:hyperlink r:id="rId34">
        <w:r>
          <w:rPr>
            <w:i/>
            <w:color w:val="0000FF"/>
            <w:sz w:val="20"/>
            <w:u w:val="single" w:color="0000FF"/>
          </w:rPr>
          <w:t>https://www.fcc.gov/general/technological-advisory-council</w:t>
        </w:r>
        <w:r>
          <w:rPr>
            <w:i/>
            <w:sz w:val="20"/>
          </w:rPr>
          <w:t>.</w:t>
        </w:r>
      </w:hyperlink>
    </w:p>
    <w:p w14:paraId="4C76FEFC" w14:textId="77777777" w:rsidR="00FC6D7C" w:rsidRDefault="002032AD">
      <w:pPr>
        <w:spacing w:before="115"/>
        <w:ind w:left="120"/>
        <w:rPr>
          <w:sz w:val="20"/>
        </w:rPr>
      </w:pPr>
      <w:bookmarkStart w:id="50" w:name="_bookmark46"/>
      <w:bookmarkEnd w:id="50"/>
      <w:r>
        <w:rPr>
          <w:position w:val="7"/>
          <w:sz w:val="13"/>
        </w:rPr>
        <w:t xml:space="preserve">41 </w:t>
      </w:r>
      <w:r>
        <w:rPr>
          <w:sz w:val="20"/>
        </w:rPr>
        <w:t xml:space="preserve">FCC TAC Presentation, Jan. 14, 2021, at </w:t>
      </w:r>
      <w:hyperlink r:id="rId35">
        <w:r>
          <w:rPr>
            <w:color w:val="0000FF"/>
            <w:sz w:val="20"/>
            <w:u w:val="single" w:color="0000FF"/>
          </w:rPr>
          <w:t>https://www.fcc.gov/sites/default/files/tac-presentations-1-14-21.pdf</w:t>
        </w:r>
      </w:hyperlink>
    </w:p>
    <w:p w14:paraId="0C20EC4E" w14:textId="77777777" w:rsidR="00FC6D7C" w:rsidRDefault="002032AD">
      <w:pPr>
        <w:ind w:left="120"/>
        <w:rPr>
          <w:sz w:val="20"/>
        </w:rPr>
      </w:pPr>
      <w:r>
        <w:rPr>
          <w:sz w:val="20"/>
        </w:rPr>
        <w:t>(</w:t>
      </w:r>
      <w:r>
        <w:rPr>
          <w:i/>
          <w:sz w:val="20"/>
        </w:rPr>
        <w:t>2021 TAC Recommendation</w:t>
      </w:r>
      <w:r>
        <w:rPr>
          <w:sz w:val="20"/>
        </w:rPr>
        <w:t>).</w:t>
      </w:r>
    </w:p>
    <w:p w14:paraId="66162F3F" w14:textId="77777777" w:rsidR="00FC6D7C" w:rsidRDefault="00FC6D7C">
      <w:pPr>
        <w:rPr>
          <w:sz w:val="20"/>
        </w:rPr>
        <w:sectPr w:rsidR="00FC6D7C">
          <w:pgSz w:w="12240" w:h="15840"/>
          <w:pgMar w:top="980" w:right="1320" w:bottom="960" w:left="1320" w:header="727" w:footer="765" w:gutter="0"/>
          <w:cols w:space="720"/>
        </w:sectPr>
      </w:pPr>
    </w:p>
    <w:p w14:paraId="7C1F6597" w14:textId="77777777" w:rsidR="00FC6D7C" w:rsidRDefault="00FC6D7C">
      <w:pPr>
        <w:pStyle w:val="BodyText"/>
        <w:rPr>
          <w:sz w:val="20"/>
        </w:rPr>
      </w:pPr>
    </w:p>
    <w:p w14:paraId="5B894CA9" w14:textId="77777777" w:rsidR="00FC6D7C" w:rsidRDefault="00FC6D7C">
      <w:pPr>
        <w:pStyle w:val="BodyText"/>
        <w:spacing w:before="6"/>
      </w:pPr>
    </w:p>
    <w:p w14:paraId="3D4EE482" w14:textId="77777777" w:rsidR="00FC6D7C" w:rsidRDefault="002032AD">
      <w:pPr>
        <w:pStyle w:val="Heading1"/>
        <w:numPr>
          <w:ilvl w:val="1"/>
          <w:numId w:val="10"/>
        </w:numPr>
        <w:tabs>
          <w:tab w:val="left" w:pos="839"/>
          <w:tab w:val="left" w:pos="840"/>
        </w:tabs>
        <w:ind w:left="839" w:hanging="720"/>
        <w:jc w:val="left"/>
      </w:pPr>
      <w:bookmarkStart w:id="51" w:name="III._Discussion"/>
      <w:bookmarkEnd w:id="51"/>
      <w:r>
        <w:t>DISCUSSION</w:t>
      </w:r>
    </w:p>
    <w:p w14:paraId="16A12566" w14:textId="77777777" w:rsidR="00FC6D7C" w:rsidRDefault="002032AD">
      <w:pPr>
        <w:pStyle w:val="ListParagraph"/>
        <w:numPr>
          <w:ilvl w:val="0"/>
          <w:numId w:val="9"/>
        </w:numPr>
        <w:tabs>
          <w:tab w:val="left" w:pos="1559"/>
          <w:tab w:val="left" w:pos="1560"/>
        </w:tabs>
        <w:spacing w:before="116"/>
        <w:ind w:right="139" w:firstLine="720"/>
      </w:pPr>
      <w:r>
        <w:t>We believe that there are significant benefits in initiating this rulemaking proceeding, and we agree with the TAC and other parties that have urged us to comprehensively evaluate unlicensed operations under Section 15.255 of our rules. We realize that past individual waivers have served as an important “relief valve” that allow for unique types of operations that have important public interest benefits and that do not result in harmful interference to incumbent licensed users or jeopardize coexistence with other unlicensed users but do not comply with our rules. However, they are an inappropriate mechanism for providing the type of broad-based relief that we consider here.  Together, the overwhelming interest in FDS operations in the 60 GHz band, the breadth of deployments that parties have identified, and the opportunities for innovation that will be made possible by the availability of relatively inexpensive application-agnostic FDS-capable chipsets make our initiation of a rulemaking proceeding both timely and appropriate. In recognition that unencumbered unlicensed operation has proven to be an especially powerful engine for innovation and economic growth, our proposals are designed to expand the opportunities for unlicensed FDS operations in the band to the greatest extent possible. At the same time, our proposals are also designed to provide assurance that the unlicensed communications devices that have been permitted to use the band since it was first made available for unlicensed operations will be able to coexist with these new unlicensed operations. And, in all cases, our proposals remain true to the bedrock principle that unlicensed devices, regardless of type, must not cause harmful interference to authorized users of the</w:t>
      </w:r>
      <w:r>
        <w:rPr>
          <w:spacing w:val="-14"/>
        </w:rPr>
        <w:t xml:space="preserve"> </w:t>
      </w:r>
      <w:r>
        <w:t>band.</w:t>
      </w:r>
    </w:p>
    <w:p w14:paraId="3F24692F" w14:textId="2265F55E" w:rsidR="00FC6D7C" w:rsidRDefault="002032AD">
      <w:pPr>
        <w:pStyle w:val="ListParagraph"/>
        <w:numPr>
          <w:ilvl w:val="0"/>
          <w:numId w:val="9"/>
        </w:numPr>
        <w:tabs>
          <w:tab w:val="left" w:pos="1559"/>
          <w:tab w:val="left" w:pos="1560"/>
        </w:tabs>
        <w:spacing w:before="119"/>
        <w:ind w:right="159" w:firstLine="720"/>
      </w:pPr>
      <w:r>
        <w:t xml:space="preserve">In this NPRM, we propose targeted changes to Section 15.255 of our rules to expand unlicensed FDS device operations in the 60 GHz band. First, we propose that all FDS devices that limit their operating frequencies to the 57-64 GHz portion of the band would be permitted to transmit at a maximum of 20 dBm average EIRP, 13 dBm/MHz average EIRP power spectral density, and 10 dBm transmitter conducted output power, along with a maximum 10% duty cycle restriction within any 33 </w:t>
      </w:r>
      <w:proofErr w:type="spellStart"/>
      <w:r>
        <w:t>ms</w:t>
      </w:r>
      <w:proofErr w:type="spellEnd"/>
      <w:r>
        <w:t xml:space="preserve"> interval. FDS devices will be able to continue to operate across the entire 57-71 GHz band at the 10 dBm EIRP and -10 dBm conducted output power limits specified in our existing rules. By streamlining our rules in this manner, we would no longer need the special provisions for short-range interactive motion- sensing mobile radars (</w:t>
      </w:r>
      <w:proofErr w:type="gramStart"/>
      <w:r>
        <w:t>i.e.</w:t>
      </w:r>
      <w:proofErr w:type="gramEnd"/>
      <w:r>
        <w:t xml:space="preserve"> SRIMS) that are contained in our existing rules. Second, we also propose to retain and potentially to expand on the provision of section 15.255(c)(2) allowing fixed FDS devices that contain their operating bandwidth to the 61.0-61.5 GHz band to transmit at 40 dBm average EIRP and 43 dBm peak EIRP.</w:t>
      </w:r>
      <w:hyperlink w:anchor="_bookmark47" w:history="1">
        <w:r>
          <w:rPr>
            <w:position w:val="7"/>
            <w:sz w:val="13"/>
          </w:rPr>
          <w:t>42</w:t>
        </w:r>
      </w:hyperlink>
      <w:r>
        <w:rPr>
          <w:position w:val="7"/>
          <w:sz w:val="13"/>
        </w:rPr>
        <w:t xml:space="preserve"> </w:t>
      </w:r>
      <w:r>
        <w:t xml:space="preserve">Finally, we </w:t>
      </w:r>
      <w:r w:rsidR="00264B52" w:rsidRPr="00264B52">
        <w:rPr>
          <w:highlight w:val="yellow"/>
        </w:rPr>
        <w:t>seek comment</w:t>
      </w:r>
      <w:r>
        <w:t xml:space="preserve"> on methods to enhance coexistence (e.g., listen-before-talk or other spectrum sensing/contention avoidance capabilities) that could be used to allow the same power level for FDS devices as is currently permitted for 60 GHz communication devices (up to 40 dBm EIRP) across the entire 57-71 GHz band. We are not proposing any rule revisions for existing unlicensed communication devices such as </w:t>
      </w:r>
      <w:proofErr w:type="spellStart"/>
      <w:r>
        <w:t>WiGig</w:t>
      </w:r>
      <w:proofErr w:type="spellEnd"/>
      <w:r>
        <w:t xml:space="preserve"> WLAN or fixed point-to-point wireless links that currently operate in the 57-71 GHz band. However, we </w:t>
      </w:r>
      <w:r w:rsidR="00264B52" w:rsidRPr="00264B52">
        <w:rPr>
          <w:highlight w:val="yellow"/>
        </w:rPr>
        <w:t>seek comment</w:t>
      </w:r>
      <w:r>
        <w:t xml:space="preserve"> on whether there are </w:t>
      </w:r>
      <w:proofErr w:type="gramStart"/>
      <w:r>
        <w:t>particular provisions</w:t>
      </w:r>
      <w:proofErr w:type="gramEnd"/>
      <w:r>
        <w:t xml:space="preserve"> that we are proposing for FDS operation, such as an antenna gain limit instead of a conducted power limit and requiring use of a spectrum sensing mechanism, that should be more broadly applied to all Part 15 devices operating in the 57-71 GHz</w:t>
      </w:r>
      <w:r>
        <w:rPr>
          <w:spacing w:val="-5"/>
        </w:rPr>
        <w:t xml:space="preserve"> </w:t>
      </w:r>
      <w:r>
        <w:t>band.</w:t>
      </w:r>
    </w:p>
    <w:p w14:paraId="72E41394" w14:textId="03CBE976" w:rsidR="00FC6D7C" w:rsidRDefault="002032AD">
      <w:pPr>
        <w:pStyle w:val="ListParagraph"/>
        <w:numPr>
          <w:ilvl w:val="0"/>
          <w:numId w:val="9"/>
        </w:numPr>
        <w:tabs>
          <w:tab w:val="left" w:pos="1559"/>
          <w:tab w:val="left" w:pos="1560"/>
        </w:tabs>
        <w:spacing w:before="119"/>
        <w:ind w:right="122" w:firstLine="720"/>
      </w:pPr>
      <w:r>
        <w:t xml:space="preserve">We note that the TAC’s Future of Unlicensed Operations working group suggested the Commission </w:t>
      </w:r>
      <w:r w:rsidR="00264B52" w:rsidRPr="00264B52">
        <w:rPr>
          <w:highlight w:val="yellow"/>
        </w:rPr>
        <w:t>seek comment</w:t>
      </w:r>
      <w:r>
        <w:t xml:space="preserve"> on whether the rules should allow greater radiated power for radar applications, if the parameters of the Google Soli waiver should be incorporated into the rules, and whether there are changes to the conditions and technical requirements set forth in the recent waivers that would improve sharing with communications applications.</w:t>
      </w:r>
      <w:hyperlink w:anchor="_bookmark48" w:history="1">
        <w:r>
          <w:rPr>
            <w:position w:val="7"/>
            <w:sz w:val="13"/>
          </w:rPr>
          <w:t>43</w:t>
        </w:r>
      </w:hyperlink>
      <w:r>
        <w:rPr>
          <w:position w:val="7"/>
          <w:sz w:val="13"/>
        </w:rPr>
        <w:t xml:space="preserve"> </w:t>
      </w:r>
      <w:r>
        <w:t>It further suggested that the Commission ask whether the use of a contention-based protocol should be required, and whether 60 GHz band</w:t>
      </w:r>
      <w:r>
        <w:rPr>
          <w:spacing w:val="-21"/>
        </w:rPr>
        <w:t xml:space="preserve"> </w:t>
      </w:r>
      <w:r>
        <w:t>unlicensed</w:t>
      </w:r>
    </w:p>
    <w:p w14:paraId="32CFF6FF" w14:textId="77777777" w:rsidR="00FC6D7C" w:rsidRDefault="0023630A">
      <w:pPr>
        <w:pStyle w:val="BodyText"/>
        <w:spacing w:before="4"/>
        <w:rPr>
          <w:sz w:val="29"/>
        </w:rPr>
      </w:pPr>
      <w:r>
        <w:pict w14:anchorId="0AB33A46">
          <v:line id="_x0000_s1043" style="position:absolute;z-index:251652608;mso-wrap-distance-left:0;mso-wrap-distance-right:0;mso-position-horizontal-relative:page" from="1in,19.15pt" to="3in,19.15pt" strokeweight=".6pt">
            <w10:wrap type="topAndBottom" anchorx="page"/>
          </v:line>
        </w:pict>
      </w:r>
    </w:p>
    <w:p w14:paraId="6F437391" w14:textId="77777777" w:rsidR="00FC6D7C" w:rsidRDefault="002032AD">
      <w:pPr>
        <w:spacing w:before="60"/>
        <w:ind w:left="120" w:right="204" w:hanging="1"/>
        <w:rPr>
          <w:sz w:val="20"/>
        </w:rPr>
      </w:pPr>
      <w:bookmarkStart w:id="52" w:name="_bookmark47"/>
      <w:bookmarkEnd w:id="52"/>
      <w:r>
        <w:rPr>
          <w:position w:val="7"/>
          <w:sz w:val="13"/>
        </w:rPr>
        <w:t xml:space="preserve">42 </w:t>
      </w:r>
      <w:r>
        <w:rPr>
          <w:sz w:val="20"/>
        </w:rPr>
        <w:t xml:space="preserve">47 CFR § 15.255(c)(2). The 61.0-61.5 GHz band is also an Industrial, </w:t>
      </w:r>
      <w:proofErr w:type="gramStart"/>
      <w:r>
        <w:rPr>
          <w:sz w:val="20"/>
        </w:rPr>
        <w:t>Scientific</w:t>
      </w:r>
      <w:proofErr w:type="gramEnd"/>
      <w:r>
        <w:rPr>
          <w:sz w:val="20"/>
        </w:rPr>
        <w:t xml:space="preserve"> and Medical (ISM) frequency band.  </w:t>
      </w:r>
      <w:r>
        <w:rPr>
          <w:i/>
          <w:sz w:val="20"/>
        </w:rPr>
        <w:t xml:space="preserve">See </w:t>
      </w:r>
      <w:r>
        <w:rPr>
          <w:sz w:val="20"/>
        </w:rPr>
        <w:t>47 CFR § 18.301.</w:t>
      </w:r>
    </w:p>
    <w:p w14:paraId="09B58734" w14:textId="77777777" w:rsidR="00FC6D7C" w:rsidRDefault="002032AD">
      <w:pPr>
        <w:spacing w:before="115"/>
        <w:ind w:left="120"/>
        <w:rPr>
          <w:sz w:val="20"/>
        </w:rPr>
      </w:pPr>
      <w:bookmarkStart w:id="53" w:name="_bookmark48"/>
      <w:bookmarkEnd w:id="53"/>
      <w:r>
        <w:rPr>
          <w:position w:val="7"/>
          <w:sz w:val="13"/>
        </w:rPr>
        <w:t xml:space="preserve">43 </w:t>
      </w:r>
      <w:r>
        <w:rPr>
          <w:i/>
          <w:sz w:val="20"/>
        </w:rPr>
        <w:t>2021 TAC Recommendation</w:t>
      </w:r>
      <w:r>
        <w:rPr>
          <w:sz w:val="20"/>
        </w:rPr>
        <w:t>.</w:t>
      </w:r>
    </w:p>
    <w:p w14:paraId="14107D61" w14:textId="77777777" w:rsidR="00FC6D7C" w:rsidRDefault="00FC6D7C">
      <w:pPr>
        <w:rPr>
          <w:sz w:val="20"/>
        </w:rPr>
        <w:sectPr w:rsidR="00FC6D7C">
          <w:pgSz w:w="12240" w:h="15840"/>
          <w:pgMar w:top="980" w:right="1320" w:bottom="960" w:left="1320" w:header="727" w:footer="765" w:gutter="0"/>
          <w:cols w:space="720"/>
        </w:sectPr>
      </w:pPr>
    </w:p>
    <w:p w14:paraId="57A6C183" w14:textId="77777777" w:rsidR="00FC6D7C" w:rsidRDefault="00FC6D7C">
      <w:pPr>
        <w:pStyle w:val="BodyText"/>
        <w:rPr>
          <w:sz w:val="20"/>
        </w:rPr>
      </w:pPr>
    </w:p>
    <w:p w14:paraId="335A9F2C" w14:textId="77777777" w:rsidR="00FC6D7C" w:rsidRDefault="00FC6D7C">
      <w:pPr>
        <w:pStyle w:val="BodyText"/>
        <w:spacing w:before="4"/>
      </w:pPr>
    </w:p>
    <w:p w14:paraId="369939FF" w14:textId="77777777" w:rsidR="00FC6D7C" w:rsidRDefault="002032AD">
      <w:pPr>
        <w:pStyle w:val="BodyText"/>
        <w:spacing w:line="242" w:lineRule="auto"/>
        <w:ind w:left="119" w:right="260"/>
        <w:jc w:val="both"/>
      </w:pPr>
      <w:r>
        <w:t>radar applications should be allowed to use the same power levels as communications applications in the band if they incorporate listen-before-talk procedures.</w:t>
      </w:r>
      <w:hyperlink w:anchor="_bookmark49" w:history="1">
        <w:r>
          <w:rPr>
            <w:position w:val="7"/>
            <w:sz w:val="13"/>
          </w:rPr>
          <w:t>44</w:t>
        </w:r>
      </w:hyperlink>
      <w:r>
        <w:rPr>
          <w:position w:val="7"/>
          <w:sz w:val="13"/>
        </w:rPr>
        <w:t xml:space="preserve"> </w:t>
      </w:r>
      <w:r>
        <w:t>We invite commenters to address these specific questions.</w:t>
      </w:r>
    </w:p>
    <w:p w14:paraId="2F52AB67" w14:textId="3821BD46" w:rsidR="00FC6D7C" w:rsidRDefault="002032AD">
      <w:pPr>
        <w:pStyle w:val="ListParagraph"/>
        <w:numPr>
          <w:ilvl w:val="0"/>
          <w:numId w:val="9"/>
        </w:numPr>
        <w:tabs>
          <w:tab w:val="left" w:pos="1560"/>
          <w:tab w:val="left" w:pos="1561"/>
        </w:tabs>
        <w:spacing w:before="113"/>
        <w:ind w:right="269" w:firstLine="721"/>
      </w:pPr>
      <w:r>
        <w:t>As an initial matter, given that we refer to both FDS and radars extensively throughout this document, we address the relationship between the two terms. Field disturbance sensors broadly include radar operations.</w:t>
      </w:r>
      <w:hyperlink w:anchor="_bookmark50" w:history="1">
        <w:r>
          <w:rPr>
            <w:position w:val="7"/>
            <w:sz w:val="13"/>
          </w:rPr>
          <w:t>45</w:t>
        </w:r>
      </w:hyperlink>
      <w:r>
        <w:rPr>
          <w:position w:val="7"/>
          <w:sz w:val="13"/>
        </w:rPr>
        <w:t xml:space="preserve"> </w:t>
      </w:r>
      <w:r>
        <w:t>Although Section 15.3(l) of our rules provides a definition for “field disturbance sensor,”</w:t>
      </w:r>
      <w:hyperlink w:anchor="_bookmark51" w:history="1">
        <w:r>
          <w:rPr>
            <w:position w:val="7"/>
            <w:sz w:val="13"/>
          </w:rPr>
          <w:t>46</w:t>
        </w:r>
      </w:hyperlink>
      <w:r>
        <w:rPr>
          <w:position w:val="7"/>
          <w:sz w:val="13"/>
        </w:rPr>
        <w:t xml:space="preserve"> </w:t>
      </w:r>
      <w:r>
        <w:t>it does not provide a definition for “radar,” and instead parties must look to the radar definition contained in Section 2.1 of the Commission’s rules.</w:t>
      </w:r>
      <w:hyperlink w:anchor="_bookmark52" w:history="1">
        <w:r>
          <w:rPr>
            <w:position w:val="7"/>
            <w:sz w:val="13"/>
          </w:rPr>
          <w:t>47</w:t>
        </w:r>
      </w:hyperlink>
      <w:r>
        <w:rPr>
          <w:position w:val="7"/>
          <w:sz w:val="13"/>
        </w:rPr>
        <w:t xml:space="preserve"> </w:t>
      </w:r>
      <w:r>
        <w:t xml:space="preserve">We </w:t>
      </w:r>
      <w:r w:rsidR="00264B52" w:rsidRPr="00264B52">
        <w:rPr>
          <w:highlight w:val="yellow"/>
        </w:rPr>
        <w:t>seek comment</w:t>
      </w:r>
      <w:r>
        <w:t xml:space="preserve"> on whether the rules related to “field disturbance sensors” in Section 15.255 are sufficiently broad and flexible to accommodate the class(es) of devices that parties anticipate will be developed to operate in the 57-71 GHz band. We also </w:t>
      </w:r>
      <w:r w:rsidR="00264B52" w:rsidRPr="00264B52">
        <w:rPr>
          <w:highlight w:val="yellow"/>
        </w:rPr>
        <w:t>seek comment</w:t>
      </w:r>
      <w:r>
        <w:t xml:space="preserve"> on whether we should modify the definitions contained in Part 15 of our rules to provide greater clarity about the relationship between FDS and radars and, if so, how? Commenters that support modifying the existing Part 15 definitions should also address whether such modifications would require adjustments elsewhere in the</w:t>
      </w:r>
      <w:r>
        <w:rPr>
          <w:spacing w:val="-15"/>
        </w:rPr>
        <w:t xml:space="preserve"> </w:t>
      </w:r>
      <w:r>
        <w:t>rules.</w:t>
      </w:r>
    </w:p>
    <w:p w14:paraId="11865800" w14:textId="77777777" w:rsidR="00FC6D7C" w:rsidRDefault="002032AD">
      <w:pPr>
        <w:pStyle w:val="ListParagraph"/>
        <w:numPr>
          <w:ilvl w:val="0"/>
          <w:numId w:val="9"/>
        </w:numPr>
        <w:tabs>
          <w:tab w:val="left" w:pos="1559"/>
          <w:tab w:val="left" w:pos="1561"/>
        </w:tabs>
        <w:spacing w:before="118"/>
        <w:ind w:right="262" w:firstLine="721"/>
      </w:pPr>
      <w:r>
        <w:t>As noted above, a number of parties have been granted waiver of certain provisions of Section 15.255 to permit operation of innovative radar devices in the 60 GHz band.</w:t>
      </w:r>
      <w:hyperlink w:anchor="_bookmark53" w:history="1">
        <w:r>
          <w:rPr>
            <w:position w:val="7"/>
            <w:sz w:val="13"/>
          </w:rPr>
          <w:t>48</w:t>
        </w:r>
      </w:hyperlink>
      <w:r>
        <w:rPr>
          <w:position w:val="7"/>
          <w:sz w:val="13"/>
        </w:rPr>
        <w:t xml:space="preserve"> </w:t>
      </w:r>
      <w:r>
        <w:t>To the extent we modify our rules in this proceeding to expand unlicensed FDS device operations in the 60 GHz band, we expect that all future 60 GHz FDS operations would be conducted subject to our modified rules.</w:t>
      </w:r>
      <w:hyperlink w:anchor="_bookmark54" w:history="1">
        <w:r>
          <w:rPr>
            <w:position w:val="7"/>
            <w:sz w:val="13"/>
          </w:rPr>
          <w:t>49</w:t>
        </w:r>
      </w:hyperlink>
      <w:r>
        <w:rPr>
          <w:position w:val="7"/>
          <w:sz w:val="13"/>
        </w:rPr>
        <w:t xml:space="preserve"> </w:t>
      </w:r>
      <w:r>
        <w:t>Accordingly we propose that if we adopt such modifications to our rules in this proceeding,</w:t>
      </w:r>
      <w:r>
        <w:rPr>
          <w:spacing w:val="-24"/>
        </w:rPr>
        <w:t xml:space="preserve"> </w:t>
      </w:r>
      <w:r>
        <w:t>the</w:t>
      </w:r>
    </w:p>
    <w:p w14:paraId="69EAB9B6" w14:textId="77777777" w:rsidR="00FC6D7C" w:rsidRDefault="00FC6D7C">
      <w:pPr>
        <w:pStyle w:val="BodyText"/>
        <w:rPr>
          <w:sz w:val="20"/>
        </w:rPr>
      </w:pPr>
    </w:p>
    <w:p w14:paraId="6CE3606B" w14:textId="77777777" w:rsidR="00FC6D7C" w:rsidRDefault="0023630A">
      <w:pPr>
        <w:pStyle w:val="BodyText"/>
        <w:spacing w:before="2"/>
        <w:rPr>
          <w:sz w:val="10"/>
        </w:rPr>
      </w:pPr>
      <w:r>
        <w:pict w14:anchorId="18CF3B7E">
          <v:line id="_x0000_s1042" style="position:absolute;z-index:251653632;mso-wrap-distance-left:0;mso-wrap-distance-right:0;mso-position-horizontal-relative:page" from="1in,8.1pt" to="3in,8.1pt" strokeweight=".6pt">
            <w10:wrap type="topAndBottom" anchorx="page"/>
          </v:line>
        </w:pict>
      </w:r>
    </w:p>
    <w:p w14:paraId="69F6D8E3" w14:textId="77777777" w:rsidR="00FC6D7C" w:rsidRDefault="002032AD">
      <w:pPr>
        <w:spacing w:before="60"/>
        <w:ind w:left="119" w:right="133"/>
        <w:jc w:val="both"/>
        <w:rPr>
          <w:sz w:val="20"/>
        </w:rPr>
      </w:pPr>
      <w:bookmarkStart w:id="54" w:name="_bookmark49"/>
      <w:bookmarkEnd w:id="54"/>
      <w:r>
        <w:rPr>
          <w:position w:val="7"/>
          <w:sz w:val="13"/>
        </w:rPr>
        <w:t xml:space="preserve">44 </w:t>
      </w:r>
      <w:r>
        <w:rPr>
          <w:i/>
          <w:sz w:val="20"/>
        </w:rPr>
        <w:t xml:space="preserve">Id. </w:t>
      </w:r>
      <w:r>
        <w:rPr>
          <w:sz w:val="20"/>
        </w:rPr>
        <w:t>Listen-Before-Talk (LBT) is a technique used in radiocommunications whereby a radio transmitter first senses its radio environment before starting a transmission. LBT can be used by a radio device to find a network the device is allowed to operate on, or to find a free radio channel on which to operate.</w:t>
      </w:r>
    </w:p>
    <w:p w14:paraId="3DEB6B95" w14:textId="77777777" w:rsidR="00FC6D7C" w:rsidRDefault="002032AD">
      <w:pPr>
        <w:spacing w:before="120" w:line="230" w:lineRule="exact"/>
        <w:ind w:left="119"/>
        <w:rPr>
          <w:sz w:val="20"/>
        </w:rPr>
      </w:pPr>
      <w:bookmarkStart w:id="55" w:name="_bookmark50"/>
      <w:bookmarkEnd w:id="55"/>
      <w:r>
        <w:rPr>
          <w:position w:val="7"/>
          <w:sz w:val="13"/>
        </w:rPr>
        <w:t xml:space="preserve">45 </w:t>
      </w:r>
      <w:r>
        <w:rPr>
          <w:sz w:val="20"/>
        </w:rPr>
        <w:t xml:space="preserve">The definition for FDS sensors was adopted in 1971, in </w:t>
      </w:r>
      <w:r>
        <w:rPr>
          <w:i/>
          <w:sz w:val="20"/>
        </w:rPr>
        <w:t>Amendment of Part 15 of the Commission's Rules to Add Regulations Governing the Use of Field Disturbance Sensors (Formerly Designated as Radio Frequency Operated Intruder Alarms)</w:t>
      </w:r>
      <w:r>
        <w:rPr>
          <w:sz w:val="20"/>
        </w:rPr>
        <w:t>, Docket No. 13863, FCC 71873, Report and Order, 31 FCC 2</w:t>
      </w:r>
      <w:proofErr w:type="spellStart"/>
      <w:r>
        <w:rPr>
          <w:position w:val="7"/>
          <w:sz w:val="13"/>
        </w:rPr>
        <w:t>nd</w:t>
      </w:r>
      <w:proofErr w:type="spellEnd"/>
      <w:r>
        <w:rPr>
          <w:position w:val="7"/>
          <w:sz w:val="13"/>
        </w:rPr>
        <w:t xml:space="preserve"> </w:t>
      </w:r>
      <w:r>
        <w:rPr>
          <w:sz w:val="20"/>
        </w:rPr>
        <w:t xml:space="preserve">210 (1971). The Commission did express that it “will interpose no objection to the operation of speed measuring equipment (or other radiolocation devices) under the regulations for field disturbance sensors…” while discussing radars in this context. </w:t>
      </w:r>
      <w:r>
        <w:rPr>
          <w:i/>
          <w:sz w:val="20"/>
        </w:rPr>
        <w:t>Id</w:t>
      </w:r>
      <w:r>
        <w:rPr>
          <w:sz w:val="20"/>
        </w:rPr>
        <w:t>., at para.</w:t>
      </w:r>
    </w:p>
    <w:p w14:paraId="0B8B1B48" w14:textId="77777777" w:rsidR="00FC6D7C" w:rsidRDefault="002032AD">
      <w:pPr>
        <w:pStyle w:val="ListParagraph"/>
        <w:numPr>
          <w:ilvl w:val="0"/>
          <w:numId w:val="8"/>
        </w:numPr>
        <w:tabs>
          <w:tab w:val="left" w:pos="473"/>
        </w:tabs>
        <w:ind w:right="216" w:firstLine="0"/>
        <w:rPr>
          <w:sz w:val="20"/>
        </w:rPr>
      </w:pPr>
      <w:r>
        <w:rPr>
          <w:sz w:val="20"/>
        </w:rPr>
        <w:t xml:space="preserve">In 1995, the Commission adopted the rules prohibiting FDS, specifically mobile FDS in 47 CFR § 15.255 in </w:t>
      </w:r>
      <w:r>
        <w:rPr>
          <w:i/>
          <w:sz w:val="20"/>
        </w:rPr>
        <w:t>Amendment of parts 2, 15 and 97 of the Commission's Rules to Permit Use of Radio Frequencies Above 40 GHz for New Radio Applications</w:t>
      </w:r>
      <w:r>
        <w:rPr>
          <w:sz w:val="20"/>
        </w:rPr>
        <w:t xml:space="preserve">, ET Docket No. 94-124, FCC 95-499, First Report and Order, 11 FCC </w:t>
      </w:r>
      <w:proofErr w:type="spellStart"/>
      <w:r>
        <w:rPr>
          <w:sz w:val="20"/>
        </w:rPr>
        <w:t>Rcd</w:t>
      </w:r>
      <w:proofErr w:type="spellEnd"/>
      <w:r>
        <w:rPr>
          <w:sz w:val="20"/>
        </w:rPr>
        <w:t xml:space="preserve">. 4481, 4496 (1995); in 2002, the Commission adopted rules for UWB radars in 47 CFR §§ 15.503, 15.515, specifically defining radars as FDS in </w:t>
      </w:r>
      <w:r>
        <w:rPr>
          <w:i/>
          <w:sz w:val="20"/>
        </w:rPr>
        <w:t>Revision of Part 15 of the Commission’s Rules Regarding Ultra-Wideband Transmission Systems</w:t>
      </w:r>
      <w:r>
        <w:rPr>
          <w:sz w:val="20"/>
        </w:rPr>
        <w:t xml:space="preserve">, ET Docket No. 98153, FCC 02-48, First Report and Order, </w:t>
      </w:r>
      <w:r>
        <w:rPr>
          <w:color w:val="1D2B3E"/>
          <w:sz w:val="20"/>
        </w:rPr>
        <w:t xml:space="preserve">17 FCC </w:t>
      </w:r>
      <w:proofErr w:type="spellStart"/>
      <w:r>
        <w:rPr>
          <w:color w:val="1D2B3E"/>
          <w:sz w:val="20"/>
        </w:rPr>
        <w:t>Rcd</w:t>
      </w:r>
      <w:proofErr w:type="spellEnd"/>
      <w:r>
        <w:rPr>
          <w:color w:val="1D2B3E"/>
          <w:sz w:val="20"/>
        </w:rPr>
        <w:t xml:space="preserve"> 7435 </w:t>
      </w:r>
      <w:r>
        <w:rPr>
          <w:sz w:val="20"/>
        </w:rPr>
        <w:t xml:space="preserve">(2002); in 2003, the Commission adopted rules for vehicular radars in 47 CFR § 15.252, specifically labeling vehicular radars as FDS in </w:t>
      </w:r>
      <w:r>
        <w:rPr>
          <w:i/>
          <w:sz w:val="20"/>
        </w:rPr>
        <w:t>Revision of Part 15 of the Commission’s Rules Regarding Ultra-Wideband Transmission Systems</w:t>
      </w:r>
      <w:r>
        <w:rPr>
          <w:sz w:val="20"/>
        </w:rPr>
        <w:t xml:space="preserve">, ET Docket No. 98-153, FCC 04285, Second Report and Order, 19 FCC </w:t>
      </w:r>
      <w:proofErr w:type="spellStart"/>
      <w:r>
        <w:rPr>
          <w:sz w:val="20"/>
        </w:rPr>
        <w:t>Rcd</w:t>
      </w:r>
      <w:proofErr w:type="spellEnd"/>
      <w:r>
        <w:rPr>
          <w:sz w:val="20"/>
        </w:rPr>
        <w:t xml:space="preserve"> 24558</w:t>
      </w:r>
      <w:r>
        <w:rPr>
          <w:spacing w:val="-19"/>
          <w:sz w:val="20"/>
        </w:rPr>
        <w:t xml:space="preserve"> </w:t>
      </w:r>
      <w:r>
        <w:rPr>
          <w:sz w:val="20"/>
        </w:rPr>
        <w:t>(2003).</w:t>
      </w:r>
    </w:p>
    <w:p w14:paraId="72A25F10" w14:textId="77777777" w:rsidR="00FC6D7C" w:rsidRDefault="002032AD">
      <w:pPr>
        <w:spacing w:before="119"/>
        <w:ind w:left="119" w:right="204"/>
        <w:rPr>
          <w:sz w:val="20"/>
        </w:rPr>
      </w:pPr>
      <w:bookmarkStart w:id="56" w:name="_bookmark51"/>
      <w:bookmarkEnd w:id="56"/>
      <w:r>
        <w:rPr>
          <w:position w:val="7"/>
          <w:sz w:val="13"/>
        </w:rPr>
        <w:t xml:space="preserve">46 </w:t>
      </w:r>
      <w:r>
        <w:rPr>
          <w:sz w:val="20"/>
        </w:rPr>
        <w:t>47 CFR § 15.3(l) defines a field disturbance sensor as “a device that establishes a radio frequency field in its vicinity and detects changes in that field resulting from the movement of persons or objects within its range.”</w:t>
      </w:r>
    </w:p>
    <w:p w14:paraId="5A25D4B5" w14:textId="77777777" w:rsidR="00FC6D7C" w:rsidRDefault="002032AD">
      <w:pPr>
        <w:spacing w:before="115"/>
        <w:ind w:left="120" w:hanging="1"/>
        <w:rPr>
          <w:sz w:val="20"/>
        </w:rPr>
      </w:pPr>
      <w:bookmarkStart w:id="57" w:name="_bookmark52"/>
      <w:bookmarkEnd w:id="57"/>
      <w:r>
        <w:rPr>
          <w:position w:val="7"/>
          <w:sz w:val="13"/>
        </w:rPr>
        <w:t xml:space="preserve">47 </w:t>
      </w:r>
      <w:r>
        <w:rPr>
          <w:sz w:val="20"/>
        </w:rPr>
        <w:t>47 CFR § 2.1 defines a radar as “a radiodetermination system based on the comparison of reference signals with radio signals reflected, or retransmitted, from the position to be determined”. This radar definition is taken from the International Telecommunications Union (ITU) Radio Regulations (RR).</w:t>
      </w:r>
    </w:p>
    <w:p w14:paraId="785E132B" w14:textId="77777777" w:rsidR="00FC6D7C" w:rsidRDefault="002032AD">
      <w:pPr>
        <w:spacing w:before="115"/>
        <w:ind w:left="120"/>
        <w:rPr>
          <w:sz w:val="20"/>
        </w:rPr>
      </w:pPr>
      <w:bookmarkStart w:id="58" w:name="_bookmark53"/>
      <w:bookmarkEnd w:id="58"/>
      <w:r>
        <w:rPr>
          <w:position w:val="7"/>
          <w:sz w:val="13"/>
        </w:rPr>
        <w:t xml:space="preserve">48 </w:t>
      </w:r>
      <w:r>
        <w:rPr>
          <w:i/>
          <w:sz w:val="20"/>
        </w:rPr>
        <w:t xml:space="preserve">See supra </w:t>
      </w:r>
      <w:r>
        <w:rPr>
          <w:sz w:val="20"/>
        </w:rPr>
        <w:t>paras. [7-8].</w:t>
      </w:r>
    </w:p>
    <w:p w14:paraId="4C125CA5" w14:textId="77777777" w:rsidR="00FC6D7C" w:rsidRDefault="002032AD">
      <w:pPr>
        <w:spacing w:before="115"/>
        <w:ind w:left="119" w:right="175"/>
        <w:rPr>
          <w:sz w:val="20"/>
        </w:rPr>
      </w:pPr>
      <w:bookmarkStart w:id="59" w:name="_bookmark54"/>
      <w:bookmarkEnd w:id="59"/>
      <w:r>
        <w:rPr>
          <w:position w:val="7"/>
          <w:sz w:val="13"/>
        </w:rPr>
        <w:t xml:space="preserve">49 </w:t>
      </w:r>
      <w:r>
        <w:rPr>
          <w:i/>
          <w:sz w:val="20"/>
        </w:rPr>
        <w:t xml:space="preserve">See, e.g., 60 GHz Vehicle Radar Waiver, supra </w:t>
      </w:r>
      <w:r>
        <w:rPr>
          <w:sz w:val="20"/>
        </w:rPr>
        <w:t xml:space="preserve">n.21 at para. 52 (“We note that operations pursuant to the waivers we grant today are expressly conditioned on compliance with the Commission’s rules except as waived, and where rules are modified as a result of any future Commission rulemaking these operations will be subject to those modified rules”); Letter from Terry G. </w:t>
      </w:r>
      <w:proofErr w:type="spellStart"/>
      <w:r>
        <w:rPr>
          <w:sz w:val="20"/>
        </w:rPr>
        <w:t>Mahn</w:t>
      </w:r>
      <w:proofErr w:type="spellEnd"/>
      <w:r>
        <w:rPr>
          <w:sz w:val="20"/>
        </w:rPr>
        <w:t xml:space="preserve">, Fish &amp; Richardson, to Marlene Dortch, FCC, ET Docket No. 21-15 (filed June 1, 2021) at 1 (noting that </w:t>
      </w:r>
      <w:proofErr w:type="spellStart"/>
      <w:r>
        <w:rPr>
          <w:sz w:val="20"/>
        </w:rPr>
        <w:t>Vayyar</w:t>
      </w:r>
      <w:proofErr w:type="spellEnd"/>
      <w:r>
        <w:rPr>
          <w:sz w:val="20"/>
        </w:rPr>
        <w:t xml:space="preserve"> “was fully aware of the anticipated 60 GHz rulemaking proceeding and fully understood and agreed that any waiver granted to </w:t>
      </w:r>
      <w:proofErr w:type="spellStart"/>
      <w:r>
        <w:rPr>
          <w:sz w:val="20"/>
        </w:rPr>
        <w:t>Vayyar</w:t>
      </w:r>
      <w:proofErr w:type="spellEnd"/>
      <w:r>
        <w:rPr>
          <w:sz w:val="20"/>
        </w:rPr>
        <w:t xml:space="preserve"> would be subject to future alignment with the outcome of such rulemaking”).</w:t>
      </w:r>
    </w:p>
    <w:p w14:paraId="777901E0" w14:textId="77777777" w:rsidR="00FC6D7C" w:rsidRDefault="00FC6D7C">
      <w:pPr>
        <w:rPr>
          <w:sz w:val="20"/>
        </w:rPr>
        <w:sectPr w:rsidR="00FC6D7C">
          <w:pgSz w:w="12240" w:h="15840"/>
          <w:pgMar w:top="980" w:right="1320" w:bottom="960" w:left="1320" w:header="727" w:footer="765" w:gutter="0"/>
          <w:cols w:space="720"/>
        </w:sectPr>
      </w:pPr>
    </w:p>
    <w:p w14:paraId="7849E9B4" w14:textId="77777777" w:rsidR="00FC6D7C" w:rsidRDefault="00FC6D7C">
      <w:pPr>
        <w:pStyle w:val="BodyText"/>
        <w:rPr>
          <w:sz w:val="20"/>
        </w:rPr>
      </w:pPr>
    </w:p>
    <w:p w14:paraId="46979DFE" w14:textId="77777777" w:rsidR="00FC6D7C" w:rsidRDefault="00FC6D7C">
      <w:pPr>
        <w:pStyle w:val="BodyText"/>
        <w:spacing w:before="4"/>
      </w:pPr>
    </w:p>
    <w:p w14:paraId="41950000" w14:textId="66DB703D" w:rsidR="00FC6D7C" w:rsidRDefault="002032AD">
      <w:pPr>
        <w:pStyle w:val="BodyText"/>
        <w:ind w:left="119" w:right="369"/>
      </w:pPr>
      <w:r>
        <w:t xml:space="preserve">previously granted 60 GHz FDS waivers would be terminated and FDS device manufacturers would be expected to conform their operations to our rules as revised.  We </w:t>
      </w:r>
      <w:r w:rsidR="00264B52" w:rsidRPr="00264B52">
        <w:rPr>
          <w:highlight w:val="yellow"/>
        </w:rPr>
        <w:t>seek comment</w:t>
      </w:r>
      <w:r>
        <w:t xml:space="preserve"> on this proposal.</w:t>
      </w:r>
    </w:p>
    <w:p w14:paraId="0C2DDAF7" w14:textId="77777777" w:rsidR="00FC6D7C" w:rsidRDefault="002032AD">
      <w:pPr>
        <w:pStyle w:val="Heading1"/>
        <w:numPr>
          <w:ilvl w:val="1"/>
          <w:numId w:val="8"/>
        </w:numPr>
        <w:tabs>
          <w:tab w:val="left" w:pos="1559"/>
          <w:tab w:val="left" w:pos="1560"/>
        </w:tabs>
        <w:spacing w:before="121"/>
      </w:pPr>
      <w:bookmarkStart w:id="60" w:name="A._Expanded_Use_of_FDS_Devices_Operating"/>
      <w:bookmarkEnd w:id="60"/>
      <w:r>
        <w:t>Expanded Use of FDS Devices Operating in the 57-64 GHz</w:t>
      </w:r>
      <w:r>
        <w:rPr>
          <w:spacing w:val="-14"/>
        </w:rPr>
        <w:t xml:space="preserve"> </w:t>
      </w:r>
      <w:r>
        <w:t>band</w:t>
      </w:r>
    </w:p>
    <w:p w14:paraId="5635FCD6" w14:textId="77777777" w:rsidR="00FC6D7C" w:rsidRDefault="002032AD">
      <w:pPr>
        <w:pStyle w:val="ListParagraph"/>
        <w:numPr>
          <w:ilvl w:val="0"/>
          <w:numId w:val="7"/>
        </w:numPr>
        <w:tabs>
          <w:tab w:val="left" w:pos="1559"/>
          <w:tab w:val="left" w:pos="1560"/>
        </w:tabs>
        <w:spacing w:before="116"/>
        <w:ind w:right="121" w:firstLine="720"/>
      </w:pPr>
      <w:r>
        <w:t>We first propose to modify Section 15.255 of the Commission’s rules to afford greater opportunities for fixed and mobile FDS devices operating in the 57-64 GHz portion of the 60 GHz band. The extensive analysis that has accompanied the multiple waiver requests that have been submitted to the Commission, the widespread consumer use of Google’s Soli-equipped devices without reported cases of harmful interference and the ongoing efforts of the industry and standards groups to identify model coexistence practices for unlicensed users gives us confidence that there is now sufficient information for us to build a record to expand unlicensed mobile radar use beyond the toehold the Commission first provided in 2016 and the narrow waivers that have been issued to date. Our baseline proposals draw from the technical and operating conditions incorporated into the waivers granted to Google for its Soli device and to automobile manufacturers and suppliers for in-cabin radars to detect children left in cars, with additional modifications to account for harmonization with international provisions governing operation in the</w:t>
      </w:r>
      <w:r>
        <w:rPr>
          <w:spacing w:val="-1"/>
        </w:rPr>
        <w:t xml:space="preserve"> </w:t>
      </w:r>
      <w:r>
        <w:t>band.</w:t>
      </w:r>
    </w:p>
    <w:p w14:paraId="7031860A" w14:textId="77777777" w:rsidR="00FC6D7C" w:rsidRDefault="002032AD">
      <w:pPr>
        <w:pStyle w:val="ListParagraph"/>
        <w:numPr>
          <w:ilvl w:val="0"/>
          <w:numId w:val="7"/>
        </w:numPr>
        <w:tabs>
          <w:tab w:val="left" w:pos="1559"/>
          <w:tab w:val="left" w:pos="1560"/>
        </w:tabs>
        <w:spacing w:before="116"/>
        <w:ind w:right="255" w:firstLine="720"/>
      </w:pPr>
      <w:r>
        <w:t xml:space="preserve">As discussed below, we propose </w:t>
      </w:r>
      <w:proofErr w:type="gramStart"/>
      <w:r>
        <w:t>to:</w:t>
      </w:r>
      <w:proofErr w:type="gramEnd"/>
      <w:r>
        <w:t xml:space="preserve"> focus device operation to the 57-64 GHz portion of the 60 GHz band; allow operations at higher power levels than were permitted in the waivers but consistent with the well-established ETSI standards; and require a duty cycle that is consistent with what was established in the Google waiver, with the possibility of mandating a minimum off-time between cycles.</w:t>
      </w:r>
    </w:p>
    <w:p w14:paraId="36F027D7" w14:textId="77777777" w:rsidR="00FC6D7C" w:rsidRDefault="002032AD">
      <w:pPr>
        <w:pStyle w:val="Heading1"/>
        <w:numPr>
          <w:ilvl w:val="1"/>
          <w:numId w:val="7"/>
        </w:numPr>
        <w:tabs>
          <w:tab w:val="left" w:pos="2279"/>
          <w:tab w:val="left" w:pos="2280"/>
        </w:tabs>
        <w:spacing w:before="119"/>
        <w:ind w:hanging="720"/>
      </w:pPr>
      <w:bookmarkStart w:id="61" w:name="1._Frequency_Range"/>
      <w:bookmarkEnd w:id="61"/>
      <w:r>
        <w:t>Frequency</w:t>
      </w:r>
      <w:r>
        <w:rPr>
          <w:spacing w:val="-4"/>
        </w:rPr>
        <w:t xml:space="preserve"> </w:t>
      </w:r>
      <w:r>
        <w:t>Range</w:t>
      </w:r>
    </w:p>
    <w:p w14:paraId="363546D6" w14:textId="0AFB04A8" w:rsidR="00FC6D7C" w:rsidRDefault="002032AD">
      <w:pPr>
        <w:pStyle w:val="ListParagraph"/>
        <w:numPr>
          <w:ilvl w:val="0"/>
          <w:numId w:val="7"/>
        </w:numPr>
        <w:tabs>
          <w:tab w:val="left" w:pos="1559"/>
          <w:tab w:val="left" w:pos="1560"/>
        </w:tabs>
        <w:spacing w:before="119"/>
        <w:ind w:right="122" w:firstLine="720"/>
      </w:pPr>
      <w:r>
        <w:t xml:space="preserve">Based on our review of the multiple waiver requests that pertain to FDS use of the 60 GHz band, parties designing and manufacturing radars to operate in the 60 GHz band have proposed to restrict their spectrum usage to frequencies below 64 GHz (constituting the 60-64 GHz or 57-64 </w:t>
      </w:r>
      <w:r>
        <w:rPr>
          <w:spacing w:val="-2"/>
        </w:rPr>
        <w:t xml:space="preserve">GHz </w:t>
      </w:r>
      <w:r>
        <w:t xml:space="preserve">band segments, depending on the filing), although Section 15.255 permits operation across the 57-71 </w:t>
      </w:r>
      <w:r>
        <w:rPr>
          <w:spacing w:val="-2"/>
        </w:rPr>
        <w:t xml:space="preserve">GHz </w:t>
      </w:r>
      <w:r>
        <w:t>band for fixed FDS and SRIMS devices such as the Google Soli.  We surmise that the requests seek to limit operation to the lower portion of the 57-71 GHz band to align operations and devices with international standards such as the European ETSI Harmonized Standard EN 305 550 that restrict short- range devices, e.g., radars, to the 57-64 GHz band.</w:t>
      </w:r>
      <w:hyperlink w:anchor="_bookmark55" w:history="1">
        <w:r>
          <w:rPr>
            <w:position w:val="7"/>
            <w:sz w:val="13"/>
          </w:rPr>
          <w:t>50</w:t>
        </w:r>
      </w:hyperlink>
      <w:r>
        <w:rPr>
          <w:position w:val="7"/>
          <w:sz w:val="13"/>
        </w:rPr>
        <w:t xml:space="preserve">  </w:t>
      </w:r>
      <w:r>
        <w:t xml:space="preserve">We </w:t>
      </w:r>
      <w:r w:rsidR="00264B52" w:rsidRPr="00264B52">
        <w:rPr>
          <w:highlight w:val="yellow"/>
        </w:rPr>
        <w:t>seek comment</w:t>
      </w:r>
      <w:r>
        <w:t xml:space="preserve"> on this</w:t>
      </w:r>
      <w:r>
        <w:rPr>
          <w:spacing w:val="-6"/>
        </w:rPr>
        <w:t xml:space="preserve"> </w:t>
      </w:r>
      <w:r>
        <w:t>assumption.</w:t>
      </w:r>
    </w:p>
    <w:p w14:paraId="34EB5084" w14:textId="648C07FC" w:rsidR="00FC6D7C" w:rsidRDefault="002032AD">
      <w:pPr>
        <w:pStyle w:val="ListParagraph"/>
        <w:numPr>
          <w:ilvl w:val="0"/>
          <w:numId w:val="7"/>
        </w:numPr>
        <w:tabs>
          <w:tab w:val="left" w:pos="1559"/>
          <w:tab w:val="left" w:pos="1561"/>
        </w:tabs>
        <w:spacing w:before="119"/>
        <w:ind w:right="135" w:firstLine="721"/>
      </w:pPr>
      <w:r>
        <w:t>We note that a proposal has been submitted to IEEE 802.11 to define a channel access protocol to enable the same 60 GHz systems to transmit signals that can be used both for communications and radar purposes to be decoded by a similar system at the receiving end.</w:t>
      </w:r>
      <w:hyperlink w:anchor="_bookmark56" w:history="1">
        <w:r>
          <w:rPr>
            <w:position w:val="7"/>
            <w:sz w:val="13"/>
          </w:rPr>
          <w:t>51</w:t>
        </w:r>
      </w:hyperlink>
      <w:r>
        <w:rPr>
          <w:position w:val="7"/>
          <w:sz w:val="13"/>
        </w:rPr>
        <w:t xml:space="preserve"> </w:t>
      </w:r>
      <w:r>
        <w:t xml:space="preserve">Equipment designs for 60 GHz transmitters are thus considering radar transmissions alongside communication transmissions in the same transmitter or chip. While the IEEE efforts in this area may be considering the entire 57-71 </w:t>
      </w:r>
      <w:r>
        <w:rPr>
          <w:spacing w:val="-2"/>
        </w:rPr>
        <w:t xml:space="preserve">GHz </w:t>
      </w:r>
      <w:r>
        <w:t xml:space="preserve">band, we propose to limit operation of FDS devices operating under our proposed higher power limits (20 dBm EIRP) to the 57-64 GHz band. As discussed above, limiting our proposal in this way provides for devices that are consistent with the international standards, which only specify FDS operation in the 57- 64 GHz band.  We </w:t>
      </w:r>
      <w:r w:rsidR="00264B52" w:rsidRPr="00264B52">
        <w:rPr>
          <w:highlight w:val="yellow"/>
        </w:rPr>
        <w:t>seek comment</w:t>
      </w:r>
      <w:r>
        <w:t xml:space="preserve"> on this proposal.  Would limiting operation of higher power FDS devices to the 57-64 GHz band benefit 60 GHz WLAN systems operating </w:t>
      </w:r>
      <w:proofErr w:type="gramStart"/>
      <w:r>
        <w:t>in close proximity to</w:t>
      </w:r>
      <w:proofErr w:type="gramEnd"/>
      <w:r>
        <w:t xml:space="preserve"> FDS devices by leaving the 64-71 GHz band clear of higher power FDS operations? We </w:t>
      </w:r>
      <w:r w:rsidR="00264B52" w:rsidRPr="00264B52">
        <w:rPr>
          <w:highlight w:val="yellow"/>
        </w:rPr>
        <w:t>seek comment</w:t>
      </w:r>
      <w:r>
        <w:t xml:space="preserve"> on whether, alternatively, </w:t>
      </w:r>
      <w:r>
        <w:rPr>
          <w:sz w:val="21"/>
        </w:rPr>
        <w:t xml:space="preserve">we </w:t>
      </w:r>
      <w:r>
        <w:t xml:space="preserve">should allow the proposed FDS operation across </w:t>
      </w:r>
      <w:proofErr w:type="gramStart"/>
      <w:r>
        <w:t>all of</w:t>
      </w:r>
      <w:proofErr w:type="gramEnd"/>
      <w:r>
        <w:t xml:space="preserve"> the 57-71 GHz band or some other segment of the band. If we were to allow the proposed FDS operation across the entire 57-71 GHz frequency range under the proposed requirements discussed below - which include a duty cycle</w:t>
      </w:r>
      <w:r>
        <w:rPr>
          <w:spacing w:val="-27"/>
        </w:rPr>
        <w:t xml:space="preserve"> </w:t>
      </w:r>
      <w:r>
        <w:t>limit</w:t>
      </w:r>
    </w:p>
    <w:p w14:paraId="427CAA73" w14:textId="77777777" w:rsidR="00FC6D7C" w:rsidRDefault="002032AD">
      <w:pPr>
        <w:pStyle w:val="BodyText"/>
        <w:spacing w:before="1"/>
        <w:ind w:left="120"/>
      </w:pPr>
      <w:r>
        <w:t>- should we remove the current provision that permits operation in this band at 10 dBm EIRP with no</w:t>
      </w:r>
    </w:p>
    <w:p w14:paraId="43A3D718" w14:textId="77777777" w:rsidR="00FC6D7C" w:rsidRDefault="0023630A">
      <w:pPr>
        <w:pStyle w:val="BodyText"/>
        <w:rPr>
          <w:sz w:val="20"/>
        </w:rPr>
      </w:pPr>
      <w:r>
        <w:pict w14:anchorId="6129FCC1">
          <v:line id="_x0000_s1041" style="position:absolute;z-index:251654656;mso-wrap-distance-left:0;mso-wrap-distance-right:0;mso-position-horizontal-relative:page" from="1in,13.75pt" to="3in,13.75pt" strokeweight=".6pt">
            <w10:wrap type="topAndBottom" anchorx="page"/>
          </v:line>
        </w:pict>
      </w:r>
    </w:p>
    <w:p w14:paraId="7F7F7AF9" w14:textId="77777777" w:rsidR="00FC6D7C" w:rsidRDefault="002032AD">
      <w:pPr>
        <w:spacing w:before="60"/>
        <w:ind w:left="119"/>
        <w:rPr>
          <w:i/>
          <w:sz w:val="20"/>
        </w:rPr>
      </w:pPr>
      <w:bookmarkStart w:id="62" w:name="_bookmark55"/>
      <w:bookmarkEnd w:id="62"/>
      <w:r>
        <w:rPr>
          <w:position w:val="7"/>
          <w:sz w:val="13"/>
        </w:rPr>
        <w:t xml:space="preserve">50 </w:t>
      </w:r>
      <w:r>
        <w:rPr>
          <w:sz w:val="20"/>
        </w:rPr>
        <w:t xml:space="preserve">Under ETSI, short-range devices (SRD) have a low risk of causing harmful interference to other radio services, usually because their transmitted power, and hence their range, is low.  </w:t>
      </w:r>
      <w:r>
        <w:rPr>
          <w:i/>
          <w:sz w:val="20"/>
        </w:rPr>
        <w:t xml:space="preserve">See supra </w:t>
      </w:r>
      <w:r>
        <w:rPr>
          <w:sz w:val="20"/>
        </w:rPr>
        <w:t xml:space="preserve">notes 27 and </w:t>
      </w:r>
      <w:hyperlink w:anchor="_bookmark31" w:history="1">
        <w:r>
          <w:rPr>
            <w:sz w:val="20"/>
          </w:rPr>
          <w:t>30</w:t>
        </w:r>
        <w:r>
          <w:rPr>
            <w:i/>
            <w:sz w:val="20"/>
          </w:rPr>
          <w:t>.</w:t>
        </w:r>
      </w:hyperlink>
    </w:p>
    <w:p w14:paraId="589D98B1" w14:textId="77777777" w:rsidR="00FC6D7C" w:rsidRDefault="002032AD">
      <w:pPr>
        <w:spacing w:before="115"/>
        <w:ind w:left="120"/>
        <w:rPr>
          <w:sz w:val="20"/>
        </w:rPr>
      </w:pPr>
      <w:bookmarkStart w:id="63" w:name="_bookmark56"/>
      <w:bookmarkEnd w:id="63"/>
      <w:r>
        <w:rPr>
          <w:position w:val="7"/>
          <w:sz w:val="13"/>
        </w:rPr>
        <w:t xml:space="preserve">51 </w:t>
      </w:r>
      <w:r>
        <w:rPr>
          <w:i/>
          <w:sz w:val="20"/>
        </w:rPr>
        <w:t xml:space="preserve">See supra </w:t>
      </w:r>
      <w:r>
        <w:rPr>
          <w:sz w:val="20"/>
        </w:rPr>
        <w:t xml:space="preserve">note </w:t>
      </w:r>
      <w:hyperlink w:anchor="_bookmark40" w:history="1">
        <w:r>
          <w:rPr>
            <w:sz w:val="20"/>
          </w:rPr>
          <w:t>39.</w:t>
        </w:r>
      </w:hyperlink>
    </w:p>
    <w:p w14:paraId="30F7B06B" w14:textId="77777777" w:rsidR="00FC6D7C" w:rsidRDefault="00FC6D7C">
      <w:pPr>
        <w:rPr>
          <w:sz w:val="20"/>
        </w:rPr>
        <w:sectPr w:rsidR="00FC6D7C">
          <w:pgSz w:w="12240" w:h="15840"/>
          <w:pgMar w:top="980" w:right="1320" w:bottom="960" w:left="1320" w:header="727" w:footer="765" w:gutter="0"/>
          <w:cols w:space="720"/>
        </w:sectPr>
      </w:pPr>
    </w:p>
    <w:p w14:paraId="2937C4DA" w14:textId="77777777" w:rsidR="00FC6D7C" w:rsidRDefault="00FC6D7C">
      <w:pPr>
        <w:pStyle w:val="BodyText"/>
        <w:rPr>
          <w:sz w:val="20"/>
        </w:rPr>
      </w:pPr>
    </w:p>
    <w:p w14:paraId="5B8799B7" w14:textId="77777777" w:rsidR="00FC6D7C" w:rsidRDefault="00FC6D7C">
      <w:pPr>
        <w:pStyle w:val="BodyText"/>
        <w:spacing w:before="4"/>
      </w:pPr>
    </w:p>
    <w:p w14:paraId="7C20D5FF" w14:textId="0C566ABA" w:rsidR="00FC6D7C" w:rsidRDefault="002032AD">
      <w:pPr>
        <w:pStyle w:val="BodyText"/>
        <w:spacing w:line="242" w:lineRule="auto"/>
        <w:ind w:left="119" w:right="246"/>
      </w:pPr>
      <w:r>
        <w:t xml:space="preserve">duty cycle limit? Should we modify our rules in any other respect? We also </w:t>
      </w:r>
      <w:r w:rsidR="00264B52" w:rsidRPr="00264B52">
        <w:rPr>
          <w:highlight w:val="yellow"/>
        </w:rPr>
        <w:t>seek comment</w:t>
      </w:r>
      <w:r>
        <w:t xml:space="preserve"> on the benefits or costs of these proposed changes with respect to 60 GHz authorized users. Parties that oppose these proposed rules should cite specific harms that they believe would result from changing the rules.</w:t>
      </w:r>
    </w:p>
    <w:p w14:paraId="12BE93A5" w14:textId="77777777" w:rsidR="00FC6D7C" w:rsidRDefault="002032AD">
      <w:pPr>
        <w:pStyle w:val="Heading1"/>
        <w:tabs>
          <w:tab w:val="left" w:pos="2279"/>
        </w:tabs>
        <w:spacing w:before="116"/>
      </w:pPr>
      <w:bookmarkStart w:id="64" w:name="2._Power_Limits"/>
      <w:bookmarkEnd w:id="64"/>
      <w:r>
        <w:t>2.</w:t>
      </w:r>
      <w:r>
        <w:tab/>
        <w:t>Power</w:t>
      </w:r>
      <w:r>
        <w:rPr>
          <w:spacing w:val="-3"/>
        </w:rPr>
        <w:t xml:space="preserve"> </w:t>
      </w:r>
      <w:r>
        <w:t>Limits</w:t>
      </w:r>
    </w:p>
    <w:p w14:paraId="3432EC18" w14:textId="77777777" w:rsidR="00FC6D7C" w:rsidRDefault="002032AD">
      <w:pPr>
        <w:pStyle w:val="ListParagraph"/>
        <w:numPr>
          <w:ilvl w:val="0"/>
          <w:numId w:val="7"/>
        </w:numPr>
        <w:tabs>
          <w:tab w:val="left" w:pos="1559"/>
          <w:tab w:val="left" w:pos="1560"/>
        </w:tabs>
        <w:spacing w:before="119"/>
        <w:ind w:right="116" w:firstLine="720"/>
      </w:pPr>
      <w:r>
        <w:rPr>
          <w:i/>
        </w:rPr>
        <w:t>EIRP Limits</w:t>
      </w:r>
      <w:r>
        <w:t xml:space="preserve">. The current rules permit FDS devices to operate at a maximum 10 dBm EIRP. </w:t>
      </w:r>
      <w:proofErr w:type="gramStart"/>
      <w:r>
        <w:t>All of</w:t>
      </w:r>
      <w:proofErr w:type="gramEnd"/>
      <w:r>
        <w:t xml:space="preserve"> the waiver requests we received requested a maximum of 13 dBm EIRP to provide greater accuracy and finer resolution imaging. Subsequent waiver requests to Google’s waiver described the intended target detection to be either in the sub-millimeter range such as the breathing patterns of a child in a car seat,</w:t>
      </w:r>
      <w:hyperlink w:anchor="_bookmark57" w:history="1">
        <w:r>
          <w:rPr>
            <w:position w:val="7"/>
            <w:sz w:val="13"/>
          </w:rPr>
          <w:t>52</w:t>
        </w:r>
      </w:hyperlink>
      <w:r>
        <w:rPr>
          <w:position w:val="7"/>
          <w:sz w:val="13"/>
        </w:rPr>
        <w:t xml:space="preserve"> </w:t>
      </w:r>
      <w:r>
        <w:t>or as in the case of Leica Geosystems AG, thin cables as small as 2.5 mm in diameter;</w:t>
      </w:r>
      <w:hyperlink w:anchor="_bookmark58" w:history="1">
        <w:r>
          <w:rPr>
            <w:position w:val="7"/>
            <w:sz w:val="13"/>
          </w:rPr>
          <w:t>53</w:t>
        </w:r>
      </w:hyperlink>
      <w:r>
        <w:rPr>
          <w:position w:val="7"/>
          <w:sz w:val="13"/>
        </w:rPr>
        <w:t xml:space="preserve"> </w:t>
      </w:r>
      <w:r>
        <w:t>thus, requesters argue that 60 GHz FDS devices need higher power than specified in the rules, because the existing power levels do not allow the devices to provide the necessary accuracy in detection of small-size targets due to poor signal-to-noise</w:t>
      </w:r>
      <w:r>
        <w:rPr>
          <w:spacing w:val="-8"/>
        </w:rPr>
        <w:t xml:space="preserve"> </w:t>
      </w:r>
      <w:r>
        <w:t>ratio.</w:t>
      </w:r>
    </w:p>
    <w:p w14:paraId="209835AE" w14:textId="77777777" w:rsidR="00FC6D7C" w:rsidRDefault="002032AD">
      <w:pPr>
        <w:pStyle w:val="ListParagraph"/>
        <w:numPr>
          <w:ilvl w:val="0"/>
          <w:numId w:val="7"/>
        </w:numPr>
        <w:tabs>
          <w:tab w:val="left" w:pos="1559"/>
          <w:tab w:val="left" w:pos="1561"/>
        </w:tabs>
        <w:spacing w:before="116"/>
        <w:ind w:right="492" w:firstLine="721"/>
      </w:pPr>
      <w:r>
        <w:t>We propose to allow FDS devices to operate at no more than 20 dBm average EIRP. This proposed EIRP limit is higher than the level requested in the multiple waivers that we received;</w:t>
      </w:r>
      <w:hyperlink w:anchor="_bookmark59" w:history="1">
        <w:r>
          <w:rPr>
            <w:position w:val="7"/>
            <w:sz w:val="13"/>
          </w:rPr>
          <w:t>54</w:t>
        </w:r>
      </w:hyperlink>
      <w:r>
        <w:rPr>
          <w:position w:val="7"/>
          <w:sz w:val="13"/>
        </w:rPr>
        <w:t xml:space="preserve"> </w:t>
      </w:r>
      <w:r>
        <w:t>however, it is consistent with ETSI EN 305 550.  We believe this EIRP level will promote</w:t>
      </w:r>
      <w:r>
        <w:rPr>
          <w:spacing w:val="-25"/>
        </w:rPr>
        <w:t xml:space="preserve"> </w:t>
      </w:r>
      <w:proofErr w:type="gramStart"/>
      <w:r>
        <w:t>additional</w:t>
      </w:r>
      <w:proofErr w:type="gramEnd"/>
    </w:p>
    <w:p w14:paraId="0A500957" w14:textId="4CA0FB1A" w:rsidR="00FC6D7C" w:rsidRDefault="002032AD">
      <w:pPr>
        <w:pStyle w:val="BodyText"/>
        <w:ind w:left="119" w:right="132"/>
      </w:pPr>
      <w:r>
        <w:t xml:space="preserve">growth for new FDS applications beyond those anticipated to be deployed under the Commission’s issued and pending waiver requests. We also believe that harmonization with other regions will likely increase efficiency for American manufacturers by reducing design and manufacturing costs. We further believe that this EIRP limit will not cause harmful interference to authorized services in the band. These radars will operate at a comparatively much lower EIRP level than what is already permitted for communication devices (indoors and outdoors) in the same frequency band. Communication devices such as 60 </w:t>
      </w:r>
      <w:r>
        <w:rPr>
          <w:spacing w:val="-2"/>
        </w:rPr>
        <w:t xml:space="preserve">GHz </w:t>
      </w:r>
      <w:r>
        <w:t>WLAN devices can operate at up to 40 dBm EIRP, as compared to the 20 dBm EIRP limit that we are proposing for radars.  We note that a WLAN device may already have to operate in the presence of signals from neighboring WLAN devices and other Part 15 devices operating at similar power levels; thus the proposed lower EIRP limit for FDS devices should have little or no effect on the operational environment that WLAN devices can expect under our rules.</w:t>
      </w:r>
      <w:hyperlink w:anchor="_bookmark60" w:history="1">
        <w:r>
          <w:rPr>
            <w:position w:val="7"/>
            <w:sz w:val="13"/>
          </w:rPr>
          <w:t>55</w:t>
        </w:r>
      </w:hyperlink>
      <w:r>
        <w:rPr>
          <w:position w:val="7"/>
          <w:sz w:val="13"/>
        </w:rPr>
        <w:t xml:space="preserve"> </w:t>
      </w:r>
      <w:r>
        <w:t>We also observe that 60 GHz WLAN devices have operated at this EIRP limit (i.e., 40 dBm average/43 dBm peak) for several years without causing harmful interference to other authorized services, such as the Passive EESS operating at 57-59.3 GHz. In addition, the IEEE 802.11 standards group’s activity to define channel access protocols to allow transmission of radar signals alongside communication signals may allow coexistence of both signals in the 60 GHz band.</w:t>
      </w:r>
      <w:hyperlink w:anchor="_bookmark61" w:history="1">
        <w:r>
          <w:rPr>
            <w:position w:val="7"/>
            <w:sz w:val="13"/>
          </w:rPr>
          <w:t>56</w:t>
        </w:r>
      </w:hyperlink>
      <w:r>
        <w:rPr>
          <w:position w:val="7"/>
          <w:sz w:val="13"/>
        </w:rPr>
        <w:t xml:space="preserve"> </w:t>
      </w:r>
      <w:r>
        <w:t xml:space="preserve">We </w:t>
      </w:r>
      <w:r w:rsidR="00264B52" w:rsidRPr="00264B52">
        <w:rPr>
          <w:highlight w:val="yellow"/>
        </w:rPr>
        <w:t>seek comment</w:t>
      </w:r>
      <w:r>
        <w:t xml:space="preserve"> on the proposed EIRP level for FDS devices and on our tentative interference assessment. We also </w:t>
      </w:r>
      <w:r w:rsidR="00264B52" w:rsidRPr="00264B52">
        <w:rPr>
          <w:highlight w:val="yellow"/>
        </w:rPr>
        <w:t>seek comment</w:t>
      </w:r>
      <w:r>
        <w:t xml:space="preserve"> on the state of standards development — specifically, with respect to coexistence issues between radar signals and communications signals. Should the Commission specify any coexistence measures or requirements, such as listen-before-talk in its</w:t>
      </w:r>
      <w:r>
        <w:rPr>
          <w:spacing w:val="-28"/>
        </w:rPr>
        <w:t xml:space="preserve"> </w:t>
      </w:r>
      <w:r>
        <w:t>rules?</w:t>
      </w:r>
    </w:p>
    <w:p w14:paraId="3B82F9C4" w14:textId="3574C112" w:rsidR="00FC6D7C" w:rsidRDefault="002032AD">
      <w:pPr>
        <w:pStyle w:val="BodyText"/>
        <w:ind w:left="119" w:right="132"/>
      </w:pPr>
      <w:r>
        <w:t xml:space="preserve">Does the fact that many radars are mobile mean that they will not be used </w:t>
      </w:r>
      <w:proofErr w:type="gramStart"/>
      <w:r>
        <w:t>in close proximity to</w:t>
      </w:r>
      <w:proofErr w:type="gramEnd"/>
      <w:r>
        <w:t xml:space="preserve"> communication devices for extended periods of time, thus limiting any potential for causing interference to short durations? Further, we </w:t>
      </w:r>
      <w:r w:rsidR="00264B52" w:rsidRPr="00264B52">
        <w:rPr>
          <w:highlight w:val="yellow"/>
        </w:rPr>
        <w:t>seek comment</w:t>
      </w:r>
      <w:r>
        <w:t xml:space="preserve"> on the benefits or costs of the proposed change to the EIRP limit with respect to 60 GHz authorized users.  How would this change, if adopted, benefit </w:t>
      </w:r>
      <w:proofErr w:type="gramStart"/>
      <w:r>
        <w:t>stakeholders,</w:t>
      </w:r>
      <w:proofErr w:type="gramEnd"/>
    </w:p>
    <w:p w14:paraId="2AB49FA8" w14:textId="77777777" w:rsidR="00FC6D7C" w:rsidRDefault="0023630A">
      <w:pPr>
        <w:pStyle w:val="BodyText"/>
        <w:rPr>
          <w:sz w:val="12"/>
        </w:rPr>
      </w:pPr>
      <w:r>
        <w:pict w14:anchorId="22D269DB">
          <v:line id="_x0000_s1040" style="position:absolute;z-index:251655680;mso-wrap-distance-left:0;mso-wrap-distance-right:0;mso-position-horizontal-relative:page" from="1in,9.2pt" to="3in,9.2pt" strokeweight=".6pt">
            <w10:wrap type="topAndBottom" anchorx="page"/>
          </v:line>
        </w:pict>
      </w:r>
    </w:p>
    <w:p w14:paraId="6E5DC67F" w14:textId="77777777" w:rsidR="00FC6D7C" w:rsidRDefault="002032AD">
      <w:pPr>
        <w:spacing w:before="60"/>
        <w:ind w:left="120" w:right="355" w:hanging="1"/>
        <w:rPr>
          <w:sz w:val="20"/>
        </w:rPr>
      </w:pPr>
      <w:bookmarkStart w:id="65" w:name="_bookmark57"/>
      <w:bookmarkEnd w:id="65"/>
      <w:r>
        <w:rPr>
          <w:position w:val="7"/>
          <w:sz w:val="13"/>
        </w:rPr>
        <w:t xml:space="preserve">52 </w:t>
      </w:r>
      <w:r>
        <w:rPr>
          <w:i/>
          <w:sz w:val="20"/>
        </w:rPr>
        <w:t>See, e.g.</w:t>
      </w:r>
      <w:r>
        <w:rPr>
          <w:sz w:val="20"/>
        </w:rPr>
        <w:t xml:space="preserve">, </w:t>
      </w:r>
      <w:proofErr w:type="spellStart"/>
      <w:r>
        <w:rPr>
          <w:i/>
          <w:sz w:val="20"/>
        </w:rPr>
        <w:t>Vayyar</w:t>
      </w:r>
      <w:proofErr w:type="spellEnd"/>
      <w:r>
        <w:rPr>
          <w:i/>
          <w:sz w:val="20"/>
        </w:rPr>
        <w:t xml:space="preserve"> Imaging Ltd. Modification of Request for Limited Waiver of 47 CFR 15.255</w:t>
      </w:r>
      <w:r>
        <w:rPr>
          <w:sz w:val="20"/>
        </w:rPr>
        <w:t>, ET Docket 20-15 (filed May 5, 2020) at 4.</w:t>
      </w:r>
    </w:p>
    <w:p w14:paraId="1E94E781" w14:textId="77777777" w:rsidR="00FC6D7C" w:rsidRDefault="002032AD">
      <w:pPr>
        <w:spacing w:before="115"/>
        <w:ind w:left="120" w:hanging="1"/>
        <w:rPr>
          <w:sz w:val="20"/>
        </w:rPr>
      </w:pPr>
      <w:bookmarkStart w:id="66" w:name="_bookmark58"/>
      <w:bookmarkEnd w:id="66"/>
      <w:r>
        <w:rPr>
          <w:position w:val="7"/>
          <w:sz w:val="13"/>
        </w:rPr>
        <w:t xml:space="preserve">53 </w:t>
      </w:r>
      <w:r>
        <w:rPr>
          <w:i/>
          <w:sz w:val="20"/>
        </w:rPr>
        <w:t xml:space="preserve">See </w:t>
      </w:r>
      <w:proofErr w:type="gramStart"/>
      <w:r>
        <w:rPr>
          <w:i/>
          <w:sz w:val="20"/>
        </w:rPr>
        <w:t>In</w:t>
      </w:r>
      <w:proofErr w:type="gramEnd"/>
      <w:r>
        <w:rPr>
          <w:i/>
          <w:sz w:val="20"/>
        </w:rPr>
        <w:t xml:space="preserve"> the Matter of Leica Geosystems AG’s Request for Waiver of part 15 of the Commission’s Rules to Market a UAV Collision Avoidance Radar</w:t>
      </w:r>
      <w:r>
        <w:rPr>
          <w:sz w:val="20"/>
        </w:rPr>
        <w:t xml:space="preserve">, ET Docket No. 19-350, Order, 35 FCC </w:t>
      </w:r>
      <w:proofErr w:type="spellStart"/>
      <w:r>
        <w:rPr>
          <w:sz w:val="20"/>
        </w:rPr>
        <w:t>Rcd</w:t>
      </w:r>
      <w:proofErr w:type="spellEnd"/>
      <w:r>
        <w:rPr>
          <w:sz w:val="20"/>
        </w:rPr>
        <w:t xml:space="preserve"> 7929 (2020). </w:t>
      </w:r>
      <w:r>
        <w:rPr>
          <w:i/>
          <w:sz w:val="20"/>
        </w:rPr>
        <w:t xml:space="preserve">See also supra </w:t>
      </w:r>
      <w:r>
        <w:rPr>
          <w:sz w:val="20"/>
        </w:rPr>
        <w:t xml:space="preserve">para </w:t>
      </w:r>
      <w:hyperlink w:anchor="_bookmark20" w:history="1">
        <w:r>
          <w:rPr>
            <w:sz w:val="20"/>
          </w:rPr>
          <w:t>8</w:t>
        </w:r>
      </w:hyperlink>
      <w:r>
        <w:rPr>
          <w:sz w:val="20"/>
        </w:rPr>
        <w:t xml:space="preserve"> (discussing this waiver).</w:t>
      </w:r>
    </w:p>
    <w:p w14:paraId="518212F5" w14:textId="77777777" w:rsidR="00FC6D7C" w:rsidRDefault="002032AD">
      <w:pPr>
        <w:spacing w:before="113"/>
        <w:ind w:left="119" w:right="204"/>
        <w:rPr>
          <w:sz w:val="20"/>
        </w:rPr>
      </w:pPr>
      <w:bookmarkStart w:id="67" w:name="_bookmark59"/>
      <w:bookmarkEnd w:id="67"/>
      <w:r>
        <w:rPr>
          <w:position w:val="7"/>
          <w:sz w:val="13"/>
        </w:rPr>
        <w:t xml:space="preserve">54 </w:t>
      </w:r>
      <w:r>
        <w:rPr>
          <w:sz w:val="20"/>
        </w:rPr>
        <w:t xml:space="preserve">All the 60 GHz waiver requests asked for 13 dBm EIRP, which is the same level we granted in the </w:t>
      </w:r>
      <w:r>
        <w:rPr>
          <w:i/>
          <w:sz w:val="20"/>
        </w:rPr>
        <w:t>Google Waiver</w:t>
      </w:r>
      <w:r>
        <w:rPr>
          <w:sz w:val="20"/>
        </w:rPr>
        <w:t>.</w:t>
      </w:r>
    </w:p>
    <w:p w14:paraId="061E2BB5" w14:textId="77777777" w:rsidR="00FC6D7C" w:rsidRDefault="002032AD">
      <w:pPr>
        <w:spacing w:before="115"/>
        <w:ind w:left="120" w:right="204" w:hanging="1"/>
        <w:rPr>
          <w:sz w:val="20"/>
        </w:rPr>
      </w:pPr>
      <w:bookmarkStart w:id="68" w:name="_bookmark60"/>
      <w:bookmarkEnd w:id="68"/>
      <w:r>
        <w:rPr>
          <w:position w:val="7"/>
          <w:sz w:val="13"/>
        </w:rPr>
        <w:t xml:space="preserve">55 </w:t>
      </w:r>
      <w:r>
        <w:rPr>
          <w:sz w:val="20"/>
        </w:rPr>
        <w:t>Although IEEE standard-based protocols may employ a sensing mechanism before transmitting, this is not required for devices operating under the Part 15.255 rules.</w:t>
      </w:r>
    </w:p>
    <w:p w14:paraId="4E7F650B" w14:textId="77777777" w:rsidR="00FC6D7C" w:rsidRDefault="002032AD">
      <w:pPr>
        <w:spacing w:before="115"/>
        <w:ind w:left="120"/>
        <w:rPr>
          <w:sz w:val="20"/>
        </w:rPr>
      </w:pPr>
      <w:bookmarkStart w:id="69" w:name="_bookmark61"/>
      <w:bookmarkEnd w:id="69"/>
      <w:r>
        <w:rPr>
          <w:position w:val="7"/>
          <w:sz w:val="13"/>
        </w:rPr>
        <w:t xml:space="preserve">56 </w:t>
      </w:r>
      <w:r>
        <w:rPr>
          <w:i/>
          <w:sz w:val="20"/>
        </w:rPr>
        <w:t xml:space="preserve">See supra </w:t>
      </w:r>
      <w:r>
        <w:rPr>
          <w:sz w:val="20"/>
        </w:rPr>
        <w:t xml:space="preserve">note </w:t>
      </w:r>
      <w:hyperlink w:anchor="_bookmark40" w:history="1">
        <w:r>
          <w:rPr>
            <w:sz w:val="20"/>
          </w:rPr>
          <w:t>39.</w:t>
        </w:r>
      </w:hyperlink>
    </w:p>
    <w:p w14:paraId="085429DF" w14:textId="77777777" w:rsidR="00FC6D7C" w:rsidRDefault="00FC6D7C">
      <w:pPr>
        <w:rPr>
          <w:sz w:val="20"/>
        </w:rPr>
        <w:sectPr w:rsidR="00FC6D7C">
          <w:footerReference w:type="default" r:id="rId36"/>
          <w:pgSz w:w="12240" w:h="15840"/>
          <w:pgMar w:top="980" w:right="1320" w:bottom="960" w:left="1320" w:header="727" w:footer="765" w:gutter="0"/>
          <w:cols w:space="720"/>
        </w:sectPr>
      </w:pPr>
    </w:p>
    <w:p w14:paraId="1FD6FF72" w14:textId="77777777" w:rsidR="00FC6D7C" w:rsidRDefault="00FC6D7C">
      <w:pPr>
        <w:pStyle w:val="BodyText"/>
        <w:rPr>
          <w:sz w:val="20"/>
        </w:rPr>
      </w:pPr>
    </w:p>
    <w:p w14:paraId="16126B12" w14:textId="77777777" w:rsidR="00FC6D7C" w:rsidRDefault="00FC6D7C">
      <w:pPr>
        <w:pStyle w:val="BodyText"/>
        <w:spacing w:before="4"/>
      </w:pPr>
    </w:p>
    <w:p w14:paraId="5BA23CEC" w14:textId="77777777" w:rsidR="00FC6D7C" w:rsidRDefault="002032AD">
      <w:pPr>
        <w:pStyle w:val="BodyText"/>
        <w:ind w:left="119" w:right="370"/>
      </w:pPr>
      <w:r>
        <w:t>consumers and others? Parties that oppose these proposed rules should: cite specific harms that they believe will result from changing the rules in the manner proposed, estimate the costs of such potential harms, and specify under what parameters they believe radar systems can coexist with communications systems in the band.</w:t>
      </w:r>
    </w:p>
    <w:p w14:paraId="7A080A17" w14:textId="1C1FF9B3" w:rsidR="00FC6D7C" w:rsidRDefault="002032AD">
      <w:pPr>
        <w:pStyle w:val="ListParagraph"/>
        <w:numPr>
          <w:ilvl w:val="0"/>
          <w:numId w:val="7"/>
        </w:numPr>
        <w:tabs>
          <w:tab w:val="left" w:pos="1559"/>
          <w:tab w:val="left" w:pos="1560"/>
        </w:tabs>
        <w:spacing w:before="118"/>
        <w:ind w:right="140" w:firstLine="720"/>
      </w:pPr>
      <w:r>
        <w:t xml:space="preserve">Because 60 GHz FDS devices will need to coexist with 60 GHz communications devices, we also </w:t>
      </w:r>
      <w:r w:rsidR="00264B52" w:rsidRPr="00264B52">
        <w:rPr>
          <w:highlight w:val="yellow"/>
        </w:rPr>
        <w:t>seek comment</w:t>
      </w:r>
      <w:r>
        <w:t xml:space="preserve"> on the state of development in the 60 GHz communications device ecosystem. What is the current state of deployment of 60 GHz communications systems? What use cases are supported by 60 GHz communications systems today, and what use cases are contemplated for these systems in the future? Do 60 GHz communications systems generally take advantage of the higher EIRP limits permitted under our rules?  Facebook, Intel, and Qualcomm assert that the 60 GHz band will be used by unlicensed devices for latency-sensitive</w:t>
      </w:r>
      <w:hyperlink w:anchor="_bookmark62" w:history="1">
        <w:r>
          <w:rPr>
            <w:position w:val="7"/>
            <w:sz w:val="13"/>
          </w:rPr>
          <w:t>57</w:t>
        </w:r>
      </w:hyperlink>
      <w:r>
        <w:rPr>
          <w:position w:val="7"/>
          <w:sz w:val="13"/>
        </w:rPr>
        <w:t xml:space="preserve"> </w:t>
      </w:r>
      <w:r>
        <w:t>augmented reality/virtual reality/extended reality (AR/VR/XR)</w:t>
      </w:r>
      <w:hyperlink w:anchor="_bookmark63" w:history="1">
        <w:r>
          <w:rPr>
            <w:position w:val="7"/>
            <w:sz w:val="13"/>
          </w:rPr>
          <w:t>58</w:t>
        </w:r>
      </w:hyperlink>
      <w:r>
        <w:rPr>
          <w:position w:val="7"/>
          <w:sz w:val="13"/>
        </w:rPr>
        <w:t xml:space="preserve"> </w:t>
      </w:r>
      <w:r>
        <w:t>applications.</w:t>
      </w:r>
      <w:hyperlink w:anchor="_bookmark64" w:history="1">
        <w:r>
          <w:rPr>
            <w:position w:val="7"/>
            <w:sz w:val="13"/>
          </w:rPr>
          <w:t>59</w:t>
        </w:r>
      </w:hyperlink>
      <w:r>
        <w:rPr>
          <w:position w:val="7"/>
          <w:sz w:val="13"/>
        </w:rPr>
        <w:t xml:space="preserve"> </w:t>
      </w:r>
      <w:r>
        <w:t>Is this likely to be a widely-deployed use case in the 60 GHz band? Do AR/VR/XR applications present distinct interference scenarios or raise other considerations compared to other 60 GHz WLAN applications? Do 60 GHz unlicensed communications systems operate throughout the entirety of the 60 GHz band? Could these systems operate effectively in a subsection of the overall band, for example, the 64-71 GHz band</w:t>
      </w:r>
      <w:r>
        <w:rPr>
          <w:spacing w:val="-7"/>
        </w:rPr>
        <w:t xml:space="preserve"> </w:t>
      </w:r>
      <w:r>
        <w:t>segment?</w:t>
      </w:r>
    </w:p>
    <w:p w14:paraId="217804D3" w14:textId="389C8587" w:rsidR="00FC6D7C" w:rsidRDefault="002032AD">
      <w:pPr>
        <w:pStyle w:val="ListParagraph"/>
        <w:numPr>
          <w:ilvl w:val="0"/>
          <w:numId w:val="7"/>
        </w:numPr>
        <w:tabs>
          <w:tab w:val="left" w:pos="1559"/>
          <w:tab w:val="left" w:pos="1560"/>
        </w:tabs>
        <w:spacing w:before="118"/>
        <w:ind w:right="164" w:firstLine="720"/>
      </w:pPr>
      <w:r>
        <w:rPr>
          <w:i/>
        </w:rPr>
        <w:t>Transmitter Conducted Output Power Limit</w:t>
      </w:r>
      <w:r>
        <w:t>. The rules currently permit FDS devices to operate at a maximum -10 dBm transmitter conducted output power, whereas 60 GHz WLAN devices are allowed up to 27 dBm.</w:t>
      </w:r>
      <w:hyperlink w:anchor="_bookmark65" w:history="1">
        <w:r>
          <w:rPr>
            <w:position w:val="7"/>
            <w:sz w:val="13"/>
          </w:rPr>
          <w:t>60</w:t>
        </w:r>
      </w:hyperlink>
      <w:r>
        <w:rPr>
          <w:position w:val="7"/>
          <w:sz w:val="13"/>
        </w:rPr>
        <w:t xml:space="preserve"> </w:t>
      </w:r>
      <w:r>
        <w:t xml:space="preserve">We propose to allow FDS devices to operate at a maximum 10 dBm conducted output power, consistent with the waivers the Commission has already granted in the band and with the level stipulated by ETSI.  We </w:t>
      </w:r>
      <w:r w:rsidR="00264B52" w:rsidRPr="00264B52">
        <w:rPr>
          <w:highlight w:val="yellow"/>
        </w:rPr>
        <w:t>seek comment</w:t>
      </w:r>
      <w:r>
        <w:t xml:space="preserve"> on this proposal to harmonize with ETSI limit.</w:t>
      </w:r>
      <w:hyperlink w:anchor="_bookmark66" w:history="1">
        <w:r>
          <w:rPr>
            <w:position w:val="7"/>
            <w:sz w:val="13"/>
          </w:rPr>
          <w:t>61</w:t>
        </w:r>
      </w:hyperlink>
      <w:r>
        <w:rPr>
          <w:position w:val="7"/>
          <w:sz w:val="13"/>
        </w:rPr>
        <w:t xml:space="preserve">  </w:t>
      </w:r>
      <w:r>
        <w:t>On the other hand, we note that for 60 GHz transmitters, including communications and radar devices, that are implemented at the chip level, access to the transmitter output port may not be available, rendering a demonstration of compliance to this requirement burdensome.  We seek input on whether this requirement is necessary in view of the technological evolution of such system-on-chip devices.</w:t>
      </w:r>
      <w:hyperlink w:anchor="_bookmark67" w:history="1">
        <w:r>
          <w:rPr>
            <w:position w:val="7"/>
            <w:sz w:val="13"/>
          </w:rPr>
          <w:t>62</w:t>
        </w:r>
      </w:hyperlink>
      <w:r>
        <w:rPr>
          <w:position w:val="7"/>
          <w:sz w:val="13"/>
        </w:rPr>
        <w:t xml:space="preserve"> </w:t>
      </w:r>
      <w:r>
        <w:t xml:space="preserve">A 10 dBm transmitter conducted output power limit along with a 20 dBm EIRP limit implies a limit on transmit antenna gain. We inquire as to whether the transmitter conducted output power limit instead should be replaced by an antenna gain limit. If so, what limit would be appropriate? Should an antenna gain limit be applied to all 60 GHz transmitters, including 60 GHz communication devices, since these devices also have transmitters implemented at the chip level, and thus would encounter the same measurement difficulties?  We also </w:t>
      </w:r>
      <w:r w:rsidR="00264B52" w:rsidRPr="00264B52">
        <w:rPr>
          <w:highlight w:val="yellow"/>
        </w:rPr>
        <w:t>seek comment</w:t>
      </w:r>
      <w:r>
        <w:t xml:space="preserve"> on whether a transmitter conducted output limit</w:t>
      </w:r>
      <w:r>
        <w:rPr>
          <w:spacing w:val="-25"/>
        </w:rPr>
        <w:t xml:space="preserve"> </w:t>
      </w:r>
      <w:proofErr w:type="gramStart"/>
      <w:r>
        <w:t>is</w:t>
      </w:r>
      <w:proofErr w:type="gramEnd"/>
    </w:p>
    <w:p w14:paraId="145DDEDB" w14:textId="77777777" w:rsidR="00FC6D7C" w:rsidRDefault="0023630A">
      <w:pPr>
        <w:pStyle w:val="BodyText"/>
        <w:rPr>
          <w:sz w:val="26"/>
        </w:rPr>
      </w:pPr>
      <w:r>
        <w:pict w14:anchorId="7D33C60E">
          <v:line id="_x0000_s1039" style="position:absolute;z-index:251656704;mso-wrap-distance-left:0;mso-wrap-distance-right:0;mso-position-horizontal-relative:page" from="1in,17.25pt" to="3in,17.25pt" strokeweight=".6pt">
            <w10:wrap type="topAndBottom" anchorx="page"/>
          </v:line>
        </w:pict>
      </w:r>
    </w:p>
    <w:p w14:paraId="703B46FB" w14:textId="77777777" w:rsidR="00FC6D7C" w:rsidRDefault="002032AD">
      <w:pPr>
        <w:spacing w:before="63"/>
        <w:ind w:left="120"/>
        <w:rPr>
          <w:sz w:val="20"/>
        </w:rPr>
      </w:pPr>
      <w:bookmarkStart w:id="70" w:name="_bookmark62"/>
      <w:bookmarkEnd w:id="70"/>
      <w:r>
        <w:rPr>
          <w:position w:val="7"/>
          <w:sz w:val="13"/>
        </w:rPr>
        <w:t xml:space="preserve">57 </w:t>
      </w:r>
      <w:r>
        <w:rPr>
          <w:i/>
          <w:sz w:val="20"/>
        </w:rPr>
        <w:t xml:space="preserve">Latency </w:t>
      </w:r>
      <w:r>
        <w:rPr>
          <w:sz w:val="20"/>
        </w:rPr>
        <w:t>refers to how much time it takes for a signal to travel to its destination and back.</w:t>
      </w:r>
    </w:p>
    <w:p w14:paraId="2D1EF9B4" w14:textId="77777777" w:rsidR="00FC6D7C" w:rsidRDefault="002032AD">
      <w:pPr>
        <w:spacing w:before="113"/>
        <w:ind w:left="119" w:right="297"/>
        <w:rPr>
          <w:sz w:val="20"/>
        </w:rPr>
      </w:pPr>
      <w:bookmarkStart w:id="71" w:name="_bookmark63"/>
      <w:bookmarkEnd w:id="71"/>
      <w:r>
        <w:rPr>
          <w:position w:val="7"/>
          <w:sz w:val="13"/>
        </w:rPr>
        <w:t xml:space="preserve">58 </w:t>
      </w:r>
      <w:r>
        <w:rPr>
          <w:i/>
          <w:sz w:val="20"/>
        </w:rPr>
        <w:t xml:space="preserve">Augmented Reality </w:t>
      </w:r>
      <w:r>
        <w:rPr>
          <w:sz w:val="20"/>
        </w:rPr>
        <w:t xml:space="preserve">(AR) is the digital creation of a fabricated set of objects that can be interspersed with real world elements, usually through a headset that overlays the objects on the lens, as the user also views their real surroundings. </w:t>
      </w:r>
      <w:r>
        <w:rPr>
          <w:i/>
          <w:sz w:val="20"/>
        </w:rPr>
        <w:t xml:space="preserve">Virtual Reality </w:t>
      </w:r>
      <w:r>
        <w:rPr>
          <w:sz w:val="20"/>
        </w:rPr>
        <w:t xml:space="preserve">(VR) is the digital creation of a fabricated immersive world, typically via a headset technology, that generates all the photons that the eye sees. </w:t>
      </w:r>
      <w:r>
        <w:rPr>
          <w:i/>
          <w:color w:val="242424"/>
          <w:sz w:val="20"/>
        </w:rPr>
        <w:t xml:space="preserve">Extended Reality </w:t>
      </w:r>
      <w:r>
        <w:rPr>
          <w:color w:val="242424"/>
          <w:sz w:val="20"/>
        </w:rPr>
        <w:t xml:space="preserve">(XR) refers to all real-and-virtual combined environments and human-machine interactions generated by computer technology and wearables. </w:t>
      </w:r>
      <w:r>
        <w:rPr>
          <w:i/>
          <w:sz w:val="20"/>
        </w:rPr>
        <w:t xml:space="preserve">See, e.g., </w:t>
      </w:r>
      <w:r>
        <w:rPr>
          <w:sz w:val="20"/>
        </w:rPr>
        <w:t xml:space="preserve">Y. </w:t>
      </w:r>
      <w:proofErr w:type="spellStart"/>
      <w:r>
        <w:rPr>
          <w:sz w:val="20"/>
        </w:rPr>
        <w:t>Ghasempour</w:t>
      </w:r>
      <w:proofErr w:type="spellEnd"/>
      <w:r>
        <w:rPr>
          <w:sz w:val="20"/>
        </w:rPr>
        <w:t xml:space="preserve">, C. R. C. M. da Silva, C. Cordeiro and E. W. Knightly, "IEEE 802.11ay: Next-Generation 60 GHz Communication for 100 Gb/s Wi-Fi," in </w:t>
      </w:r>
      <w:r>
        <w:rPr>
          <w:i/>
          <w:sz w:val="20"/>
        </w:rPr>
        <w:t>IEEE Communications Magazine</w:t>
      </w:r>
      <w:r>
        <w:rPr>
          <w:sz w:val="20"/>
        </w:rPr>
        <w:t xml:space="preserve">, vol. 55, no. 12, pp. 186-192, Dec. 2017, </w:t>
      </w:r>
      <w:proofErr w:type="spellStart"/>
      <w:r>
        <w:rPr>
          <w:sz w:val="20"/>
        </w:rPr>
        <w:t>doi</w:t>
      </w:r>
      <w:proofErr w:type="spellEnd"/>
      <w:r>
        <w:rPr>
          <w:sz w:val="20"/>
        </w:rPr>
        <w:t>: 10.1109/MCOM.2017.1700393.</w:t>
      </w:r>
    </w:p>
    <w:p w14:paraId="185E453C" w14:textId="77777777" w:rsidR="00FC6D7C" w:rsidRDefault="002032AD">
      <w:pPr>
        <w:spacing w:before="115"/>
        <w:ind w:left="119"/>
        <w:rPr>
          <w:sz w:val="20"/>
        </w:rPr>
      </w:pPr>
      <w:bookmarkStart w:id="72" w:name="_bookmark64"/>
      <w:bookmarkEnd w:id="72"/>
      <w:r>
        <w:rPr>
          <w:position w:val="7"/>
          <w:sz w:val="13"/>
        </w:rPr>
        <w:t xml:space="preserve">59 </w:t>
      </w:r>
      <w:r>
        <w:rPr>
          <w:sz w:val="20"/>
        </w:rPr>
        <w:t xml:space="preserve">Letter from Alan Norman, Facebook, Inc.; Carlos Cordeiro, Intel Corporation; and John </w:t>
      </w:r>
      <w:proofErr w:type="spellStart"/>
      <w:r>
        <w:rPr>
          <w:sz w:val="20"/>
        </w:rPr>
        <w:t>Kuzin</w:t>
      </w:r>
      <w:proofErr w:type="spellEnd"/>
      <w:r>
        <w:rPr>
          <w:sz w:val="20"/>
        </w:rPr>
        <w:t>, Qualcomm Inc., to Marlene Dortch, FCC, ET Docket No. 21-48 (filed May 10, 2021) at 2, 9, 10.</w:t>
      </w:r>
    </w:p>
    <w:p w14:paraId="7392D647" w14:textId="77777777" w:rsidR="00FC6D7C" w:rsidRDefault="002032AD">
      <w:pPr>
        <w:spacing w:before="115"/>
        <w:ind w:left="120"/>
        <w:rPr>
          <w:sz w:val="20"/>
        </w:rPr>
      </w:pPr>
      <w:bookmarkStart w:id="73" w:name="_bookmark65"/>
      <w:bookmarkEnd w:id="73"/>
      <w:r>
        <w:rPr>
          <w:position w:val="7"/>
          <w:sz w:val="13"/>
        </w:rPr>
        <w:t xml:space="preserve">60 </w:t>
      </w:r>
      <w:r>
        <w:rPr>
          <w:sz w:val="20"/>
        </w:rPr>
        <w:t>47 CFR § 15.255(e).</w:t>
      </w:r>
    </w:p>
    <w:p w14:paraId="63334692" w14:textId="77777777" w:rsidR="00FC6D7C" w:rsidRDefault="002032AD">
      <w:pPr>
        <w:spacing w:before="115"/>
        <w:ind w:left="120"/>
        <w:rPr>
          <w:sz w:val="20"/>
        </w:rPr>
      </w:pPr>
      <w:bookmarkStart w:id="74" w:name="_bookmark66"/>
      <w:bookmarkEnd w:id="74"/>
      <w:r>
        <w:rPr>
          <w:position w:val="7"/>
          <w:sz w:val="13"/>
        </w:rPr>
        <w:t xml:space="preserve">61 </w:t>
      </w:r>
      <w:r>
        <w:rPr>
          <w:i/>
          <w:sz w:val="20"/>
        </w:rPr>
        <w:t xml:space="preserve">See supra </w:t>
      </w:r>
      <w:r>
        <w:rPr>
          <w:sz w:val="20"/>
        </w:rPr>
        <w:t>note 27.</w:t>
      </w:r>
    </w:p>
    <w:p w14:paraId="412734B8" w14:textId="77777777" w:rsidR="00FC6D7C" w:rsidRDefault="002032AD">
      <w:pPr>
        <w:spacing w:before="113"/>
        <w:ind w:left="120" w:right="204"/>
        <w:rPr>
          <w:sz w:val="20"/>
        </w:rPr>
      </w:pPr>
      <w:bookmarkStart w:id="75" w:name="_bookmark67"/>
      <w:bookmarkEnd w:id="75"/>
      <w:r>
        <w:rPr>
          <w:position w:val="7"/>
          <w:sz w:val="13"/>
        </w:rPr>
        <w:t xml:space="preserve">62 </w:t>
      </w:r>
      <w:r>
        <w:rPr>
          <w:sz w:val="20"/>
        </w:rPr>
        <w:t>A system on a chip (SoC) is an integrated circuit (also known as a "chip") that integrates all or most components of the central control circuit, e.g., transmitter and antenna circuitry, of a device, in contrast to the common traditional motherboard-based architecture, which separates components based on function and connects them through a central interfacing circuit board.</w:t>
      </w:r>
    </w:p>
    <w:p w14:paraId="181E3CFB" w14:textId="77777777" w:rsidR="00FC6D7C" w:rsidRDefault="00FC6D7C">
      <w:pPr>
        <w:rPr>
          <w:sz w:val="20"/>
        </w:rPr>
        <w:sectPr w:rsidR="00FC6D7C">
          <w:footerReference w:type="default" r:id="rId37"/>
          <w:pgSz w:w="12240" w:h="15840"/>
          <w:pgMar w:top="980" w:right="1320" w:bottom="960" w:left="1320" w:header="727" w:footer="765" w:gutter="0"/>
          <w:pgNumType w:start="11"/>
          <w:cols w:space="720"/>
        </w:sectPr>
      </w:pPr>
    </w:p>
    <w:p w14:paraId="5B161D42" w14:textId="77777777" w:rsidR="00FC6D7C" w:rsidRDefault="00FC6D7C">
      <w:pPr>
        <w:pStyle w:val="BodyText"/>
        <w:rPr>
          <w:sz w:val="20"/>
        </w:rPr>
      </w:pPr>
    </w:p>
    <w:p w14:paraId="7A6D5007" w14:textId="77777777" w:rsidR="00FC6D7C" w:rsidRDefault="00FC6D7C">
      <w:pPr>
        <w:pStyle w:val="BodyText"/>
        <w:spacing w:before="4"/>
      </w:pPr>
    </w:p>
    <w:p w14:paraId="4EA421B1" w14:textId="19017AA4" w:rsidR="00FC6D7C" w:rsidRDefault="002032AD">
      <w:pPr>
        <w:pStyle w:val="BodyText"/>
        <w:ind w:left="119" w:right="309"/>
        <w:jc w:val="both"/>
      </w:pPr>
      <w:r>
        <w:t xml:space="preserve">necessary for 60 GHz transmitters, including communications and radar devices. We seek input on this issue </w:t>
      </w:r>
      <w:proofErr w:type="gramStart"/>
      <w:r>
        <w:t>in order to</w:t>
      </w:r>
      <w:proofErr w:type="gramEnd"/>
      <w:r>
        <w:t xml:space="preserve"> develop a comprehensive record. We also </w:t>
      </w:r>
      <w:r w:rsidR="00264B52" w:rsidRPr="00264B52">
        <w:rPr>
          <w:highlight w:val="yellow"/>
        </w:rPr>
        <w:t>seek comment</w:t>
      </w:r>
      <w:r>
        <w:t xml:space="preserve"> on the benefits or costs of the proposed change to the transmitter conducted output power with respect to 60 GHz authorized users.</w:t>
      </w:r>
    </w:p>
    <w:p w14:paraId="09AD549A" w14:textId="77777777" w:rsidR="00FC6D7C" w:rsidRDefault="002032AD">
      <w:pPr>
        <w:pStyle w:val="BodyText"/>
        <w:spacing w:line="242" w:lineRule="auto"/>
        <w:ind w:left="119" w:right="529"/>
      </w:pPr>
      <w:r>
        <w:t xml:space="preserve">Proponents of such a change should provide specific details regarding measurement difficulties than might be encountered for system-on-a-chip devices as well as details on what maximum antenna </w:t>
      </w:r>
      <w:proofErr w:type="gramStart"/>
      <w:r>
        <w:t>gain</w:t>
      </w:r>
      <w:proofErr w:type="gramEnd"/>
      <w:r>
        <w:t xml:space="preserve"> they believe should be specified and whether there are circumstances under which that gain can be exceeded (e.g., with a corresponding EIRP reduction).</w:t>
      </w:r>
    </w:p>
    <w:p w14:paraId="59934E7E" w14:textId="2F812E53" w:rsidR="00FC6D7C" w:rsidRDefault="002032AD">
      <w:pPr>
        <w:pStyle w:val="ListParagraph"/>
        <w:numPr>
          <w:ilvl w:val="0"/>
          <w:numId w:val="7"/>
        </w:numPr>
        <w:tabs>
          <w:tab w:val="left" w:pos="1559"/>
          <w:tab w:val="left" w:pos="1560"/>
        </w:tabs>
        <w:spacing w:before="115"/>
        <w:ind w:right="118" w:firstLine="720"/>
      </w:pPr>
      <w:r>
        <w:rPr>
          <w:i/>
        </w:rPr>
        <w:t xml:space="preserve">Power Spectral Density Limit.  </w:t>
      </w:r>
      <w:r>
        <w:t xml:space="preserve">The existing rules do not restrict the power spectral density for 60 GHz devices. We propose to require a 13 dBm/MHz EIRP power spectral density on FDS devices, to be consistent with the ETSI limit. This is the same restriction we placed on Google and other parties operating FDS devices pursuant to Commission issued waivers.  We </w:t>
      </w:r>
      <w:r w:rsidR="00264B52" w:rsidRPr="00264B52">
        <w:rPr>
          <w:highlight w:val="yellow"/>
        </w:rPr>
        <w:t>seek comment</w:t>
      </w:r>
      <w:r>
        <w:t xml:space="preserve"> on the proposed power spectral density limit. Is there a need for a power spectral density limit, and if so, what is the appropriate limit and for which types of devices should it apply?  For example, would a power spectral density limit be necessary for FDS devices using frequency-modulated continuous wave (FMCW),</w:t>
      </w:r>
      <w:hyperlink w:anchor="_bookmark68" w:history="1">
        <w:r>
          <w:rPr>
            <w:position w:val="7"/>
            <w:sz w:val="13"/>
          </w:rPr>
          <w:t>63</w:t>
        </w:r>
      </w:hyperlink>
      <w:r>
        <w:rPr>
          <w:position w:val="7"/>
          <w:sz w:val="13"/>
        </w:rPr>
        <w:t xml:space="preserve"> </w:t>
      </w:r>
      <w:r>
        <w:t>or pulse/impulse</w:t>
      </w:r>
      <w:hyperlink w:anchor="_bookmark69" w:history="1">
        <w:r>
          <w:rPr>
            <w:position w:val="7"/>
            <w:sz w:val="13"/>
          </w:rPr>
          <w:t>64</w:t>
        </w:r>
      </w:hyperlink>
      <w:r>
        <w:rPr>
          <w:position w:val="7"/>
          <w:sz w:val="13"/>
        </w:rPr>
        <w:t xml:space="preserve"> </w:t>
      </w:r>
      <w:r>
        <w:t>transmissions?</w:t>
      </w:r>
      <w:hyperlink w:anchor="_bookmark70" w:history="1">
        <w:r>
          <w:rPr>
            <w:position w:val="7"/>
            <w:sz w:val="13"/>
          </w:rPr>
          <w:t>65</w:t>
        </w:r>
      </w:hyperlink>
      <w:r>
        <w:rPr>
          <w:position w:val="7"/>
          <w:sz w:val="13"/>
        </w:rPr>
        <w:t xml:space="preserve">  </w:t>
      </w:r>
      <w:r>
        <w:t xml:space="preserve">Although we are mindful of harmonizing the technical rules that we adopt with the existing ETSI standards, we seek input and technical analyses on the utility of this proposed requirement.  FMCW sensors generally modulate their transmission over a frequency band </w:t>
      </w:r>
      <w:proofErr w:type="gramStart"/>
      <w:r>
        <w:t>in order to</w:t>
      </w:r>
      <w:proofErr w:type="gramEnd"/>
      <w:r>
        <w:t xml:space="preserve"> obtain the necessary target resolution. At any given time, FMCW sensor emissions are limited to a small portion of the spectrum. As such, implementing a PSD limit appears to be an appropriate measure for spectrum sharing for these types of sensors. We </w:t>
      </w:r>
      <w:r w:rsidR="00264B52" w:rsidRPr="00264B52">
        <w:rPr>
          <w:highlight w:val="yellow"/>
        </w:rPr>
        <w:t>seek comment</w:t>
      </w:r>
      <w:r>
        <w:t xml:space="preserve"> on whether a PSD limit alone </w:t>
      </w:r>
      <w:proofErr w:type="gramStart"/>
      <w:r>
        <w:t>is a sufficient power limit</w:t>
      </w:r>
      <w:proofErr w:type="gramEnd"/>
      <w:r>
        <w:t xml:space="preserve"> to facilitate sharing between field disturbance sensors and communication devices. Are there other FDS modulation techniques that would benefit from a power spectral density limit?  We also </w:t>
      </w:r>
      <w:r w:rsidR="00264B52" w:rsidRPr="00264B52">
        <w:rPr>
          <w:highlight w:val="yellow"/>
        </w:rPr>
        <w:t>seek comment</w:t>
      </w:r>
      <w:r>
        <w:t xml:space="preserve"> on the benefits or costs of the proposed power spectral density limit for FDS devices with respect to 60 GHz authorized users. If we do not adopt a power spectral density limit, what are the ramifications if devices are permitted to operate with </w:t>
      </w:r>
      <w:proofErr w:type="gramStart"/>
      <w:r>
        <w:t>all of</w:t>
      </w:r>
      <w:proofErr w:type="gramEnd"/>
      <w:r>
        <w:t xml:space="preserve"> their energy concentrated in a narrow bandwidth? Parties that oppose these proposed rules should cite specific harms that they believe would result by imposing a power spectral density</w:t>
      </w:r>
      <w:r>
        <w:rPr>
          <w:spacing w:val="-11"/>
        </w:rPr>
        <w:t xml:space="preserve"> </w:t>
      </w:r>
      <w:r>
        <w:t>requirement.</w:t>
      </w:r>
    </w:p>
    <w:p w14:paraId="03371A9C" w14:textId="319B84F2" w:rsidR="00FC6D7C" w:rsidRDefault="002032AD">
      <w:pPr>
        <w:pStyle w:val="ListParagraph"/>
        <w:numPr>
          <w:ilvl w:val="0"/>
          <w:numId w:val="7"/>
        </w:numPr>
        <w:tabs>
          <w:tab w:val="left" w:pos="1559"/>
          <w:tab w:val="left" w:pos="1561"/>
        </w:tabs>
        <w:spacing w:before="116"/>
        <w:ind w:right="152" w:firstLine="721"/>
      </w:pPr>
      <w:r>
        <w:t>We note that the EIRP, transmitter conducted output power, and power density limits proposed here are consistent with those stipulated by the ETSI standard EN 305 550. This standard has been in existence since 2014, thus these limits have been tested and deployed in other geographic regions with similar spectrum allocations.</w:t>
      </w:r>
      <w:hyperlink w:anchor="_bookmark71" w:history="1">
        <w:r>
          <w:rPr>
            <w:position w:val="7"/>
            <w:sz w:val="13"/>
          </w:rPr>
          <w:t>66</w:t>
        </w:r>
      </w:hyperlink>
      <w:r>
        <w:rPr>
          <w:position w:val="7"/>
          <w:sz w:val="13"/>
        </w:rPr>
        <w:t xml:space="preserve"> </w:t>
      </w:r>
      <w:r>
        <w:t xml:space="preserve">In fact, ETSI renewed the same standard in 2017 and did not recommend changes to the limits. Thus, it appears that these proposed power levels have been successful in providing an environment that supports robust sharing of the 60 GHz spectrum among various users as we are proposing to allow here.  We </w:t>
      </w:r>
      <w:r w:rsidR="00264B52" w:rsidRPr="00264B52">
        <w:rPr>
          <w:highlight w:val="yellow"/>
        </w:rPr>
        <w:t>seek comment</w:t>
      </w:r>
      <w:r>
        <w:t xml:space="preserve"> on this view.  To develop a comprehensive record,</w:t>
      </w:r>
      <w:r>
        <w:rPr>
          <w:spacing w:val="-25"/>
        </w:rPr>
        <w:t xml:space="preserve"> </w:t>
      </w:r>
      <w:r>
        <w:t>we</w:t>
      </w:r>
    </w:p>
    <w:p w14:paraId="7404762F" w14:textId="77777777" w:rsidR="00FC6D7C" w:rsidRDefault="0023630A">
      <w:pPr>
        <w:pStyle w:val="BodyText"/>
        <w:spacing w:before="10"/>
        <w:rPr>
          <w:sz w:val="20"/>
        </w:rPr>
      </w:pPr>
      <w:r>
        <w:pict w14:anchorId="4641FC93">
          <v:line id="_x0000_s1038" style="position:absolute;z-index:251657728;mso-wrap-distance-left:0;mso-wrap-distance-right:0;mso-position-horizontal-relative:page" from="1in,14.25pt" to="3in,14.25pt" strokeweight=".6pt">
            <w10:wrap type="topAndBottom" anchorx="page"/>
          </v:line>
        </w:pict>
      </w:r>
    </w:p>
    <w:p w14:paraId="6A36ED06" w14:textId="77777777" w:rsidR="00FC6D7C" w:rsidRDefault="002032AD">
      <w:pPr>
        <w:spacing w:before="60"/>
        <w:ind w:left="120"/>
        <w:rPr>
          <w:sz w:val="20"/>
        </w:rPr>
      </w:pPr>
      <w:bookmarkStart w:id="76" w:name="_bookmark68"/>
      <w:bookmarkEnd w:id="76"/>
      <w:r>
        <w:rPr>
          <w:position w:val="7"/>
          <w:sz w:val="13"/>
        </w:rPr>
        <w:t xml:space="preserve">63 </w:t>
      </w:r>
      <w:r>
        <w:rPr>
          <w:sz w:val="20"/>
        </w:rPr>
        <w:t>In frequency-modulated continuous-wave (FMCW) radars, the transmitted signal of a known stable</w:t>
      </w:r>
    </w:p>
    <w:p w14:paraId="582FEB00" w14:textId="77777777" w:rsidR="00FC6D7C" w:rsidRDefault="002032AD">
      <w:pPr>
        <w:ind w:left="120" w:right="118"/>
        <w:rPr>
          <w:sz w:val="20"/>
        </w:rPr>
      </w:pPr>
      <w:r>
        <w:rPr>
          <w:sz w:val="20"/>
        </w:rPr>
        <w:t xml:space="preserve">frequency continuous wave varies up and down in frequency over a fixed </w:t>
      </w:r>
      <w:proofErr w:type="gramStart"/>
      <w:r>
        <w:rPr>
          <w:sz w:val="20"/>
        </w:rPr>
        <w:t>period of time</w:t>
      </w:r>
      <w:proofErr w:type="gramEnd"/>
      <w:r>
        <w:rPr>
          <w:sz w:val="20"/>
        </w:rPr>
        <w:t xml:space="preserve"> by a modulating signal. The frequency difference between the receive signal and the transmit signal increases with delay, and hence with distance.</w:t>
      </w:r>
    </w:p>
    <w:p w14:paraId="41574773" w14:textId="77777777" w:rsidR="00FC6D7C" w:rsidRDefault="002032AD">
      <w:pPr>
        <w:spacing w:before="115"/>
        <w:ind w:left="120"/>
        <w:rPr>
          <w:sz w:val="20"/>
        </w:rPr>
      </w:pPr>
      <w:bookmarkStart w:id="77" w:name="_bookmark69"/>
      <w:bookmarkEnd w:id="77"/>
      <w:r>
        <w:rPr>
          <w:position w:val="7"/>
          <w:sz w:val="13"/>
        </w:rPr>
        <w:t xml:space="preserve">64 </w:t>
      </w:r>
      <w:r>
        <w:rPr>
          <w:sz w:val="20"/>
        </w:rPr>
        <w:t>Pulse radar is based on the Doppler effect, where movements in range produce a frequency shift on the signal reflected from the target. As the reflector moves between each transmit pulse, the returned signal has a phase difference, or phase shift, from pulse to pulse.</w:t>
      </w:r>
    </w:p>
    <w:p w14:paraId="4C5CE88F" w14:textId="77777777" w:rsidR="00FC6D7C" w:rsidRDefault="002032AD">
      <w:pPr>
        <w:spacing w:before="115"/>
        <w:ind w:left="119" w:right="204"/>
        <w:rPr>
          <w:sz w:val="20"/>
        </w:rPr>
      </w:pPr>
      <w:bookmarkStart w:id="78" w:name="_bookmark70"/>
      <w:bookmarkEnd w:id="78"/>
      <w:r>
        <w:rPr>
          <w:position w:val="7"/>
          <w:sz w:val="13"/>
        </w:rPr>
        <w:t xml:space="preserve">65 </w:t>
      </w:r>
      <w:r>
        <w:rPr>
          <w:sz w:val="20"/>
        </w:rPr>
        <w:t>Typically, a power spectral density is specified to prevent concentration of power into a single channel or carrier while still satisfying the power limit over the entire band; this concern is not applicable to FDS devices using FMCW or pulse/impulse transmissions.</w:t>
      </w:r>
    </w:p>
    <w:p w14:paraId="2352915D" w14:textId="77777777" w:rsidR="00FC6D7C" w:rsidRDefault="002032AD">
      <w:pPr>
        <w:spacing w:before="113"/>
        <w:ind w:left="120" w:right="125"/>
        <w:rPr>
          <w:sz w:val="20"/>
        </w:rPr>
      </w:pPr>
      <w:bookmarkStart w:id="79" w:name="_bookmark71"/>
      <w:bookmarkEnd w:id="79"/>
      <w:r>
        <w:rPr>
          <w:position w:val="7"/>
          <w:sz w:val="13"/>
        </w:rPr>
        <w:t xml:space="preserve">66 </w:t>
      </w:r>
      <w:r>
        <w:rPr>
          <w:sz w:val="20"/>
        </w:rPr>
        <w:t>European Standards (EN) are technical standards which have been ratified by one of the three European standards organizations: European Committee for Standardization (CEN), European Committee for Electrotechnical Standardization (CENELEC), or European Telecommunications Standards Institute (ETSI).  European Standards are a key component of the Single European Market, which includes 27 EU member states and 4 non-EU member states.</w:t>
      </w:r>
    </w:p>
    <w:p w14:paraId="319F6757" w14:textId="77777777" w:rsidR="00FC6D7C" w:rsidRDefault="00FC6D7C">
      <w:pPr>
        <w:rPr>
          <w:sz w:val="20"/>
        </w:rPr>
        <w:sectPr w:rsidR="00FC6D7C">
          <w:pgSz w:w="12240" w:h="15840"/>
          <w:pgMar w:top="980" w:right="1320" w:bottom="960" w:left="1320" w:header="727" w:footer="765" w:gutter="0"/>
          <w:cols w:space="720"/>
        </w:sectPr>
      </w:pPr>
    </w:p>
    <w:p w14:paraId="4B4C442E" w14:textId="77777777" w:rsidR="00FC6D7C" w:rsidRDefault="00FC6D7C">
      <w:pPr>
        <w:pStyle w:val="BodyText"/>
        <w:rPr>
          <w:sz w:val="20"/>
        </w:rPr>
      </w:pPr>
    </w:p>
    <w:p w14:paraId="47E06ECE" w14:textId="77777777" w:rsidR="00FC6D7C" w:rsidRDefault="00FC6D7C">
      <w:pPr>
        <w:pStyle w:val="BodyText"/>
        <w:spacing w:before="4"/>
      </w:pPr>
    </w:p>
    <w:p w14:paraId="0807A35D" w14:textId="05CCAB91" w:rsidR="00FC6D7C" w:rsidRDefault="002032AD">
      <w:pPr>
        <w:pStyle w:val="BodyText"/>
        <w:ind w:left="119" w:right="352"/>
      </w:pPr>
      <w:r>
        <w:t xml:space="preserve">also seek input on current or planned standards, both domestic and international, regarding operation of FDS devices in the 57-71 GHz band, or any subset frequency band thereof. In addition, because radar resolution is generally dependent on bandwidth, we </w:t>
      </w:r>
      <w:r w:rsidR="00264B52" w:rsidRPr="00264B52">
        <w:rPr>
          <w:highlight w:val="yellow"/>
        </w:rPr>
        <w:t>seek comment</w:t>
      </w:r>
      <w:r>
        <w:t xml:space="preserve"> on whether the proposed rules will provide the sufficient resolution over the ranges needed for the applications envisioned for radars in the 60 GHz band.</w:t>
      </w:r>
    </w:p>
    <w:p w14:paraId="2812E80D" w14:textId="4DBD7B27" w:rsidR="00FC6D7C" w:rsidRDefault="002032AD">
      <w:pPr>
        <w:pStyle w:val="ListParagraph"/>
        <w:numPr>
          <w:ilvl w:val="0"/>
          <w:numId w:val="7"/>
        </w:numPr>
        <w:tabs>
          <w:tab w:val="left" w:pos="1559"/>
          <w:tab w:val="left" w:pos="1560"/>
        </w:tabs>
        <w:spacing w:before="116"/>
        <w:ind w:right="127" w:firstLine="720"/>
      </w:pPr>
      <w:r>
        <w:rPr>
          <w:i/>
        </w:rPr>
        <w:t>Peak vs. Average Power Limits</w:t>
      </w:r>
      <w:r>
        <w:t>. We note that, except for fixed FDS devices that contain their operating bandwidth within the 61.0-61.5 GHz band,</w:t>
      </w:r>
      <w:hyperlink w:anchor="_bookmark72" w:history="1">
        <w:r>
          <w:rPr>
            <w:position w:val="7"/>
            <w:sz w:val="13"/>
          </w:rPr>
          <w:t>67</w:t>
        </w:r>
      </w:hyperlink>
      <w:r>
        <w:rPr>
          <w:position w:val="7"/>
          <w:sz w:val="13"/>
        </w:rPr>
        <w:t xml:space="preserve"> </w:t>
      </w:r>
      <w:r>
        <w:t>the existing rules for FDS devices do not specify an average power limit, but instead only a peak or maximum power limit,</w:t>
      </w:r>
      <w:hyperlink w:anchor="_bookmark73" w:history="1">
        <w:r>
          <w:rPr>
            <w:position w:val="7"/>
            <w:sz w:val="13"/>
          </w:rPr>
          <w:t>68</w:t>
        </w:r>
      </w:hyperlink>
      <w:r>
        <w:rPr>
          <w:position w:val="7"/>
          <w:sz w:val="13"/>
        </w:rPr>
        <w:t xml:space="preserve"> </w:t>
      </w:r>
      <w:r>
        <w:t>unlike the power limits for 60 GHz communications devices, where we specify both an average EIRP and a peak EIRP of 3 dB above the average limit.</w:t>
      </w:r>
      <w:hyperlink w:anchor="_bookmark74" w:history="1">
        <w:r>
          <w:rPr>
            <w:position w:val="7"/>
            <w:sz w:val="13"/>
          </w:rPr>
          <w:t>69</w:t>
        </w:r>
      </w:hyperlink>
      <w:r>
        <w:rPr>
          <w:position w:val="7"/>
          <w:sz w:val="13"/>
        </w:rPr>
        <w:t xml:space="preserve"> </w:t>
      </w:r>
      <w:r>
        <w:t>We observe that 60 GHz FDS and radar devices will mostly use constant- amplitude continuous-wave (CW),</w:t>
      </w:r>
      <w:hyperlink w:anchor="_bookmark75" w:history="1">
        <w:r>
          <w:rPr>
            <w:position w:val="7"/>
            <w:sz w:val="13"/>
          </w:rPr>
          <w:t>70</w:t>
        </w:r>
      </w:hyperlink>
      <w:r>
        <w:rPr>
          <w:position w:val="7"/>
          <w:sz w:val="13"/>
        </w:rPr>
        <w:t xml:space="preserve"> </w:t>
      </w:r>
      <w:r>
        <w:t>frequency-modulated continuous wave (FMCW), or pulse/impulse transmissions. Since the limits apply during active transmission (i.e., only over the chirp or pulse duration), the peak and the average signals are equivalent. We further note that by specifying the limits only in terms of average power, potential measurement instrument desensitization phenomena can be avoided.</w:t>
      </w:r>
      <w:hyperlink w:anchor="_bookmark76" w:history="1">
        <w:r>
          <w:rPr>
            <w:position w:val="7"/>
            <w:sz w:val="13"/>
          </w:rPr>
          <w:t>71</w:t>
        </w:r>
      </w:hyperlink>
      <w:r>
        <w:rPr>
          <w:position w:val="7"/>
          <w:sz w:val="13"/>
        </w:rPr>
        <w:t xml:space="preserve"> </w:t>
      </w:r>
      <w:r>
        <w:t xml:space="preserve">We propose to define the power limits for FDS/radar devices in terms of average power and </w:t>
      </w:r>
      <w:r w:rsidR="00264B52" w:rsidRPr="00264B52">
        <w:rPr>
          <w:highlight w:val="yellow"/>
        </w:rPr>
        <w:t>seek comment</w:t>
      </w:r>
      <w:r>
        <w:t xml:space="preserve"> on the benefits of such a measurement. Are there consequences to specifying average power measurements rather than peak with respect to the potential to cause harmful interference to authorized users, or for unlicensed radar systems to coexist with unlicensed communications systems? Those who believe that such a change might result in harmful interference should estimate the costs of such interference. Would this change impact passive EESS users in the 57-59.3 GHz band? Are there are other possible FDS/radar modulation techniques that would make requiring a peak power limit</w:t>
      </w:r>
      <w:r>
        <w:rPr>
          <w:spacing w:val="-21"/>
        </w:rPr>
        <w:t xml:space="preserve"> </w:t>
      </w:r>
      <w:r>
        <w:t>necessary?</w:t>
      </w:r>
    </w:p>
    <w:p w14:paraId="785CF636" w14:textId="77777777" w:rsidR="00FC6D7C" w:rsidRDefault="002032AD">
      <w:pPr>
        <w:pStyle w:val="Heading1"/>
        <w:tabs>
          <w:tab w:val="left" w:pos="2280"/>
        </w:tabs>
        <w:spacing w:before="138"/>
        <w:ind w:left="1560"/>
      </w:pPr>
      <w:bookmarkStart w:id="80" w:name="3._Duty_Cycle"/>
      <w:bookmarkEnd w:id="80"/>
      <w:r>
        <w:t>3.</w:t>
      </w:r>
      <w:r>
        <w:tab/>
        <w:t>Duty</w:t>
      </w:r>
      <w:r>
        <w:rPr>
          <w:spacing w:val="-4"/>
        </w:rPr>
        <w:t xml:space="preserve"> </w:t>
      </w:r>
      <w:r>
        <w:t>Cycle</w:t>
      </w:r>
    </w:p>
    <w:p w14:paraId="215E7E5D" w14:textId="77777777" w:rsidR="00FC6D7C" w:rsidRDefault="002032AD">
      <w:pPr>
        <w:pStyle w:val="ListParagraph"/>
        <w:numPr>
          <w:ilvl w:val="0"/>
          <w:numId w:val="7"/>
        </w:numPr>
        <w:tabs>
          <w:tab w:val="left" w:pos="1559"/>
          <w:tab w:val="left" w:pos="1561"/>
        </w:tabs>
        <w:spacing w:before="118"/>
        <w:ind w:right="139" w:firstLine="721"/>
      </w:pPr>
      <w:r>
        <w:t>The existing rules do not place a duty cycle restriction on 60 GHz devices. Similarly, the ETSI EN 305 550 standard does not stipulate a duty cycle limit for 60 GHz short-range devices; however, the standard does specify requirements for 60 GHz receivers to ensure that they can adequately handle interferer signals.</w:t>
      </w:r>
      <w:hyperlink w:anchor="_bookmark77" w:history="1">
        <w:r>
          <w:rPr>
            <w:position w:val="7"/>
            <w:sz w:val="13"/>
          </w:rPr>
          <w:t>72</w:t>
        </w:r>
      </w:hyperlink>
      <w:r>
        <w:rPr>
          <w:position w:val="7"/>
          <w:sz w:val="13"/>
        </w:rPr>
        <w:t xml:space="preserve"> </w:t>
      </w:r>
      <w:r>
        <w:t xml:space="preserve">We imposed a 10% duty cycle limit in the </w:t>
      </w:r>
      <w:r>
        <w:rPr>
          <w:i/>
        </w:rPr>
        <w:t xml:space="preserve">Google Waiver Order </w:t>
      </w:r>
      <w:r>
        <w:t>and subsequent waivers for 60 GHz FDS devices operating under higher emission limits than permitted in the rules.</w:t>
      </w:r>
      <w:hyperlink w:anchor="_bookmark78" w:history="1">
        <w:r>
          <w:rPr>
            <w:position w:val="7"/>
            <w:sz w:val="13"/>
          </w:rPr>
          <w:t>73</w:t>
        </w:r>
      </w:hyperlink>
      <w:r>
        <w:rPr>
          <w:position w:val="7"/>
          <w:sz w:val="13"/>
        </w:rPr>
        <w:t xml:space="preserve">  </w:t>
      </w:r>
      <w:r>
        <w:t xml:space="preserve">This 10% duty cycle is based on a maximum 3.3 </w:t>
      </w:r>
      <w:proofErr w:type="spellStart"/>
      <w:r>
        <w:t>ms</w:t>
      </w:r>
      <w:proofErr w:type="spellEnd"/>
      <w:r>
        <w:t xml:space="preserve"> transmission time in every 33 </w:t>
      </w:r>
      <w:proofErr w:type="spellStart"/>
      <w:r>
        <w:t>ms</w:t>
      </w:r>
      <w:proofErr w:type="spellEnd"/>
      <w:r>
        <w:t xml:space="preserve"> interval and was derived from Google’s 2018 final agreement with stakeholders from the WLAN communications</w:t>
      </w:r>
      <w:r>
        <w:rPr>
          <w:spacing w:val="-25"/>
        </w:rPr>
        <w:t xml:space="preserve"> </w:t>
      </w:r>
      <w:r>
        <w:t>industry</w:t>
      </w:r>
    </w:p>
    <w:p w14:paraId="41227C4B" w14:textId="77777777" w:rsidR="00FC6D7C" w:rsidRDefault="0023630A">
      <w:pPr>
        <w:pStyle w:val="BodyText"/>
        <w:spacing w:before="10"/>
        <w:rPr>
          <w:sz w:val="27"/>
        </w:rPr>
      </w:pPr>
      <w:r>
        <w:pict w14:anchorId="6C83660C">
          <v:line id="_x0000_s1037" style="position:absolute;z-index:251658752;mso-wrap-distance-left:0;mso-wrap-distance-right:0;mso-position-horizontal-relative:page" from="1in,18.3pt" to="3in,18.3pt" strokeweight=".21131mm">
            <w10:wrap type="topAndBottom" anchorx="page"/>
          </v:line>
        </w:pict>
      </w:r>
    </w:p>
    <w:p w14:paraId="63072029" w14:textId="77777777" w:rsidR="00FC6D7C" w:rsidRDefault="002032AD">
      <w:pPr>
        <w:spacing w:before="60"/>
        <w:ind w:left="119" w:right="197"/>
        <w:rPr>
          <w:sz w:val="20"/>
        </w:rPr>
      </w:pPr>
      <w:bookmarkStart w:id="81" w:name="_bookmark72"/>
      <w:bookmarkEnd w:id="81"/>
      <w:r>
        <w:rPr>
          <w:position w:val="7"/>
          <w:sz w:val="13"/>
        </w:rPr>
        <w:t xml:space="preserve">67 </w:t>
      </w:r>
      <w:r>
        <w:rPr>
          <w:sz w:val="20"/>
        </w:rPr>
        <w:t xml:space="preserve">47 CFR § 15.255(c)(2). This provision was adopted in </w:t>
      </w:r>
      <w:r>
        <w:rPr>
          <w:i/>
          <w:sz w:val="20"/>
        </w:rPr>
        <w:t xml:space="preserve">Amendment of Parts 2, 15 and 97 of the Commission’s Rules to Permit Use of Radio Frequencies Above 40 GHz for New Radio Applications, </w:t>
      </w:r>
      <w:r>
        <w:rPr>
          <w:sz w:val="20"/>
        </w:rPr>
        <w:t xml:space="preserve">ET Docket No. 94-124, FCC 97-267, Memorandum Opinion and Order and Fourth Notice of Proposed Rulemaking, 12 FCC </w:t>
      </w:r>
      <w:proofErr w:type="spellStart"/>
      <w:r>
        <w:rPr>
          <w:sz w:val="20"/>
        </w:rPr>
        <w:t>Rcd</w:t>
      </w:r>
      <w:proofErr w:type="spellEnd"/>
      <w:r>
        <w:rPr>
          <w:sz w:val="20"/>
        </w:rPr>
        <w:t xml:space="preserve"> 12212 (1997). Because the fixed FDS devices operating under this 500-megahertz bandwidth provision are allowed the same power levels as the communication devices, peak and average limits were specified for consistency with the peak and average limits of communication devices.</w:t>
      </w:r>
    </w:p>
    <w:p w14:paraId="2369B9B6" w14:textId="77777777" w:rsidR="00FC6D7C" w:rsidRDefault="002032AD">
      <w:pPr>
        <w:spacing w:before="115"/>
        <w:ind w:left="120"/>
        <w:rPr>
          <w:sz w:val="20"/>
        </w:rPr>
      </w:pPr>
      <w:bookmarkStart w:id="82" w:name="_bookmark73"/>
      <w:bookmarkEnd w:id="82"/>
      <w:r>
        <w:rPr>
          <w:position w:val="7"/>
          <w:sz w:val="13"/>
        </w:rPr>
        <w:t xml:space="preserve">68 </w:t>
      </w:r>
      <w:r>
        <w:rPr>
          <w:sz w:val="20"/>
        </w:rPr>
        <w:t>47 CFR § 15.255(c)(3).</w:t>
      </w:r>
    </w:p>
    <w:p w14:paraId="2A06356A" w14:textId="77777777" w:rsidR="00FC6D7C" w:rsidRDefault="002032AD">
      <w:pPr>
        <w:spacing w:before="116"/>
        <w:ind w:left="120"/>
        <w:rPr>
          <w:sz w:val="20"/>
        </w:rPr>
      </w:pPr>
      <w:bookmarkStart w:id="83" w:name="_bookmark74"/>
      <w:bookmarkEnd w:id="83"/>
      <w:r>
        <w:rPr>
          <w:position w:val="7"/>
          <w:sz w:val="13"/>
        </w:rPr>
        <w:t xml:space="preserve">69 </w:t>
      </w:r>
      <w:r>
        <w:rPr>
          <w:sz w:val="20"/>
        </w:rPr>
        <w:t>47 CFR § 15.255(c)(1).</w:t>
      </w:r>
    </w:p>
    <w:p w14:paraId="4B3BE31F" w14:textId="77777777" w:rsidR="00FC6D7C" w:rsidRDefault="002032AD">
      <w:pPr>
        <w:spacing w:before="113"/>
        <w:ind w:left="120" w:right="529"/>
        <w:rPr>
          <w:sz w:val="20"/>
        </w:rPr>
      </w:pPr>
      <w:bookmarkStart w:id="84" w:name="_bookmark75"/>
      <w:bookmarkEnd w:id="84"/>
      <w:r>
        <w:rPr>
          <w:position w:val="7"/>
          <w:sz w:val="13"/>
        </w:rPr>
        <w:t xml:space="preserve">70 </w:t>
      </w:r>
      <w:r>
        <w:rPr>
          <w:sz w:val="20"/>
        </w:rPr>
        <w:t xml:space="preserve">Continuous-wave radar (CW radar) is a type of radar system where a known stable frequency continuous wave </w:t>
      </w:r>
      <w:hyperlink r:id="rId38">
        <w:r>
          <w:rPr>
            <w:sz w:val="20"/>
          </w:rPr>
          <w:t>radio</w:t>
        </w:r>
      </w:hyperlink>
      <w:r>
        <w:rPr>
          <w:sz w:val="20"/>
        </w:rPr>
        <w:t xml:space="preserve"> energy is transmitted and then received from any reflecting objects.</w:t>
      </w:r>
    </w:p>
    <w:p w14:paraId="5384FE44" w14:textId="77777777" w:rsidR="00FC6D7C" w:rsidRDefault="002032AD">
      <w:pPr>
        <w:spacing w:before="115"/>
        <w:ind w:left="120"/>
        <w:rPr>
          <w:sz w:val="20"/>
        </w:rPr>
      </w:pPr>
      <w:bookmarkStart w:id="85" w:name="_bookmark76"/>
      <w:bookmarkEnd w:id="85"/>
      <w:r>
        <w:rPr>
          <w:position w:val="7"/>
          <w:sz w:val="13"/>
        </w:rPr>
        <w:t xml:space="preserve">71 </w:t>
      </w:r>
      <w:r>
        <w:rPr>
          <w:sz w:val="20"/>
        </w:rPr>
        <w:t>ETSI EN 305 550 standard only specifies average limits for SRD.</w:t>
      </w:r>
    </w:p>
    <w:p w14:paraId="301B6706" w14:textId="77777777" w:rsidR="00FC6D7C" w:rsidRDefault="002032AD">
      <w:pPr>
        <w:spacing w:before="115"/>
        <w:ind w:left="120" w:right="824" w:hanging="1"/>
        <w:rPr>
          <w:sz w:val="20"/>
        </w:rPr>
      </w:pPr>
      <w:bookmarkStart w:id="86" w:name="_bookmark77"/>
      <w:bookmarkEnd w:id="86"/>
      <w:r>
        <w:rPr>
          <w:position w:val="7"/>
          <w:sz w:val="13"/>
        </w:rPr>
        <w:t xml:space="preserve">72 </w:t>
      </w:r>
      <w:r>
        <w:rPr>
          <w:i/>
          <w:sz w:val="20"/>
        </w:rPr>
        <w:t>See Short Range Devices (SRD); Radio equipment to be used in the 40 GHz to 246 GHz frequency range; Harmonized Standard for access to radio spectrum</w:t>
      </w:r>
      <w:r>
        <w:rPr>
          <w:sz w:val="20"/>
        </w:rPr>
        <w:t xml:space="preserve">, ETSI EN 305 550 V2.1.0 (2017-10), at 18 (stating that “interferer signal handling, defined as the capability of the device to operate as intended in coexistence with interferers, is a receiver parameter for radio applications”). The standard is available at: </w:t>
      </w:r>
      <w:hyperlink r:id="rId39">
        <w:r>
          <w:rPr>
            <w:color w:val="0000FF"/>
            <w:sz w:val="20"/>
            <w:u w:val="single" w:color="0000FF"/>
          </w:rPr>
          <w:t>http://www.etsi.org/deliver/etsi_en/305500_305599/305550/02.01.00_20/en_305550v020100a.pdf</w:t>
        </w:r>
        <w:r>
          <w:rPr>
            <w:sz w:val="20"/>
          </w:rPr>
          <w:t>.</w:t>
        </w:r>
      </w:hyperlink>
    </w:p>
    <w:p w14:paraId="264C0F5F" w14:textId="77777777" w:rsidR="00FC6D7C" w:rsidRDefault="002032AD">
      <w:pPr>
        <w:spacing w:before="115"/>
        <w:ind w:left="120" w:right="102"/>
        <w:rPr>
          <w:sz w:val="20"/>
        </w:rPr>
      </w:pPr>
      <w:bookmarkStart w:id="87" w:name="_bookmark78"/>
      <w:bookmarkEnd w:id="87"/>
      <w:r>
        <w:rPr>
          <w:position w:val="7"/>
          <w:sz w:val="13"/>
        </w:rPr>
        <w:t xml:space="preserve">73 </w:t>
      </w:r>
      <w:r>
        <w:rPr>
          <w:sz w:val="20"/>
        </w:rPr>
        <w:t xml:space="preserve">Duty cycle is defined as the fraction of one period in which transmission is active.  A period is the time it takes for a signal to complete an on-and-off </w:t>
      </w:r>
      <w:hyperlink r:id="rId40">
        <w:r>
          <w:rPr>
            <w:sz w:val="20"/>
          </w:rPr>
          <w:t>cycle.</w:t>
        </w:r>
      </w:hyperlink>
      <w:r>
        <w:rPr>
          <w:sz w:val="20"/>
        </w:rPr>
        <w:t xml:space="preserve"> Duty cycle is commonly expressed as a percentage or a ratio.</w:t>
      </w:r>
    </w:p>
    <w:p w14:paraId="4EF68035" w14:textId="77777777" w:rsidR="00FC6D7C" w:rsidRDefault="00FC6D7C">
      <w:pPr>
        <w:rPr>
          <w:sz w:val="20"/>
        </w:rPr>
        <w:sectPr w:rsidR="00FC6D7C">
          <w:pgSz w:w="12240" w:h="15840"/>
          <w:pgMar w:top="980" w:right="1320" w:bottom="960" w:left="1320" w:header="727" w:footer="765" w:gutter="0"/>
          <w:cols w:space="720"/>
        </w:sectPr>
      </w:pPr>
    </w:p>
    <w:p w14:paraId="61A16325" w14:textId="77777777" w:rsidR="00FC6D7C" w:rsidRDefault="00FC6D7C">
      <w:pPr>
        <w:pStyle w:val="BodyText"/>
        <w:rPr>
          <w:sz w:val="20"/>
        </w:rPr>
      </w:pPr>
    </w:p>
    <w:p w14:paraId="07655FE1" w14:textId="77777777" w:rsidR="00FC6D7C" w:rsidRDefault="00FC6D7C">
      <w:pPr>
        <w:pStyle w:val="BodyText"/>
        <w:spacing w:before="4"/>
      </w:pPr>
    </w:p>
    <w:p w14:paraId="571C019F" w14:textId="77777777" w:rsidR="00FC6D7C" w:rsidRDefault="002032AD">
      <w:pPr>
        <w:pStyle w:val="BodyText"/>
        <w:ind w:left="119" w:right="204"/>
      </w:pPr>
      <w:r>
        <w:t>whose technology operates in the 60 GHz spectrum.</w:t>
      </w:r>
      <w:hyperlink w:anchor="_bookmark80" w:history="1">
        <w:r>
          <w:rPr>
            <w:position w:val="7"/>
            <w:sz w:val="13"/>
          </w:rPr>
          <w:t>74</w:t>
        </w:r>
      </w:hyperlink>
      <w:r>
        <w:rPr>
          <w:position w:val="7"/>
          <w:sz w:val="13"/>
        </w:rPr>
        <w:t xml:space="preserve"> </w:t>
      </w:r>
      <w:r>
        <w:t>We propose to require the same duty cycle restriction as that imposed in the multiple waivers.</w:t>
      </w:r>
    </w:p>
    <w:p w14:paraId="68770428" w14:textId="77777777" w:rsidR="00FC6D7C" w:rsidRDefault="002032AD">
      <w:pPr>
        <w:pStyle w:val="ListParagraph"/>
        <w:numPr>
          <w:ilvl w:val="0"/>
          <w:numId w:val="7"/>
        </w:numPr>
        <w:tabs>
          <w:tab w:val="left" w:pos="1559"/>
          <w:tab w:val="left" w:pos="1560"/>
        </w:tabs>
        <w:spacing w:before="118"/>
        <w:ind w:right="122" w:firstLine="720"/>
      </w:pPr>
      <w:r>
        <w:t>However, we note that in some of the waiver requests, parties asked for a longer transmission time frame.</w:t>
      </w:r>
      <w:hyperlink w:anchor="_bookmark81" w:history="1">
        <w:r>
          <w:rPr>
            <w:position w:val="7"/>
            <w:sz w:val="13"/>
          </w:rPr>
          <w:t>75</w:t>
        </w:r>
      </w:hyperlink>
      <w:r>
        <w:rPr>
          <w:position w:val="7"/>
          <w:sz w:val="13"/>
        </w:rPr>
        <w:t xml:space="preserve">  </w:t>
      </w:r>
      <w:r>
        <w:t>We further note certain parties recommend modifying the duty cycle restriction adopted in the waivers to read that “any radar off-time period between two successive r</w:t>
      </w:r>
      <w:bookmarkStart w:id="88" w:name="_bookmark79"/>
      <w:bookmarkEnd w:id="88"/>
      <w:r>
        <w:t xml:space="preserve">adar pulses that is less than 2 </w:t>
      </w:r>
      <w:proofErr w:type="spellStart"/>
      <w:r>
        <w:t>ms</w:t>
      </w:r>
      <w:proofErr w:type="spellEnd"/>
      <w:r>
        <w:t xml:space="preserve"> shall be considered ‘on time’ for purposes of computing the duty cycle.”</w:t>
      </w:r>
      <w:hyperlink w:anchor="_bookmark82" w:history="1">
        <w:r>
          <w:rPr>
            <w:position w:val="7"/>
            <w:sz w:val="13"/>
          </w:rPr>
          <w:t>76</w:t>
        </w:r>
      </w:hyperlink>
      <w:r>
        <w:rPr>
          <w:position w:val="7"/>
          <w:sz w:val="13"/>
        </w:rPr>
        <w:t xml:space="preserve"> </w:t>
      </w:r>
      <w:r>
        <w:t>These parties express concern that the duty cycle requirement in the waivers will not promote coexistence with communications applications, including AR/VR/XR communication devices which require very high data throughput and very low latency.</w:t>
      </w:r>
      <w:hyperlink w:anchor="_bookmark83" w:history="1">
        <w:r>
          <w:rPr>
            <w:position w:val="7"/>
            <w:sz w:val="13"/>
          </w:rPr>
          <w:t>77</w:t>
        </w:r>
      </w:hyperlink>
      <w:r>
        <w:rPr>
          <w:position w:val="7"/>
          <w:sz w:val="13"/>
        </w:rPr>
        <w:t xml:space="preserve"> </w:t>
      </w:r>
      <w:r>
        <w:t xml:space="preserve">They point out that the 10% duty cycle requirement could lead to certain radars transmitting very short bursts (in micro-second durations) followed by similarly short silent periods (also in the micro-second durations) during the entire total 33 </w:t>
      </w:r>
      <w:proofErr w:type="spellStart"/>
      <w:r>
        <w:t>ms</w:t>
      </w:r>
      <w:proofErr w:type="spellEnd"/>
      <w:r>
        <w:t xml:space="preserve"> interval.</w:t>
      </w:r>
      <w:hyperlink w:anchor="_bookmark84" w:history="1">
        <w:r>
          <w:rPr>
            <w:position w:val="7"/>
            <w:sz w:val="13"/>
          </w:rPr>
          <w:t>78</w:t>
        </w:r>
      </w:hyperlink>
      <w:r>
        <w:rPr>
          <w:position w:val="7"/>
          <w:sz w:val="13"/>
        </w:rPr>
        <w:t xml:space="preserve"> </w:t>
      </w:r>
      <w:r>
        <w:t>This would result in interspersed, non-contiguous micro-second short silent intervals during which 60 GHz AR/VR communication devices may have difficulty accessing the spectrum due to the briefness of the radars’ quiet intervals; yet, when added together, the total amount of transmission time and silent intervals would comply with the “10% on, 90% off” definition of a 10% duty</w:t>
      </w:r>
      <w:r>
        <w:rPr>
          <w:spacing w:val="-14"/>
        </w:rPr>
        <w:t xml:space="preserve"> </w:t>
      </w:r>
      <w:r>
        <w:t>cycle.</w:t>
      </w:r>
    </w:p>
    <w:p w14:paraId="38E752BD" w14:textId="77777777" w:rsidR="00FC6D7C" w:rsidRDefault="002032AD">
      <w:pPr>
        <w:pStyle w:val="ListParagraph"/>
        <w:numPr>
          <w:ilvl w:val="0"/>
          <w:numId w:val="7"/>
        </w:numPr>
        <w:tabs>
          <w:tab w:val="left" w:pos="1559"/>
          <w:tab w:val="left" w:pos="1561"/>
        </w:tabs>
        <w:spacing w:before="116"/>
        <w:ind w:right="163" w:firstLine="721"/>
      </w:pPr>
      <w:r>
        <w:t>On the other hand, other parties indicate that “regulatory guarantees of such latency targets would substantially degrade performance of FMCW radars, which generally need to transmit frequent chirps (to prevent velocity aliasing)</w:t>
      </w:r>
      <w:hyperlink w:anchor="_bookmark85" w:history="1">
        <w:r>
          <w:rPr>
            <w:position w:val="7"/>
            <w:sz w:val="13"/>
          </w:rPr>
          <w:t>79</w:t>
        </w:r>
      </w:hyperlink>
      <w:r>
        <w:rPr>
          <w:position w:val="7"/>
          <w:sz w:val="13"/>
        </w:rPr>
        <w:t xml:space="preserve"> </w:t>
      </w:r>
      <w:r>
        <w:t>and span a sufficient burst time to enable good velocity resolution.”</w:t>
      </w:r>
      <w:hyperlink w:anchor="_bookmark86" w:history="1">
        <w:r>
          <w:rPr>
            <w:position w:val="7"/>
            <w:sz w:val="13"/>
          </w:rPr>
          <w:t>80</w:t>
        </w:r>
      </w:hyperlink>
      <w:r>
        <w:rPr>
          <w:position w:val="7"/>
          <w:sz w:val="13"/>
        </w:rPr>
        <w:t xml:space="preserve">  </w:t>
      </w:r>
      <w:r>
        <w:t xml:space="preserve">These parties argue that a duty cycle rule restricting radars to “guarantee that at least 99% of </w:t>
      </w:r>
      <w:proofErr w:type="spellStart"/>
      <w:r>
        <w:t>WiGig</w:t>
      </w:r>
      <w:proofErr w:type="spellEnd"/>
      <w:r>
        <w:t xml:space="preserve"> packets experience on-air latency of no more than a few milliseconds” would be unnecessary due to “radars’ low transmission power, low potential to generate interference, and antenna directionality, as well as propagation loss in the 60 GHz band.”</w:t>
      </w:r>
      <w:hyperlink w:anchor="_bookmark87" w:history="1">
        <w:r>
          <w:rPr>
            <w:position w:val="7"/>
            <w:sz w:val="13"/>
          </w:rPr>
          <w:t>81</w:t>
        </w:r>
      </w:hyperlink>
      <w:r>
        <w:rPr>
          <w:position w:val="7"/>
          <w:sz w:val="13"/>
        </w:rPr>
        <w:t xml:space="preserve"> </w:t>
      </w:r>
      <w:r>
        <w:t>A regulatory latency target will have a similar impact on pulse radars as well, as the radar’s observable maximum velocity and velocity resolution both</w:t>
      </w:r>
      <w:r>
        <w:rPr>
          <w:spacing w:val="-25"/>
        </w:rPr>
        <w:t xml:space="preserve"> </w:t>
      </w:r>
      <w:r>
        <w:t>depend</w:t>
      </w:r>
    </w:p>
    <w:p w14:paraId="1D5DFF31" w14:textId="77777777" w:rsidR="00FC6D7C" w:rsidRDefault="00FC6D7C">
      <w:pPr>
        <w:pStyle w:val="BodyText"/>
        <w:rPr>
          <w:sz w:val="20"/>
        </w:rPr>
      </w:pPr>
    </w:p>
    <w:p w14:paraId="3A13CF2C" w14:textId="77777777" w:rsidR="00FC6D7C" w:rsidRDefault="00FC6D7C">
      <w:pPr>
        <w:pStyle w:val="BodyText"/>
        <w:rPr>
          <w:sz w:val="20"/>
        </w:rPr>
      </w:pPr>
    </w:p>
    <w:p w14:paraId="24FF92B1" w14:textId="77777777" w:rsidR="00FC6D7C" w:rsidRDefault="00FC6D7C">
      <w:pPr>
        <w:pStyle w:val="BodyText"/>
        <w:rPr>
          <w:sz w:val="20"/>
        </w:rPr>
      </w:pPr>
    </w:p>
    <w:p w14:paraId="7BAB639E" w14:textId="77777777" w:rsidR="00FC6D7C" w:rsidRDefault="0023630A">
      <w:pPr>
        <w:pStyle w:val="BodyText"/>
        <w:spacing w:before="1"/>
        <w:rPr>
          <w:sz w:val="21"/>
        </w:rPr>
      </w:pPr>
      <w:r>
        <w:pict w14:anchorId="07EEC19D">
          <v:line id="_x0000_s1036" style="position:absolute;z-index:251659776;mso-wrap-distance-left:0;mso-wrap-distance-right:0;mso-position-horizontal-relative:page" from="1in,14.4pt" to="3in,14.4pt" strokeweight=".6pt">
            <w10:wrap type="topAndBottom" anchorx="page"/>
          </v:line>
        </w:pict>
      </w:r>
    </w:p>
    <w:p w14:paraId="7919A400" w14:textId="77777777" w:rsidR="00FC6D7C" w:rsidRDefault="002032AD">
      <w:pPr>
        <w:spacing w:before="60"/>
        <w:ind w:left="120" w:right="122" w:hanging="1"/>
        <w:rPr>
          <w:sz w:val="20"/>
        </w:rPr>
      </w:pPr>
      <w:bookmarkStart w:id="89" w:name="_bookmark80"/>
      <w:bookmarkEnd w:id="89"/>
      <w:r>
        <w:rPr>
          <w:position w:val="7"/>
          <w:sz w:val="13"/>
        </w:rPr>
        <w:t xml:space="preserve">74 </w:t>
      </w:r>
      <w:r>
        <w:rPr>
          <w:i/>
          <w:sz w:val="20"/>
        </w:rPr>
        <w:t xml:space="preserve">See </w:t>
      </w:r>
      <w:r>
        <w:rPr>
          <w:sz w:val="20"/>
        </w:rPr>
        <w:t xml:space="preserve">Letter from Megan Anne Stull, Google LLC, and Pankaj Venugopal, Facebook, Inc., to Marlene Dortch, FCC, ET Docket No. 18-70 (filed Sept. 7, 2018). Google agreed to the 3.3 </w:t>
      </w:r>
      <w:proofErr w:type="spellStart"/>
      <w:r>
        <w:rPr>
          <w:sz w:val="20"/>
        </w:rPr>
        <w:t>ms</w:t>
      </w:r>
      <w:proofErr w:type="spellEnd"/>
      <w:r>
        <w:rPr>
          <w:sz w:val="20"/>
        </w:rPr>
        <w:t xml:space="preserve"> duty cycle restriction after extensive consultation with Facebook and other stakeholders, as outlined in the above filing.</w:t>
      </w:r>
    </w:p>
    <w:p w14:paraId="67B57AB9" w14:textId="77777777" w:rsidR="00FC6D7C" w:rsidRDefault="002032AD">
      <w:pPr>
        <w:spacing w:before="115"/>
        <w:ind w:left="119" w:right="204"/>
        <w:rPr>
          <w:sz w:val="20"/>
        </w:rPr>
      </w:pPr>
      <w:bookmarkStart w:id="90" w:name="_bookmark81"/>
      <w:bookmarkEnd w:id="90"/>
      <w:r>
        <w:rPr>
          <w:position w:val="7"/>
          <w:sz w:val="13"/>
        </w:rPr>
        <w:t xml:space="preserve">75 </w:t>
      </w:r>
      <w:r>
        <w:rPr>
          <w:sz w:val="20"/>
        </w:rPr>
        <w:t xml:space="preserve">For example, </w:t>
      </w:r>
      <w:proofErr w:type="spellStart"/>
      <w:r>
        <w:rPr>
          <w:sz w:val="20"/>
        </w:rPr>
        <w:t>Valeo</w:t>
      </w:r>
      <w:proofErr w:type="spellEnd"/>
      <w:r>
        <w:rPr>
          <w:sz w:val="20"/>
        </w:rPr>
        <w:t xml:space="preserve"> North America Inc. asked to operate its radar with a 16 </w:t>
      </w:r>
      <w:proofErr w:type="spellStart"/>
      <w:r>
        <w:rPr>
          <w:sz w:val="20"/>
        </w:rPr>
        <w:t>ms</w:t>
      </w:r>
      <w:proofErr w:type="spellEnd"/>
      <w:r>
        <w:rPr>
          <w:sz w:val="20"/>
        </w:rPr>
        <w:t xml:space="preserve"> transmission time in each 160 </w:t>
      </w:r>
      <w:proofErr w:type="spellStart"/>
      <w:r>
        <w:rPr>
          <w:sz w:val="20"/>
        </w:rPr>
        <w:t>ms</w:t>
      </w:r>
      <w:proofErr w:type="spellEnd"/>
      <w:r>
        <w:rPr>
          <w:sz w:val="20"/>
        </w:rPr>
        <w:t xml:space="preserve"> </w:t>
      </w:r>
      <w:proofErr w:type="gramStart"/>
      <w:r>
        <w:rPr>
          <w:sz w:val="20"/>
        </w:rPr>
        <w:t>time period</w:t>
      </w:r>
      <w:proofErr w:type="gramEnd"/>
      <w:r>
        <w:rPr>
          <w:sz w:val="20"/>
        </w:rPr>
        <w:t xml:space="preserve">, to cover multi-sensor situations. </w:t>
      </w:r>
      <w:proofErr w:type="spellStart"/>
      <w:r>
        <w:rPr>
          <w:sz w:val="20"/>
        </w:rPr>
        <w:t>Valeo</w:t>
      </w:r>
      <w:proofErr w:type="spellEnd"/>
      <w:r>
        <w:rPr>
          <w:sz w:val="20"/>
        </w:rPr>
        <w:t xml:space="preserve"> Reply Comments, ET Docket No. 20-121 at 5 (rec. June 23, 2020). Leica Geosystems AG requested 50% duty cycle over 40 </w:t>
      </w:r>
      <w:proofErr w:type="spellStart"/>
      <w:r>
        <w:rPr>
          <w:sz w:val="20"/>
        </w:rPr>
        <w:t>ms</w:t>
      </w:r>
      <w:proofErr w:type="spellEnd"/>
      <w:r>
        <w:rPr>
          <w:sz w:val="20"/>
        </w:rPr>
        <w:t xml:space="preserve"> </w:t>
      </w:r>
      <w:proofErr w:type="gramStart"/>
      <w:r>
        <w:rPr>
          <w:sz w:val="20"/>
        </w:rPr>
        <w:t>time period</w:t>
      </w:r>
      <w:proofErr w:type="gramEnd"/>
      <w:r>
        <w:rPr>
          <w:sz w:val="20"/>
        </w:rPr>
        <w:t xml:space="preserve">. </w:t>
      </w:r>
      <w:r>
        <w:rPr>
          <w:i/>
          <w:sz w:val="20"/>
        </w:rPr>
        <w:t>Leica Geosystems AG’s Request for Waiver of part 15 of the Commission’s Rules to Market a UAV Collision Avoidance Radar</w:t>
      </w:r>
      <w:r>
        <w:rPr>
          <w:sz w:val="20"/>
        </w:rPr>
        <w:t>, ET Docket No. 19- 350 (filed Sept. 5, 2019) at 5.</w:t>
      </w:r>
    </w:p>
    <w:p w14:paraId="38320C9C" w14:textId="77777777" w:rsidR="00FC6D7C" w:rsidRDefault="002032AD">
      <w:pPr>
        <w:spacing w:before="115"/>
        <w:ind w:left="119" w:right="102"/>
        <w:rPr>
          <w:sz w:val="20"/>
        </w:rPr>
      </w:pPr>
      <w:bookmarkStart w:id="91" w:name="_bookmark82"/>
      <w:bookmarkEnd w:id="91"/>
      <w:r>
        <w:rPr>
          <w:position w:val="7"/>
          <w:sz w:val="13"/>
        </w:rPr>
        <w:t xml:space="preserve">76 </w:t>
      </w:r>
      <w:r>
        <w:rPr>
          <w:sz w:val="20"/>
        </w:rPr>
        <w:t xml:space="preserve">Letter from Alan Norman, Facebook, Inc.; Carlos Cordeiro, Intel Corporation; and John </w:t>
      </w:r>
      <w:proofErr w:type="spellStart"/>
      <w:r>
        <w:rPr>
          <w:sz w:val="20"/>
        </w:rPr>
        <w:t>Kuzin</w:t>
      </w:r>
      <w:proofErr w:type="spellEnd"/>
      <w:r>
        <w:rPr>
          <w:sz w:val="20"/>
        </w:rPr>
        <w:t>, Qualcomm Inc., to Marlene Dortch, FCC, ET Docket No. 21-48 (filed May 10, 2021) at 2.  This letter highlights the issues of coexistence between AR/VR communication devices and FDS devices and recommends modifying the existing duty cycle restriction in the multiple waivers to clarify that very short successive radar pulses should be counted as a contiguous on-time transmission interval.</w:t>
      </w:r>
    </w:p>
    <w:p w14:paraId="731A8ABF" w14:textId="77777777" w:rsidR="00FC6D7C" w:rsidRDefault="002032AD">
      <w:pPr>
        <w:spacing w:before="112"/>
        <w:ind w:left="120" w:right="283"/>
        <w:rPr>
          <w:sz w:val="20"/>
        </w:rPr>
      </w:pPr>
      <w:bookmarkStart w:id="92" w:name="_bookmark83"/>
      <w:bookmarkEnd w:id="92"/>
      <w:r>
        <w:rPr>
          <w:position w:val="7"/>
          <w:sz w:val="13"/>
        </w:rPr>
        <w:t xml:space="preserve">77 </w:t>
      </w:r>
      <w:r>
        <w:rPr>
          <w:i/>
          <w:sz w:val="20"/>
        </w:rPr>
        <w:t xml:space="preserve">Throughput </w:t>
      </w:r>
      <w:r>
        <w:rPr>
          <w:sz w:val="20"/>
        </w:rPr>
        <w:t xml:space="preserve">is the rate of successful message delivery over a communication channel. </w:t>
      </w:r>
      <w:r>
        <w:rPr>
          <w:i/>
          <w:sz w:val="20"/>
        </w:rPr>
        <w:t xml:space="preserve">Latency </w:t>
      </w:r>
      <w:r>
        <w:rPr>
          <w:sz w:val="20"/>
        </w:rPr>
        <w:t>refers to how much time it takes for a signal to travel to its destination and back.</w:t>
      </w:r>
    </w:p>
    <w:p w14:paraId="5C49A590" w14:textId="77777777" w:rsidR="00FC6D7C" w:rsidRDefault="002032AD">
      <w:pPr>
        <w:spacing w:before="115"/>
        <w:ind w:left="119"/>
        <w:rPr>
          <w:sz w:val="20"/>
        </w:rPr>
      </w:pPr>
      <w:bookmarkStart w:id="93" w:name="_bookmark84"/>
      <w:bookmarkEnd w:id="93"/>
      <w:r>
        <w:rPr>
          <w:position w:val="7"/>
          <w:sz w:val="13"/>
        </w:rPr>
        <w:t xml:space="preserve">78 </w:t>
      </w:r>
      <w:r>
        <w:rPr>
          <w:sz w:val="20"/>
        </w:rPr>
        <w:t xml:space="preserve">Letter from Alan Norman, Facebook, Inc.; Carlos Cordeiro, Intel Corporation; and John </w:t>
      </w:r>
      <w:proofErr w:type="spellStart"/>
      <w:r>
        <w:rPr>
          <w:sz w:val="20"/>
        </w:rPr>
        <w:t>Kuzin</w:t>
      </w:r>
      <w:proofErr w:type="spellEnd"/>
      <w:r>
        <w:rPr>
          <w:sz w:val="20"/>
        </w:rPr>
        <w:t>, Qualcomm Inc., to Marlene Dortch, FCC, ET Docket No. 21-48 (filed May 10, 2021) at 2.</w:t>
      </w:r>
    </w:p>
    <w:p w14:paraId="10617FF9" w14:textId="77777777" w:rsidR="00FC6D7C" w:rsidRDefault="002032AD">
      <w:pPr>
        <w:spacing w:before="113"/>
        <w:ind w:left="120" w:right="204"/>
        <w:rPr>
          <w:sz w:val="20"/>
        </w:rPr>
      </w:pPr>
      <w:bookmarkStart w:id="94" w:name="_bookmark85"/>
      <w:bookmarkEnd w:id="94"/>
      <w:r>
        <w:rPr>
          <w:position w:val="7"/>
          <w:sz w:val="13"/>
        </w:rPr>
        <w:t xml:space="preserve">79 </w:t>
      </w:r>
      <w:r>
        <w:rPr>
          <w:sz w:val="20"/>
        </w:rPr>
        <w:t>“Velocity aliasing” occurs when reflections arrive from reflectors moving fast enough for the Doppler frequency to exceed the pulse repetition frequency (PRF), thus resulting in errors.</w:t>
      </w:r>
    </w:p>
    <w:p w14:paraId="07773433" w14:textId="77777777" w:rsidR="00FC6D7C" w:rsidRDefault="002032AD">
      <w:pPr>
        <w:spacing w:before="115"/>
        <w:ind w:left="120" w:hanging="1"/>
        <w:rPr>
          <w:sz w:val="20"/>
        </w:rPr>
      </w:pPr>
      <w:bookmarkStart w:id="95" w:name="_bookmark86"/>
      <w:bookmarkEnd w:id="95"/>
      <w:r>
        <w:rPr>
          <w:position w:val="7"/>
          <w:sz w:val="13"/>
        </w:rPr>
        <w:t xml:space="preserve">80 </w:t>
      </w:r>
      <w:r>
        <w:rPr>
          <w:i/>
          <w:sz w:val="20"/>
        </w:rPr>
        <w:t xml:space="preserve">See </w:t>
      </w:r>
      <w:r>
        <w:rPr>
          <w:sz w:val="20"/>
        </w:rPr>
        <w:t>Letter from Megan Anne Stull, Google LLC, to Marlene Dortch, FCC, ET Docket No. 21-48 (filed May 17, 2021), at 2.</w:t>
      </w:r>
    </w:p>
    <w:p w14:paraId="031A399C" w14:textId="77777777" w:rsidR="00FC6D7C" w:rsidRDefault="002032AD">
      <w:pPr>
        <w:spacing w:before="115"/>
        <w:ind w:left="120"/>
        <w:rPr>
          <w:sz w:val="20"/>
        </w:rPr>
      </w:pPr>
      <w:bookmarkStart w:id="96" w:name="_bookmark87"/>
      <w:bookmarkEnd w:id="96"/>
      <w:r>
        <w:rPr>
          <w:position w:val="7"/>
          <w:sz w:val="13"/>
        </w:rPr>
        <w:t xml:space="preserve">81 </w:t>
      </w:r>
      <w:r>
        <w:rPr>
          <w:i/>
          <w:sz w:val="20"/>
        </w:rPr>
        <w:t>Id</w:t>
      </w:r>
      <w:r>
        <w:rPr>
          <w:sz w:val="20"/>
        </w:rPr>
        <w:t>. at 3.</w:t>
      </w:r>
    </w:p>
    <w:p w14:paraId="2020C82D" w14:textId="77777777" w:rsidR="00FC6D7C" w:rsidRDefault="00FC6D7C">
      <w:pPr>
        <w:rPr>
          <w:sz w:val="20"/>
        </w:rPr>
        <w:sectPr w:rsidR="00FC6D7C">
          <w:pgSz w:w="12240" w:h="15840"/>
          <w:pgMar w:top="980" w:right="1320" w:bottom="960" w:left="1320" w:header="727" w:footer="765" w:gutter="0"/>
          <w:cols w:space="720"/>
        </w:sectPr>
      </w:pPr>
    </w:p>
    <w:p w14:paraId="24AC2A29" w14:textId="77777777" w:rsidR="00FC6D7C" w:rsidRDefault="00FC6D7C">
      <w:pPr>
        <w:pStyle w:val="BodyText"/>
        <w:rPr>
          <w:sz w:val="20"/>
        </w:rPr>
      </w:pPr>
    </w:p>
    <w:p w14:paraId="7BDA4021" w14:textId="77777777" w:rsidR="00FC6D7C" w:rsidRDefault="00FC6D7C">
      <w:pPr>
        <w:pStyle w:val="BodyText"/>
        <w:spacing w:before="4"/>
      </w:pPr>
    </w:p>
    <w:p w14:paraId="7EDB3F00" w14:textId="1E0436F4" w:rsidR="00FC6D7C" w:rsidRDefault="002032AD">
      <w:pPr>
        <w:pStyle w:val="BodyText"/>
        <w:ind w:left="119" w:right="162" w:hanging="1"/>
      </w:pPr>
      <w:r>
        <w:t>on the pulse repetition frequency.</w:t>
      </w:r>
      <w:hyperlink w:anchor="_bookmark88" w:history="1">
        <w:r>
          <w:rPr>
            <w:position w:val="7"/>
            <w:sz w:val="13"/>
          </w:rPr>
          <w:t>82</w:t>
        </w:r>
      </w:hyperlink>
      <w:r>
        <w:rPr>
          <w:position w:val="7"/>
          <w:sz w:val="13"/>
        </w:rPr>
        <w:t xml:space="preserve"> </w:t>
      </w:r>
      <w:r>
        <w:t xml:space="preserve">In view of these apparent limitations with respect to maximum velocity and velocity resolution, is duty cycle a suitable parameter for regulation? Can limiting peak and average power within a defined band be a better approach than specifying a duty cycle? If regulating the duty cycle is </w:t>
      </w:r>
      <w:proofErr w:type="gramStart"/>
      <w:r>
        <w:t>necessary</w:t>
      </w:r>
      <w:proofErr w:type="gramEnd"/>
      <w:r>
        <w:t xml:space="preserve"> then how should it be defined? We </w:t>
      </w:r>
      <w:r w:rsidR="00264B52" w:rsidRPr="00264B52">
        <w:rPr>
          <w:highlight w:val="yellow"/>
        </w:rPr>
        <w:t>seek comment</w:t>
      </w:r>
      <w:r>
        <w:t xml:space="preserve"> and technical input on appropriate parameters for regulation including definition/characterization of the duty cycle with respect to radar devices.  We seek input on this issue to maximize the efficiency of both communications and radar operations without unduly degrading the operating environment for unlicensed users of the band or causing harmful interference to authorized users in the band. We also </w:t>
      </w:r>
      <w:r w:rsidR="00264B52" w:rsidRPr="00264B52">
        <w:rPr>
          <w:highlight w:val="yellow"/>
        </w:rPr>
        <w:t>seek comment</w:t>
      </w:r>
      <w:r>
        <w:t xml:space="preserve"> on whether radar signals could mimic the spectrum access protocols of communications devices to appear like any other communication signal thereby making a duty cycle restriction unnecessary.  We </w:t>
      </w:r>
      <w:r w:rsidR="00264B52" w:rsidRPr="00264B52">
        <w:rPr>
          <w:highlight w:val="yellow"/>
        </w:rPr>
        <w:t>seek comment</w:t>
      </w:r>
      <w:r>
        <w:t xml:space="preserve"> on whether the recent activities in the IEEE standards group examining channel access protocols that would enable the same 60 GHz system transmitting communication signals to transmit radar signals address this issue. Commenters should provide technical detail, studies and analyses supporting their position on how a duty cycle requirement for FDS devices should be specified.</w:t>
      </w:r>
    </w:p>
    <w:p w14:paraId="3C0CDD82" w14:textId="77777777" w:rsidR="00FC6D7C" w:rsidRDefault="002032AD">
      <w:pPr>
        <w:pStyle w:val="Heading1"/>
        <w:tabs>
          <w:tab w:val="left" w:pos="2279"/>
        </w:tabs>
        <w:spacing w:before="121"/>
      </w:pPr>
      <w:bookmarkStart w:id="97" w:name="4._60_GHz_Coexistence_Study_Group_(60CSG"/>
      <w:bookmarkEnd w:id="97"/>
      <w:r>
        <w:t>4.</w:t>
      </w:r>
      <w:r>
        <w:tab/>
        <w:t>60 GHz Coexistence Study Group (60CSG)</w:t>
      </w:r>
      <w:r>
        <w:rPr>
          <w:spacing w:val="-11"/>
        </w:rPr>
        <w:t xml:space="preserve"> </w:t>
      </w:r>
      <w:r>
        <w:t>Activities</w:t>
      </w:r>
    </w:p>
    <w:p w14:paraId="549A9D77" w14:textId="77777777" w:rsidR="00FC6D7C" w:rsidRDefault="002032AD">
      <w:pPr>
        <w:pStyle w:val="ListParagraph"/>
        <w:numPr>
          <w:ilvl w:val="0"/>
          <w:numId w:val="7"/>
        </w:numPr>
        <w:tabs>
          <w:tab w:val="left" w:pos="1559"/>
          <w:tab w:val="left" w:pos="1561"/>
        </w:tabs>
        <w:spacing w:before="116"/>
        <w:ind w:right="190" w:firstLine="721"/>
      </w:pPr>
      <w:r>
        <w:t>We note that the 60 GHz Co-existence Study Group’s activities have been geared toward developing “a consensus approach” to a framework for a potential Commission rulemaking, with discussions concerning duty cycles; transmission on- and off-times; operating bandwidth and channelization (e.g., radar implementations with 2-gigahertz, 4-gigahertz, 7-gigahertz-bandwidth); contention-based protocols; transmit power; and antenna gain.”</w:t>
      </w:r>
      <w:hyperlink w:anchor="_bookmark89" w:history="1">
        <w:r>
          <w:rPr>
            <w:position w:val="7"/>
            <w:sz w:val="13"/>
          </w:rPr>
          <w:t>83</w:t>
        </w:r>
      </w:hyperlink>
      <w:r>
        <w:rPr>
          <w:position w:val="7"/>
          <w:sz w:val="13"/>
        </w:rPr>
        <w:t xml:space="preserve"> </w:t>
      </w:r>
      <w:r>
        <w:t>Although representatives from the 60CSG recently informed us that the group has yet to achieve consensus on a recommended regulatory approach to accomplish coexistence among the diverse operations in the 60 GHz band, they also described several potential “frameworks” for further unlicensed development in this frequency range.</w:t>
      </w:r>
      <w:hyperlink w:anchor="_bookmark90" w:history="1">
        <w:r>
          <w:rPr>
            <w:position w:val="7"/>
            <w:sz w:val="13"/>
          </w:rPr>
          <w:t>84</w:t>
        </w:r>
      </w:hyperlink>
      <w:r>
        <w:rPr>
          <w:position w:val="7"/>
          <w:sz w:val="13"/>
        </w:rPr>
        <w:t xml:space="preserve"> </w:t>
      </w:r>
      <w:r>
        <w:t xml:space="preserve">These include establishing a single rule for radar operations in the 57-64 GHz portion of the 60 </w:t>
      </w:r>
      <w:r>
        <w:rPr>
          <w:spacing w:val="-2"/>
        </w:rPr>
        <w:t xml:space="preserve">GHz </w:t>
      </w:r>
      <w:r>
        <w:t>band,</w:t>
      </w:r>
      <w:hyperlink w:anchor="_bookmark91" w:history="1">
        <w:r>
          <w:rPr>
            <w:position w:val="7"/>
            <w:sz w:val="13"/>
          </w:rPr>
          <w:t>85</w:t>
        </w:r>
      </w:hyperlink>
      <w:r>
        <w:rPr>
          <w:position w:val="7"/>
          <w:sz w:val="13"/>
        </w:rPr>
        <w:t xml:space="preserve"> </w:t>
      </w:r>
      <w:r>
        <w:t>establishing a rule based on average power and/or average PSD limits that draws from the ETSI EN 305 550 standard, taking a channelization approach to radars in the 60 GHz band,</w:t>
      </w:r>
      <w:hyperlink w:anchor="_bookmark92" w:history="1">
        <w:r>
          <w:rPr>
            <w:position w:val="7"/>
            <w:sz w:val="13"/>
          </w:rPr>
          <w:t>86</w:t>
        </w:r>
      </w:hyperlink>
      <w:r>
        <w:rPr>
          <w:position w:val="7"/>
          <w:sz w:val="13"/>
        </w:rPr>
        <w:t xml:space="preserve"> </w:t>
      </w:r>
      <w:r>
        <w:t>and amending the rules to reflect different categories of technologies that operate in the 60 GHz band, such as allowing for different operating parameters when operating in a vehicle, indoors, or outdoors, or</w:t>
      </w:r>
      <w:r>
        <w:rPr>
          <w:spacing w:val="-20"/>
        </w:rPr>
        <w:t xml:space="preserve"> </w:t>
      </w:r>
      <w:r>
        <w:t>between</w:t>
      </w:r>
    </w:p>
    <w:p w14:paraId="4A97C4E2" w14:textId="77777777" w:rsidR="00FC6D7C" w:rsidRDefault="0023630A">
      <w:pPr>
        <w:pStyle w:val="BodyText"/>
        <w:spacing w:before="4"/>
        <w:rPr>
          <w:sz w:val="25"/>
        </w:rPr>
      </w:pPr>
      <w:r>
        <w:pict w14:anchorId="6D866332">
          <v:line id="_x0000_s1035" style="position:absolute;z-index:251660800;mso-wrap-distance-left:0;mso-wrap-distance-right:0;mso-position-horizontal-relative:page" from="1in,16.85pt" to="3in,16.85pt" strokeweight=".21131mm">
            <w10:wrap type="topAndBottom" anchorx="page"/>
          </v:line>
        </w:pict>
      </w:r>
    </w:p>
    <w:p w14:paraId="3B68E619" w14:textId="77777777" w:rsidR="00FC6D7C" w:rsidRDefault="002032AD">
      <w:pPr>
        <w:spacing w:before="60"/>
        <w:ind w:left="120" w:right="150"/>
        <w:rPr>
          <w:sz w:val="20"/>
        </w:rPr>
      </w:pPr>
      <w:bookmarkStart w:id="98" w:name="_bookmark88"/>
      <w:bookmarkEnd w:id="98"/>
      <w:r>
        <w:rPr>
          <w:position w:val="7"/>
          <w:sz w:val="13"/>
        </w:rPr>
        <w:t xml:space="preserve">82 </w:t>
      </w:r>
      <w:r>
        <w:rPr>
          <w:i/>
          <w:sz w:val="20"/>
        </w:rPr>
        <w:t xml:space="preserve">See </w:t>
      </w:r>
      <w:r>
        <w:rPr>
          <w:sz w:val="20"/>
        </w:rPr>
        <w:t xml:space="preserve">Pulse Doppler Radar, </w:t>
      </w:r>
      <w:hyperlink r:id="rId41">
        <w:r>
          <w:rPr>
            <w:color w:val="0000FF"/>
            <w:sz w:val="20"/>
            <w:u w:val="single" w:color="0000FF"/>
          </w:rPr>
          <w:t xml:space="preserve">http://user.engineering.uiowa.edu/~ece195/2006/docs/Doppler.pdf </w:t>
        </w:r>
      </w:hyperlink>
      <w:r>
        <w:rPr>
          <w:sz w:val="20"/>
        </w:rPr>
        <w:t xml:space="preserve">(last visited on June 21, 2021); </w:t>
      </w:r>
      <w:r>
        <w:rPr>
          <w:i/>
          <w:sz w:val="20"/>
        </w:rPr>
        <w:t xml:space="preserve">See also </w:t>
      </w:r>
      <w:r>
        <w:rPr>
          <w:sz w:val="20"/>
        </w:rPr>
        <w:t xml:space="preserve">Wikipedia, Pulse-Doppler Radar, </w:t>
      </w:r>
      <w:hyperlink r:id="rId42">
        <w:r>
          <w:rPr>
            <w:color w:val="0000FF"/>
            <w:sz w:val="20"/>
            <w:u w:val="single" w:color="0000FF"/>
          </w:rPr>
          <w:t xml:space="preserve">https://en.wikipedia.org/wiki/Pulse-Doppler_radar </w:t>
        </w:r>
      </w:hyperlink>
      <w:r>
        <w:rPr>
          <w:sz w:val="20"/>
        </w:rPr>
        <w:t>(last visited on June 21, 2021).</w:t>
      </w:r>
    </w:p>
    <w:p w14:paraId="4250184F" w14:textId="77777777" w:rsidR="00FC6D7C" w:rsidRDefault="002032AD">
      <w:pPr>
        <w:spacing w:before="115"/>
        <w:ind w:left="120" w:hanging="1"/>
        <w:rPr>
          <w:sz w:val="20"/>
        </w:rPr>
      </w:pPr>
      <w:bookmarkStart w:id="99" w:name="_bookmark89"/>
      <w:bookmarkEnd w:id="99"/>
      <w:r>
        <w:rPr>
          <w:position w:val="7"/>
          <w:sz w:val="13"/>
        </w:rPr>
        <w:t xml:space="preserve">83 </w:t>
      </w:r>
      <w:r>
        <w:rPr>
          <w:i/>
          <w:sz w:val="20"/>
        </w:rPr>
        <w:t xml:space="preserve">See </w:t>
      </w:r>
      <w:r>
        <w:rPr>
          <w:sz w:val="20"/>
        </w:rPr>
        <w:t>Letter from Megan Anne Stull, Google LLC, to Marlene Dortch, FCC, ET Docket No. 21-48 (filed May 17, 2021), at 3.</w:t>
      </w:r>
    </w:p>
    <w:p w14:paraId="15C176A1" w14:textId="77777777" w:rsidR="00FC6D7C" w:rsidRDefault="002032AD">
      <w:pPr>
        <w:spacing w:before="115"/>
        <w:ind w:left="119" w:right="163"/>
        <w:rPr>
          <w:sz w:val="20"/>
        </w:rPr>
      </w:pPr>
      <w:bookmarkStart w:id="100" w:name="_bookmark90"/>
      <w:bookmarkEnd w:id="100"/>
      <w:r>
        <w:rPr>
          <w:position w:val="7"/>
          <w:sz w:val="13"/>
        </w:rPr>
        <w:t xml:space="preserve">84 </w:t>
      </w:r>
      <w:r>
        <w:rPr>
          <w:sz w:val="20"/>
        </w:rPr>
        <w:t xml:space="preserve">Letter from </w:t>
      </w:r>
      <w:proofErr w:type="spellStart"/>
      <w:r>
        <w:rPr>
          <w:sz w:val="20"/>
        </w:rPr>
        <w:t>Acconeer</w:t>
      </w:r>
      <w:proofErr w:type="spellEnd"/>
      <w:r>
        <w:rPr>
          <w:sz w:val="20"/>
        </w:rPr>
        <w:t xml:space="preserve"> AB, Continental Automotive GmbH, Facebook, Inc., Google LLC, IEE Sensing Inc., Infineon Technologies, Intel Corporation, Qualcomm Incorporated, </w:t>
      </w:r>
      <w:proofErr w:type="spellStart"/>
      <w:r>
        <w:rPr>
          <w:sz w:val="20"/>
        </w:rPr>
        <w:t>Peraso</w:t>
      </w:r>
      <w:proofErr w:type="spellEnd"/>
      <w:r>
        <w:rPr>
          <w:sz w:val="20"/>
        </w:rPr>
        <w:t xml:space="preserve"> Technologies, Inc., Samsung Electronics America, </w:t>
      </w:r>
      <w:proofErr w:type="spellStart"/>
      <w:r>
        <w:rPr>
          <w:sz w:val="20"/>
        </w:rPr>
        <w:t>Socionext</w:t>
      </w:r>
      <w:proofErr w:type="spellEnd"/>
      <w:r>
        <w:rPr>
          <w:sz w:val="20"/>
        </w:rPr>
        <w:t xml:space="preserve">, America, Texas Instruments, Inc., and </w:t>
      </w:r>
      <w:proofErr w:type="spellStart"/>
      <w:r>
        <w:rPr>
          <w:sz w:val="20"/>
        </w:rPr>
        <w:t>Vayyar</w:t>
      </w:r>
      <w:proofErr w:type="spellEnd"/>
      <w:r>
        <w:rPr>
          <w:sz w:val="20"/>
        </w:rPr>
        <w:t xml:space="preserve"> Imaging Ltd., to Marlene Dortch, FCC, ET Docket No. 21-48 (filed June 17, 2021).</w:t>
      </w:r>
    </w:p>
    <w:p w14:paraId="39F0AF7E" w14:textId="77777777" w:rsidR="00FC6D7C" w:rsidRDefault="002032AD">
      <w:pPr>
        <w:spacing w:before="115"/>
        <w:ind w:left="119" w:right="246"/>
        <w:rPr>
          <w:i/>
          <w:sz w:val="20"/>
        </w:rPr>
      </w:pPr>
      <w:bookmarkStart w:id="101" w:name="_bookmark91"/>
      <w:bookmarkEnd w:id="101"/>
      <w:r>
        <w:rPr>
          <w:position w:val="7"/>
          <w:sz w:val="13"/>
        </w:rPr>
        <w:t xml:space="preserve">85 </w:t>
      </w:r>
      <w:r>
        <w:rPr>
          <w:sz w:val="20"/>
        </w:rPr>
        <w:t xml:space="preserve">This approach would specify parameters for peak </w:t>
      </w:r>
      <w:proofErr w:type="gramStart"/>
      <w:r>
        <w:rPr>
          <w:sz w:val="20"/>
        </w:rPr>
        <w:t>EIRP</w:t>
      </w:r>
      <w:proofErr w:type="gramEnd"/>
      <w:r>
        <w:rPr>
          <w:sz w:val="20"/>
        </w:rPr>
        <w:t xml:space="preserve"> and peak conducted power, with potential inclusion of limits on duty cycle. Some members of the 60CSG also suggest including a maximum time-on value (longest contiguous radar transmission) and/or a minimum time-off value (minimum time between radar transmissions such that the gap is considered “off” from the perspective of duty cycle calculation). </w:t>
      </w:r>
      <w:r>
        <w:rPr>
          <w:i/>
          <w:sz w:val="20"/>
        </w:rPr>
        <w:t>Id.</w:t>
      </w:r>
    </w:p>
    <w:p w14:paraId="618946AB" w14:textId="77777777" w:rsidR="00FC6D7C" w:rsidRDefault="002032AD">
      <w:pPr>
        <w:spacing w:before="115"/>
        <w:ind w:left="119"/>
        <w:rPr>
          <w:sz w:val="20"/>
        </w:rPr>
      </w:pPr>
      <w:bookmarkStart w:id="102" w:name="_bookmark92"/>
      <w:bookmarkEnd w:id="102"/>
      <w:r>
        <w:rPr>
          <w:position w:val="7"/>
          <w:sz w:val="13"/>
        </w:rPr>
        <w:t xml:space="preserve">86 </w:t>
      </w:r>
      <w:r>
        <w:rPr>
          <w:sz w:val="20"/>
        </w:rPr>
        <w:t xml:space="preserve">Under this approach, lower bandwidth radars could be aligned with existing IEEE 802.11 </w:t>
      </w:r>
      <w:proofErr w:type="spellStart"/>
      <w:r>
        <w:rPr>
          <w:sz w:val="20"/>
        </w:rPr>
        <w:t>WiGig</w:t>
      </w:r>
      <w:proofErr w:type="spellEnd"/>
      <w:r>
        <w:rPr>
          <w:sz w:val="20"/>
        </w:rPr>
        <w:t xml:space="preserve"> channels at the bottom of 57-64 GHz: 2.4 GHz radar in 57.0 - 59.4 GHz (</w:t>
      </w:r>
      <w:proofErr w:type="spellStart"/>
      <w:r>
        <w:rPr>
          <w:sz w:val="20"/>
        </w:rPr>
        <w:t>WiGig</w:t>
      </w:r>
      <w:proofErr w:type="spellEnd"/>
      <w:r>
        <w:rPr>
          <w:sz w:val="20"/>
        </w:rPr>
        <w:t xml:space="preserve"> channel 1), 4.5 GHz radar in 57.0-61.56 </w:t>
      </w:r>
      <w:proofErr w:type="gramStart"/>
      <w:r>
        <w:rPr>
          <w:sz w:val="20"/>
        </w:rPr>
        <w:t>GHz</w:t>
      </w:r>
      <w:proofErr w:type="gramEnd"/>
    </w:p>
    <w:p w14:paraId="6A68FC6A" w14:textId="77777777" w:rsidR="00FC6D7C" w:rsidRDefault="002032AD">
      <w:pPr>
        <w:ind w:left="119" w:right="102"/>
        <w:rPr>
          <w:i/>
          <w:sz w:val="20"/>
        </w:rPr>
      </w:pPr>
      <w:r>
        <w:rPr>
          <w:sz w:val="20"/>
        </w:rPr>
        <w:t>(</w:t>
      </w:r>
      <w:proofErr w:type="spellStart"/>
      <w:r>
        <w:rPr>
          <w:sz w:val="20"/>
        </w:rPr>
        <w:t>WiGig</w:t>
      </w:r>
      <w:proofErr w:type="spellEnd"/>
      <w:r>
        <w:rPr>
          <w:sz w:val="20"/>
        </w:rPr>
        <w:t xml:space="preserve"> channels 1 + 2), and 7 GHz radar in 57.0–64.0 GHz (</w:t>
      </w:r>
      <w:proofErr w:type="spellStart"/>
      <w:r>
        <w:rPr>
          <w:sz w:val="20"/>
        </w:rPr>
        <w:t>WiGig</w:t>
      </w:r>
      <w:proofErr w:type="spellEnd"/>
      <w:r>
        <w:rPr>
          <w:sz w:val="20"/>
        </w:rPr>
        <w:t xml:space="preserve"> channels 1 + 2 + 3). Different regulations (e.g., radar power and/or duty cycle) would apply to different radar bandwidths, with the principle of more flexible rules for narrower band radars (i.e., 2.4 GHz rules &gt; 4.5 GHz rules &gt; 7 GHz rules) to encourage channelization and use of only the required radar bandwidth. A further option could be added for radars that employ a contention-based protocol like listen-before-talk (LBT) or detect-and-avoid (DAA), to enable such radars more flexible operation. </w:t>
      </w:r>
      <w:r>
        <w:rPr>
          <w:i/>
          <w:sz w:val="20"/>
        </w:rPr>
        <w:t>Id.</w:t>
      </w:r>
    </w:p>
    <w:p w14:paraId="58A856BB" w14:textId="77777777" w:rsidR="00FC6D7C" w:rsidRDefault="00FC6D7C">
      <w:pPr>
        <w:rPr>
          <w:sz w:val="20"/>
        </w:rPr>
        <w:sectPr w:rsidR="00FC6D7C">
          <w:pgSz w:w="12240" w:h="15840"/>
          <w:pgMar w:top="980" w:right="1320" w:bottom="960" w:left="1320" w:header="727" w:footer="765" w:gutter="0"/>
          <w:cols w:space="720"/>
        </w:sectPr>
      </w:pPr>
    </w:p>
    <w:p w14:paraId="4D14372C" w14:textId="77777777" w:rsidR="00FC6D7C" w:rsidRDefault="00FC6D7C">
      <w:pPr>
        <w:pStyle w:val="BodyText"/>
        <w:rPr>
          <w:i/>
          <w:sz w:val="20"/>
        </w:rPr>
      </w:pPr>
    </w:p>
    <w:p w14:paraId="1B957AC3" w14:textId="77777777" w:rsidR="00FC6D7C" w:rsidRDefault="00FC6D7C">
      <w:pPr>
        <w:pStyle w:val="BodyText"/>
        <w:spacing w:before="4"/>
        <w:rPr>
          <w:i/>
        </w:rPr>
      </w:pPr>
    </w:p>
    <w:p w14:paraId="50935445" w14:textId="47BC16B6" w:rsidR="00FC6D7C" w:rsidRDefault="002032AD">
      <w:pPr>
        <w:pStyle w:val="BodyText"/>
        <w:ind w:left="119" w:right="138"/>
      </w:pPr>
      <w:r>
        <w:t xml:space="preserve">implementations that are fixed, mobile, or portable. We </w:t>
      </w:r>
      <w:r w:rsidR="00264B52" w:rsidRPr="00264B52">
        <w:rPr>
          <w:highlight w:val="yellow"/>
        </w:rPr>
        <w:t>seek comment</w:t>
      </w:r>
      <w:r>
        <w:t xml:space="preserve"> on the 60 GHz CSG filing. What are the technical trade-offs and cost/benefits for each framework? What parts of these four frameworks can we incorporate into our final rules to optimize the benefits and minimize the costs to all authorized 60 GHz users, and help us achieve our objective of fostering a greater variety of unlicensed uses in the 60 GHz band? We also seek input on the work results of any other coexistence standards activities (international and domestic) and/or cooperative works between communications and FDS study groups that may have taken place, and how such work may inform our proposals to expand unlicensed use of the band.</w:t>
      </w:r>
    </w:p>
    <w:p w14:paraId="3F14B535" w14:textId="77777777" w:rsidR="00FC6D7C" w:rsidRDefault="002032AD">
      <w:pPr>
        <w:pStyle w:val="Heading1"/>
        <w:tabs>
          <w:tab w:val="left" w:pos="2279"/>
        </w:tabs>
        <w:spacing w:before="116" w:line="244" w:lineRule="auto"/>
        <w:ind w:left="2280" w:right="646" w:hanging="721"/>
      </w:pPr>
      <w:bookmarkStart w:id="103" w:name="5._Removal_of_the_special_designation_fo"/>
      <w:bookmarkEnd w:id="103"/>
      <w:r>
        <w:t>5.</w:t>
      </w:r>
      <w:r>
        <w:tab/>
        <w:t>Removal of the special designation for motion-sensing mobile</w:t>
      </w:r>
      <w:r>
        <w:rPr>
          <w:spacing w:val="-17"/>
        </w:rPr>
        <w:t xml:space="preserve"> </w:t>
      </w:r>
      <w:r>
        <w:t>radars</w:t>
      </w:r>
      <w:r>
        <w:rPr>
          <w:spacing w:val="-1"/>
        </w:rPr>
        <w:t xml:space="preserve"> </w:t>
      </w:r>
      <w:r>
        <w:t>as SRIMS</w:t>
      </w:r>
    </w:p>
    <w:p w14:paraId="18787970" w14:textId="72DA2042" w:rsidR="00FC6D7C" w:rsidRDefault="002032AD">
      <w:pPr>
        <w:pStyle w:val="ListParagraph"/>
        <w:numPr>
          <w:ilvl w:val="0"/>
          <w:numId w:val="7"/>
        </w:numPr>
        <w:tabs>
          <w:tab w:val="left" w:pos="1559"/>
          <w:tab w:val="left" w:pos="1560"/>
        </w:tabs>
        <w:spacing w:before="111"/>
        <w:ind w:right="120" w:firstLine="720"/>
      </w:pPr>
      <w:r>
        <w:t>Because we are proposing to permit fixed and mobile radars to operate in the 60 GHz band, we believe it is no longer necessary to qualify an application as SRIMS to operate as a mobile radar under section 15.255. We therefore propose to remove this designation from the rules and replace it with the general designation of FDS devices for both fixed and mobile radars. As indicated, when adopting the rule for SRIMS, the Commission stated that it intended it to be a narrow application of mobile radar use, while continuing to prohibit general mobile radar use in section 15.255. As such, the Commission did not adopt a definition for SRIMS. Over the last few years, there has been much confusion on which 60 GHz mobile and fixed radar applications should qualify under the SRIMS designation.</w:t>
      </w:r>
      <w:hyperlink w:anchor="_bookmark93" w:history="1">
        <w:r>
          <w:rPr>
            <w:position w:val="7"/>
            <w:sz w:val="13"/>
          </w:rPr>
          <w:t>87</w:t>
        </w:r>
      </w:hyperlink>
      <w:r>
        <w:rPr>
          <w:position w:val="7"/>
          <w:sz w:val="13"/>
        </w:rPr>
        <w:t xml:space="preserve"> </w:t>
      </w:r>
      <w:r>
        <w:t>The Commission also requested input in response to the multiple 60 GHz waiver requests but was not able to make a bright-line determination for certain applications.</w:t>
      </w:r>
      <w:hyperlink w:anchor="_bookmark94" w:history="1">
        <w:r>
          <w:rPr>
            <w:position w:val="7"/>
            <w:sz w:val="13"/>
          </w:rPr>
          <w:t>88</w:t>
        </w:r>
      </w:hyperlink>
      <w:r>
        <w:rPr>
          <w:position w:val="7"/>
          <w:sz w:val="13"/>
        </w:rPr>
        <w:t xml:space="preserve"> </w:t>
      </w:r>
      <w:r>
        <w:t xml:space="preserve">We </w:t>
      </w:r>
      <w:r w:rsidR="00264B52" w:rsidRPr="00264B52">
        <w:rPr>
          <w:highlight w:val="yellow"/>
        </w:rPr>
        <w:t>seek comment</w:t>
      </w:r>
      <w:r>
        <w:t xml:space="preserve"> on the proposal to remove the SRIMS exception from section 15.255 and replace it with general rules covering all FDS devices. We also </w:t>
      </w:r>
      <w:r w:rsidR="00264B52" w:rsidRPr="00264B52">
        <w:rPr>
          <w:highlight w:val="yellow"/>
        </w:rPr>
        <w:t>seek comment</w:t>
      </w:r>
      <w:r>
        <w:t xml:space="preserve"> on the benefits or costs of this proposal with respect to 60 GHz authorized users. Parties that oppose removing the SRIMS designation from the rules should cite specific harms that they believe would result from making this change to the</w:t>
      </w:r>
      <w:r>
        <w:rPr>
          <w:spacing w:val="-12"/>
        </w:rPr>
        <w:t xml:space="preserve"> </w:t>
      </w:r>
      <w:r>
        <w:t>rules.</w:t>
      </w:r>
    </w:p>
    <w:p w14:paraId="60D78697" w14:textId="77777777" w:rsidR="00FC6D7C" w:rsidRDefault="002032AD">
      <w:pPr>
        <w:pStyle w:val="Heading1"/>
        <w:numPr>
          <w:ilvl w:val="1"/>
          <w:numId w:val="8"/>
        </w:numPr>
        <w:tabs>
          <w:tab w:val="left" w:pos="1560"/>
          <w:tab w:val="left" w:pos="1561"/>
        </w:tabs>
        <w:spacing w:before="121"/>
        <w:ind w:left="1560"/>
      </w:pPr>
      <w:bookmarkStart w:id="104" w:name="B._Mobile_Use_of_FDS_Devices_Operating_w"/>
      <w:bookmarkEnd w:id="104"/>
      <w:r>
        <w:t>Mobile Use of FDS Devices Operating within 61.0-61.5 GHz</w:t>
      </w:r>
      <w:r>
        <w:rPr>
          <w:spacing w:val="-14"/>
        </w:rPr>
        <w:t xml:space="preserve"> </w:t>
      </w:r>
      <w:r>
        <w:t>band</w:t>
      </w:r>
    </w:p>
    <w:p w14:paraId="475344F1" w14:textId="77777777" w:rsidR="00FC6D7C" w:rsidRDefault="002032AD">
      <w:pPr>
        <w:pStyle w:val="ListParagraph"/>
        <w:numPr>
          <w:ilvl w:val="0"/>
          <w:numId w:val="7"/>
        </w:numPr>
        <w:tabs>
          <w:tab w:val="left" w:pos="1560"/>
          <w:tab w:val="left" w:pos="1561"/>
        </w:tabs>
        <w:spacing w:before="117"/>
        <w:ind w:left="120" w:right="257" w:firstLine="720"/>
      </w:pPr>
      <w:r>
        <w:t>We next address Section 15.255(c)(2) of our rules, which permits a fixed FDS device to operate at up to 40 dBm average EIRP and at up to 43 dBm peak EIRP in the 61.0-61.5 GHz band segment.</w:t>
      </w:r>
      <w:hyperlink w:anchor="_bookmark95" w:history="1">
        <w:r>
          <w:rPr>
            <w:position w:val="7"/>
            <w:sz w:val="13"/>
          </w:rPr>
          <w:t>89</w:t>
        </w:r>
      </w:hyperlink>
      <w:r>
        <w:rPr>
          <w:position w:val="7"/>
          <w:sz w:val="13"/>
        </w:rPr>
        <w:t xml:space="preserve"> </w:t>
      </w:r>
      <w:r>
        <w:t>Under this rule, a fixed FDS device’s occupied bandwidth must be fully contained within the 500-megahertz bandwidth of the 61.0-61.5 GHz band; and it must attenuate its signals outside the</w:t>
      </w:r>
      <w:r>
        <w:rPr>
          <w:spacing w:val="-12"/>
        </w:rPr>
        <w:t xml:space="preserve"> </w:t>
      </w:r>
      <w:r>
        <w:t>61.0-</w:t>
      </w:r>
    </w:p>
    <w:p w14:paraId="6088B594" w14:textId="267F42F9" w:rsidR="00FC6D7C" w:rsidRDefault="002032AD">
      <w:pPr>
        <w:pStyle w:val="BodyText"/>
        <w:spacing w:before="1"/>
        <w:ind w:left="120" w:right="137"/>
      </w:pPr>
      <w:r>
        <w:t>61.5 GHz band, but still within the 57-71 GHz band, to less than 10 dBm average EIRP and 13 dBm peak EIRP.</w:t>
      </w:r>
      <w:hyperlink w:anchor="_bookmark96" w:history="1">
        <w:r>
          <w:rPr>
            <w:position w:val="7"/>
            <w:sz w:val="13"/>
          </w:rPr>
          <w:t>90</w:t>
        </w:r>
      </w:hyperlink>
      <w:r>
        <w:rPr>
          <w:position w:val="7"/>
          <w:sz w:val="13"/>
        </w:rPr>
        <w:t xml:space="preserve"> </w:t>
      </w:r>
      <w:r>
        <w:t xml:space="preserve">We believe that this rule is valuable insofar that it permits the operation of fixed FDS devices at power levels as high as communication devices, albeit restricted to a more narrow operating bandwidth, without being restricted to a specific duty cycle limit. As such, we propose to retain Section 15.255(c)(2) but also </w:t>
      </w:r>
      <w:r w:rsidR="00264B52" w:rsidRPr="00264B52">
        <w:rPr>
          <w:highlight w:val="yellow"/>
        </w:rPr>
        <w:t>seek comment</w:t>
      </w:r>
      <w:r>
        <w:t xml:space="preserve"> on whether we should expand this provision to apply to both fixed and mobile FDS applications. We </w:t>
      </w:r>
      <w:r w:rsidR="00264B52" w:rsidRPr="00264B52">
        <w:rPr>
          <w:highlight w:val="yellow"/>
        </w:rPr>
        <w:t>seek comment</w:t>
      </w:r>
      <w:r>
        <w:t xml:space="preserve"> on how useful this 500-megahertz bandwidth provision has been in practice in facilitating FDS device deployment, given that radars typically achieve better resolution with a</w:t>
      </w:r>
    </w:p>
    <w:p w14:paraId="77AADB69" w14:textId="77777777" w:rsidR="00FC6D7C" w:rsidRDefault="00FC6D7C">
      <w:pPr>
        <w:pStyle w:val="BodyText"/>
        <w:rPr>
          <w:sz w:val="20"/>
        </w:rPr>
      </w:pPr>
    </w:p>
    <w:p w14:paraId="70B03384" w14:textId="77777777" w:rsidR="00FC6D7C" w:rsidRDefault="00FC6D7C">
      <w:pPr>
        <w:pStyle w:val="BodyText"/>
        <w:rPr>
          <w:sz w:val="20"/>
        </w:rPr>
      </w:pPr>
    </w:p>
    <w:p w14:paraId="32B55035" w14:textId="77777777" w:rsidR="00FC6D7C" w:rsidRDefault="0023630A">
      <w:pPr>
        <w:pStyle w:val="BodyText"/>
        <w:spacing w:before="6"/>
        <w:rPr>
          <w:sz w:val="21"/>
        </w:rPr>
      </w:pPr>
      <w:r>
        <w:pict w14:anchorId="57987A16">
          <v:line id="_x0000_s1034" style="position:absolute;z-index:251661824;mso-wrap-distance-left:0;mso-wrap-distance-right:0;mso-position-horizontal-relative:page" from="1in,14.65pt" to="3in,14.65pt" strokeweight=".21131mm">
            <w10:wrap type="topAndBottom" anchorx="page"/>
          </v:line>
        </w:pict>
      </w:r>
    </w:p>
    <w:p w14:paraId="70D2C177" w14:textId="77777777" w:rsidR="00FC6D7C" w:rsidRDefault="002032AD">
      <w:pPr>
        <w:spacing w:before="60"/>
        <w:ind w:left="119" w:right="204"/>
        <w:rPr>
          <w:sz w:val="20"/>
        </w:rPr>
      </w:pPr>
      <w:bookmarkStart w:id="105" w:name="_bookmark93"/>
      <w:bookmarkEnd w:id="105"/>
      <w:r>
        <w:rPr>
          <w:position w:val="7"/>
          <w:sz w:val="13"/>
        </w:rPr>
        <w:t xml:space="preserve">87 </w:t>
      </w:r>
      <w:r>
        <w:rPr>
          <w:sz w:val="20"/>
        </w:rPr>
        <w:t xml:space="preserve">Many of the waiver requests filed with the Commission for higher power operation in section 15.255 argued that their devices are SRIMS to avoid asking for waiver of the definitional scope in 47 CFR § 15.255(a)(2), which prohibits mobile radars that do not qualify as SRIMS. </w:t>
      </w:r>
      <w:r>
        <w:rPr>
          <w:i/>
          <w:sz w:val="20"/>
        </w:rPr>
        <w:t>See, e.g.</w:t>
      </w:r>
      <w:r>
        <w:rPr>
          <w:sz w:val="20"/>
        </w:rPr>
        <w:t xml:space="preserve">, </w:t>
      </w:r>
      <w:proofErr w:type="spellStart"/>
      <w:r>
        <w:rPr>
          <w:i/>
          <w:sz w:val="20"/>
        </w:rPr>
        <w:t>Valeo</w:t>
      </w:r>
      <w:proofErr w:type="spellEnd"/>
      <w:r>
        <w:rPr>
          <w:i/>
          <w:sz w:val="20"/>
        </w:rPr>
        <w:t xml:space="preserve"> North America, Inc. Waiver Request</w:t>
      </w:r>
      <w:r>
        <w:rPr>
          <w:sz w:val="20"/>
        </w:rPr>
        <w:t>, ET Docket No. 20-121 (filed Mar. 31, 2020).</w:t>
      </w:r>
    </w:p>
    <w:p w14:paraId="6054E59E" w14:textId="77777777" w:rsidR="00FC6D7C" w:rsidRDefault="002032AD">
      <w:pPr>
        <w:spacing w:before="115"/>
        <w:ind w:left="120"/>
        <w:rPr>
          <w:sz w:val="20"/>
        </w:rPr>
      </w:pPr>
      <w:bookmarkStart w:id="106" w:name="_bookmark94"/>
      <w:bookmarkEnd w:id="106"/>
      <w:r>
        <w:rPr>
          <w:position w:val="7"/>
          <w:sz w:val="13"/>
        </w:rPr>
        <w:t xml:space="preserve">88 </w:t>
      </w:r>
      <w:r>
        <w:rPr>
          <w:i/>
          <w:sz w:val="20"/>
        </w:rPr>
        <w:t xml:space="preserve">See supra </w:t>
      </w:r>
      <w:r>
        <w:rPr>
          <w:sz w:val="20"/>
        </w:rPr>
        <w:t>note 17.</w:t>
      </w:r>
    </w:p>
    <w:p w14:paraId="33F9D41D" w14:textId="77777777" w:rsidR="00FC6D7C" w:rsidRDefault="002032AD">
      <w:pPr>
        <w:spacing w:before="113"/>
        <w:ind w:left="120"/>
        <w:rPr>
          <w:sz w:val="20"/>
        </w:rPr>
      </w:pPr>
      <w:bookmarkStart w:id="107" w:name="_bookmark95"/>
      <w:bookmarkEnd w:id="107"/>
      <w:r>
        <w:rPr>
          <w:position w:val="7"/>
          <w:sz w:val="13"/>
        </w:rPr>
        <w:t xml:space="preserve">89 </w:t>
      </w:r>
      <w:r>
        <w:rPr>
          <w:sz w:val="20"/>
        </w:rPr>
        <w:t xml:space="preserve">This band is also an Industrial, </w:t>
      </w:r>
      <w:proofErr w:type="gramStart"/>
      <w:r>
        <w:rPr>
          <w:sz w:val="20"/>
        </w:rPr>
        <w:t>Scientific</w:t>
      </w:r>
      <w:proofErr w:type="gramEnd"/>
      <w:r>
        <w:rPr>
          <w:sz w:val="20"/>
        </w:rPr>
        <w:t xml:space="preserve"> and Medical (ISM) frequency band. 47 CFR § 18.301.</w:t>
      </w:r>
    </w:p>
    <w:p w14:paraId="124B1DBA" w14:textId="77777777" w:rsidR="00FC6D7C" w:rsidRDefault="002032AD">
      <w:pPr>
        <w:spacing w:before="115"/>
        <w:ind w:left="119" w:right="124"/>
        <w:rPr>
          <w:sz w:val="20"/>
        </w:rPr>
      </w:pPr>
      <w:bookmarkStart w:id="108" w:name="_bookmark96"/>
      <w:bookmarkEnd w:id="108"/>
      <w:r>
        <w:rPr>
          <w:position w:val="7"/>
          <w:sz w:val="13"/>
        </w:rPr>
        <w:t xml:space="preserve">90 </w:t>
      </w:r>
      <w:r>
        <w:rPr>
          <w:sz w:val="20"/>
        </w:rPr>
        <w:t xml:space="preserve">47 CFR § 15.255(c)(2). This special provision was added in 1997 in </w:t>
      </w:r>
      <w:r>
        <w:rPr>
          <w:i/>
          <w:sz w:val="20"/>
        </w:rPr>
        <w:t>Amendment of Parts 2, 15, and 97 of the Commission's Rules to Permit Use of Radio Frequencies Above 40 GHz for New Radio Applications</w:t>
      </w:r>
      <w:r>
        <w:rPr>
          <w:sz w:val="20"/>
        </w:rPr>
        <w:t xml:space="preserve">, ET Docket No. 94-124, FCC 87-267, Memorandum Opinion and Order and Fourth Notice of Proposed Rulemaking, </w:t>
      </w:r>
      <w:r>
        <w:rPr>
          <w:color w:val="1D2B3E"/>
          <w:sz w:val="20"/>
        </w:rPr>
        <w:t xml:space="preserve">12 FCC </w:t>
      </w:r>
      <w:proofErr w:type="spellStart"/>
      <w:r>
        <w:rPr>
          <w:color w:val="1D2B3E"/>
          <w:sz w:val="20"/>
        </w:rPr>
        <w:t>Rcd</w:t>
      </w:r>
      <w:proofErr w:type="spellEnd"/>
      <w:r>
        <w:rPr>
          <w:color w:val="1D2B3E"/>
          <w:sz w:val="20"/>
        </w:rPr>
        <w:t xml:space="preserve"> 12212 (1997).</w:t>
      </w:r>
    </w:p>
    <w:p w14:paraId="66C01D18" w14:textId="77777777" w:rsidR="00FC6D7C" w:rsidRDefault="00FC6D7C">
      <w:pPr>
        <w:rPr>
          <w:sz w:val="20"/>
        </w:rPr>
        <w:sectPr w:rsidR="00FC6D7C">
          <w:pgSz w:w="12240" w:h="15840"/>
          <w:pgMar w:top="980" w:right="1320" w:bottom="960" w:left="1320" w:header="727" w:footer="765" w:gutter="0"/>
          <w:cols w:space="720"/>
        </w:sectPr>
      </w:pPr>
    </w:p>
    <w:p w14:paraId="73290838" w14:textId="77777777" w:rsidR="00FC6D7C" w:rsidRDefault="00FC6D7C">
      <w:pPr>
        <w:pStyle w:val="BodyText"/>
        <w:rPr>
          <w:sz w:val="20"/>
        </w:rPr>
      </w:pPr>
    </w:p>
    <w:p w14:paraId="082D38C5" w14:textId="77777777" w:rsidR="00FC6D7C" w:rsidRDefault="00FC6D7C">
      <w:pPr>
        <w:pStyle w:val="BodyText"/>
        <w:spacing w:before="4"/>
      </w:pPr>
    </w:p>
    <w:p w14:paraId="49E78ABF" w14:textId="57FC02C2" w:rsidR="00FC6D7C" w:rsidRDefault="002032AD">
      <w:pPr>
        <w:pStyle w:val="BodyText"/>
        <w:ind w:left="119" w:right="183"/>
      </w:pPr>
      <w:r>
        <w:t>wider bandwidth.</w:t>
      </w:r>
      <w:hyperlink w:anchor="_bookmark97" w:history="1">
        <w:r>
          <w:rPr>
            <w:position w:val="7"/>
            <w:sz w:val="13"/>
          </w:rPr>
          <w:t>91</w:t>
        </w:r>
      </w:hyperlink>
      <w:r>
        <w:rPr>
          <w:position w:val="7"/>
          <w:sz w:val="13"/>
        </w:rPr>
        <w:t xml:space="preserve"> </w:t>
      </w:r>
      <w:r>
        <w:t xml:space="preserve">What FDS applications currently are being enabled using the higher power levels permitted in the 61.0-61.5 GHz band? Could we expect that expanding Section 15.255(c)(2) would result in new mobile FDS applications, and if </w:t>
      </w:r>
      <w:proofErr w:type="gramStart"/>
      <w:r>
        <w:t>so</w:t>
      </w:r>
      <w:proofErr w:type="gramEnd"/>
      <w:r>
        <w:t xml:space="preserve"> would they perform functions that otherwise would not be possible under the existing rules? How would expanding the rule affect the spectrum environment for all users of the band? What costs and benefits would be associated with such an action?  </w:t>
      </w:r>
      <w:proofErr w:type="gramStart"/>
      <w:r>
        <w:t>In particular, we</w:t>
      </w:r>
      <w:proofErr w:type="gramEnd"/>
      <w:r>
        <w:t xml:space="preserve"> </w:t>
      </w:r>
      <w:r w:rsidR="00264B52" w:rsidRPr="00264B52">
        <w:rPr>
          <w:highlight w:val="yellow"/>
        </w:rPr>
        <w:t>seek comment</w:t>
      </w:r>
      <w:r>
        <w:t xml:space="preserve"> and technical analyses on these issues to develop a comprehensive record.</w:t>
      </w:r>
    </w:p>
    <w:p w14:paraId="52C2AF88" w14:textId="2C2D3300" w:rsidR="00FC6D7C" w:rsidRDefault="002032AD">
      <w:pPr>
        <w:pStyle w:val="ListParagraph"/>
        <w:numPr>
          <w:ilvl w:val="0"/>
          <w:numId w:val="7"/>
        </w:numPr>
        <w:tabs>
          <w:tab w:val="left" w:pos="1559"/>
          <w:tab w:val="left" w:pos="1560"/>
        </w:tabs>
        <w:spacing w:before="118"/>
        <w:ind w:right="187" w:firstLine="720"/>
      </w:pPr>
      <w:r>
        <w:t xml:space="preserve">Section 15.255(c)(2) requires the average power of any emission outside of the 61.0-61.5 GHz band, measured during the transmit interval, to be less than or equal to 10 dBm, and similarly the peak power of any emission to be less than or equal to 13 dBm. Because no measurement bandwidth is currently specified in the rule, we </w:t>
      </w:r>
      <w:r w:rsidR="00264B52" w:rsidRPr="00264B52">
        <w:rPr>
          <w:highlight w:val="yellow"/>
        </w:rPr>
        <w:t>seek comment</w:t>
      </w:r>
      <w:r>
        <w:t xml:space="preserve"> on whether this requirement is sufficiently specific. Should these limits be specified in terms of power spectral density (PSD)? If so, what are the required peak and average power densities outside of the 61.0-61.5 GHz band? The reference bandwidth that the Commission often uses for specification of the spurious domain emission levels for frequency bands above 1 GHz is 1 megahertz.</w:t>
      </w:r>
      <w:hyperlink w:anchor="_bookmark98" w:history="1">
        <w:r>
          <w:rPr>
            <w:position w:val="7"/>
            <w:sz w:val="13"/>
          </w:rPr>
          <w:t>92</w:t>
        </w:r>
      </w:hyperlink>
      <w:r>
        <w:rPr>
          <w:position w:val="7"/>
          <w:sz w:val="13"/>
        </w:rPr>
        <w:t xml:space="preserve"> </w:t>
      </w:r>
      <w:r>
        <w:t xml:space="preserve">We </w:t>
      </w:r>
      <w:r w:rsidR="00264B52" w:rsidRPr="00264B52">
        <w:rPr>
          <w:highlight w:val="yellow"/>
        </w:rPr>
        <w:t>seek comment</w:t>
      </w:r>
      <w:r>
        <w:t xml:space="preserve"> on the appropriate reference bandwidth for PSD for emission outside of the 61.0-61.5 GHz band.  Are any other additional requirements</w:t>
      </w:r>
      <w:r>
        <w:rPr>
          <w:spacing w:val="-23"/>
        </w:rPr>
        <w:t xml:space="preserve"> </w:t>
      </w:r>
      <w:r>
        <w:t>necessary?</w:t>
      </w:r>
    </w:p>
    <w:p w14:paraId="11D4CEB3" w14:textId="6F29CCB1" w:rsidR="00FC6D7C" w:rsidRDefault="002032AD">
      <w:pPr>
        <w:pStyle w:val="ListParagraph"/>
        <w:numPr>
          <w:ilvl w:val="0"/>
          <w:numId w:val="7"/>
        </w:numPr>
        <w:tabs>
          <w:tab w:val="left" w:pos="1560"/>
          <w:tab w:val="left" w:pos="1561"/>
        </w:tabs>
        <w:spacing w:before="116"/>
        <w:ind w:right="126" w:firstLine="721"/>
      </w:pPr>
      <w:r>
        <w:t xml:space="preserve">To the extent that we retain provisions in section 15.255 that specifically permit fixed FDS operations, we </w:t>
      </w:r>
      <w:r w:rsidR="00264B52" w:rsidRPr="00264B52">
        <w:rPr>
          <w:highlight w:val="yellow"/>
        </w:rPr>
        <w:t>seek comment</w:t>
      </w:r>
      <w:r>
        <w:t xml:space="preserve"> on how we should interpret “fixed” and whether we should incorporate a specific definition for the term into our Part 15 rules.</w:t>
      </w:r>
      <w:hyperlink w:anchor="_bookmark99" w:history="1">
        <w:r>
          <w:rPr>
            <w:position w:val="7"/>
            <w:sz w:val="13"/>
          </w:rPr>
          <w:t>93</w:t>
        </w:r>
      </w:hyperlink>
      <w:r>
        <w:rPr>
          <w:position w:val="7"/>
          <w:sz w:val="13"/>
        </w:rPr>
        <w:t xml:space="preserve"> </w:t>
      </w:r>
      <w:r>
        <w:t>When OET granted the automotive waivers, it noted that the Commission did not specifically address whether the rule permits something that is inherently mobile (such as an automobile) to be treated as fixed in certain circumstances, and left any determination of what constitutes “fixed” and “mobile” operation under the rule for separate consideration.</w:t>
      </w:r>
      <w:hyperlink w:anchor="_bookmark100" w:history="1">
        <w:r>
          <w:rPr>
            <w:position w:val="7"/>
            <w:sz w:val="13"/>
          </w:rPr>
          <w:t>94</w:t>
        </w:r>
      </w:hyperlink>
      <w:r>
        <w:rPr>
          <w:position w:val="7"/>
          <w:sz w:val="13"/>
        </w:rPr>
        <w:t xml:space="preserve"> </w:t>
      </w:r>
      <w:r>
        <w:t>A review of the 1998 Report and Order that first permitted fixed FDS use in the band would suggest that the Commission was anticipating a narrow set of applications that would be used in industrial settings where the equipment would rarely if ever be moved.</w:t>
      </w:r>
      <w:hyperlink w:anchor="_bookmark101" w:history="1">
        <w:r>
          <w:rPr>
            <w:position w:val="7"/>
            <w:sz w:val="13"/>
          </w:rPr>
          <w:t>95</w:t>
        </w:r>
      </w:hyperlink>
      <w:r>
        <w:rPr>
          <w:position w:val="7"/>
          <w:sz w:val="13"/>
        </w:rPr>
        <w:t xml:space="preserve"> </w:t>
      </w:r>
      <w:r>
        <w:t>However, in light of the wide range of potential FDS applications that now have been identified for the 60 GHz band and our general inclination to provide as expansive an opportunity for unlicensed operations in a particular band as is practical, we tentatively conclude that a broader view is appropriate.  We tentatively conclude that</w:t>
      </w:r>
      <w:r>
        <w:rPr>
          <w:spacing w:val="-22"/>
        </w:rPr>
        <w:t xml:space="preserve"> </w:t>
      </w:r>
      <w:r>
        <w:t>we</w:t>
      </w:r>
    </w:p>
    <w:p w14:paraId="2C0A57C9" w14:textId="77777777" w:rsidR="00FC6D7C" w:rsidRDefault="0023630A">
      <w:pPr>
        <w:pStyle w:val="BodyText"/>
        <w:spacing w:before="4"/>
        <w:rPr>
          <w:sz w:val="24"/>
        </w:rPr>
      </w:pPr>
      <w:r>
        <w:pict w14:anchorId="0F9080D3">
          <v:line id="_x0000_s1033" style="position:absolute;z-index:251662848;mso-wrap-distance-left:0;mso-wrap-distance-right:0;mso-position-horizontal-relative:page" from="1in,16.3pt" to="3in,16.3pt" strokeweight=".6pt">
            <w10:wrap type="topAndBottom" anchorx="page"/>
          </v:line>
        </w:pict>
      </w:r>
    </w:p>
    <w:p w14:paraId="23D67AAF" w14:textId="77777777" w:rsidR="00FC6D7C" w:rsidRDefault="002032AD">
      <w:pPr>
        <w:spacing w:before="60"/>
        <w:ind w:left="120" w:right="474"/>
        <w:rPr>
          <w:sz w:val="20"/>
        </w:rPr>
      </w:pPr>
      <w:bookmarkStart w:id="109" w:name="_bookmark97"/>
      <w:bookmarkEnd w:id="109"/>
      <w:r>
        <w:rPr>
          <w:position w:val="7"/>
          <w:sz w:val="13"/>
        </w:rPr>
        <w:t xml:space="preserve">91 </w:t>
      </w:r>
      <w:r>
        <w:rPr>
          <w:sz w:val="20"/>
        </w:rPr>
        <w:t xml:space="preserve">Since the provision of 47 CFR 15.255(c)(2) was adopted in 1997, there are 3 certification grants shown in the FCC Equipment Authorization database for radars operating under this provision. </w:t>
      </w:r>
      <w:r>
        <w:rPr>
          <w:i/>
          <w:color w:val="303030"/>
          <w:sz w:val="20"/>
        </w:rPr>
        <w:t xml:space="preserve">See </w:t>
      </w:r>
      <w:proofErr w:type="spellStart"/>
      <w:r>
        <w:rPr>
          <w:color w:val="303030"/>
          <w:sz w:val="20"/>
        </w:rPr>
        <w:t>Symeo</w:t>
      </w:r>
      <w:proofErr w:type="spellEnd"/>
      <w:r>
        <w:rPr>
          <w:color w:val="303030"/>
          <w:sz w:val="20"/>
        </w:rPr>
        <w:t xml:space="preserve"> </w:t>
      </w:r>
      <w:proofErr w:type="spellStart"/>
      <w:r>
        <w:rPr>
          <w:color w:val="303030"/>
          <w:sz w:val="20"/>
        </w:rPr>
        <w:t>Gmbh</w:t>
      </w:r>
      <w:proofErr w:type="spellEnd"/>
      <w:r>
        <w:rPr>
          <w:color w:val="303030"/>
          <w:sz w:val="20"/>
        </w:rPr>
        <w:t xml:space="preserve">, FCC ID </w:t>
      </w:r>
      <w:r>
        <w:rPr>
          <w:sz w:val="20"/>
        </w:rPr>
        <w:t xml:space="preserve">W5ILPR-1DHP (2012); Google LLC, FCC ID A4R-G4CVZ (2020); and </w:t>
      </w:r>
      <w:proofErr w:type="spellStart"/>
      <w:r>
        <w:rPr>
          <w:sz w:val="20"/>
        </w:rPr>
        <w:t>Vayyar</w:t>
      </w:r>
      <w:proofErr w:type="spellEnd"/>
      <w:r>
        <w:rPr>
          <w:sz w:val="20"/>
        </w:rPr>
        <w:t xml:space="preserve"> Imaging Ltd., FCC ID 2AHIS-</w:t>
      </w:r>
    </w:p>
    <w:p w14:paraId="762D5C0B" w14:textId="77777777" w:rsidR="00FC6D7C" w:rsidRDefault="002032AD">
      <w:pPr>
        <w:ind w:left="119" w:right="103"/>
        <w:rPr>
          <w:sz w:val="20"/>
        </w:rPr>
      </w:pPr>
      <w:r>
        <w:rPr>
          <w:sz w:val="20"/>
        </w:rPr>
        <w:t xml:space="preserve">V60G-HOME-I (2021.) </w:t>
      </w:r>
      <w:r>
        <w:rPr>
          <w:i/>
          <w:sz w:val="20"/>
        </w:rPr>
        <w:t>See also</w:t>
      </w:r>
      <w:r>
        <w:rPr>
          <w:sz w:val="20"/>
        </w:rPr>
        <w:t xml:space="preserve">, </w:t>
      </w:r>
      <w:r>
        <w:rPr>
          <w:i/>
          <w:sz w:val="20"/>
        </w:rPr>
        <w:t xml:space="preserve">Amendment of Parts 2, 15 and 97 of the Commission’s Rules to Permit Use of Radio Frequencies Above 40 GHz for New Radio Applications, </w:t>
      </w:r>
      <w:r>
        <w:rPr>
          <w:sz w:val="20"/>
        </w:rPr>
        <w:t xml:space="preserve">ET Docket No. 94-124, FCC 97-267, Memorandum Opinion and Order and Fourth Notice of Proposed Rulemaking, </w:t>
      </w:r>
      <w:r>
        <w:rPr>
          <w:color w:val="1D2B3E"/>
          <w:sz w:val="20"/>
        </w:rPr>
        <w:t xml:space="preserve">12 FCC </w:t>
      </w:r>
      <w:proofErr w:type="spellStart"/>
      <w:r>
        <w:rPr>
          <w:color w:val="1D2B3E"/>
          <w:sz w:val="20"/>
        </w:rPr>
        <w:t>Rcd</w:t>
      </w:r>
      <w:proofErr w:type="spellEnd"/>
      <w:r>
        <w:rPr>
          <w:color w:val="1D2B3E"/>
          <w:sz w:val="20"/>
        </w:rPr>
        <w:t xml:space="preserve"> 12212</w:t>
      </w:r>
      <w:r>
        <w:rPr>
          <w:sz w:val="20"/>
        </w:rPr>
        <w:t xml:space="preserve">, 12214-15 (1997). We note for example that IEE Sensing Inc. (IEE Sensing) has requested a waiver of the 500-megahertz bandwidth requirement of 47 CFR § 15.255(c)(3) because its </w:t>
      </w:r>
      <w:proofErr w:type="spellStart"/>
      <w:r>
        <w:rPr>
          <w:sz w:val="20"/>
        </w:rPr>
        <w:t>VitaSense</w:t>
      </w:r>
      <w:proofErr w:type="spellEnd"/>
      <w:r>
        <w:rPr>
          <w:sz w:val="20"/>
        </w:rPr>
        <w:t xml:space="preserve"> radar needs a bandwidth of four gigahertz to eliminate errors in detection.  </w:t>
      </w:r>
      <w:r>
        <w:rPr>
          <w:i/>
          <w:sz w:val="20"/>
        </w:rPr>
        <w:t xml:space="preserve">See IEE Sensing Inc. Request for Waiver of Sections 15.255(c)(2) and (c)(3) of the Commission’s Rules for Vehicle Radar Operation in the frequency band 60-64 GHz, </w:t>
      </w:r>
      <w:r>
        <w:rPr>
          <w:sz w:val="20"/>
        </w:rPr>
        <w:t>ET Docket No. 20-435 (filed Nov. 16, 2020).</w:t>
      </w:r>
    </w:p>
    <w:p w14:paraId="45311558" w14:textId="77777777" w:rsidR="00FC6D7C" w:rsidRDefault="002032AD">
      <w:pPr>
        <w:spacing w:before="115"/>
        <w:ind w:left="119" w:right="102"/>
        <w:rPr>
          <w:sz w:val="20"/>
        </w:rPr>
      </w:pPr>
      <w:bookmarkStart w:id="110" w:name="_bookmark98"/>
      <w:bookmarkEnd w:id="110"/>
      <w:r>
        <w:rPr>
          <w:position w:val="7"/>
          <w:sz w:val="13"/>
        </w:rPr>
        <w:t xml:space="preserve">92 </w:t>
      </w:r>
      <w:r>
        <w:rPr>
          <w:i/>
          <w:sz w:val="20"/>
        </w:rPr>
        <w:t>See Use of Spectrum Bands Above 24 GHz For Mobile Radio Services</w:t>
      </w:r>
      <w:r>
        <w:rPr>
          <w:sz w:val="20"/>
        </w:rPr>
        <w:t xml:space="preserve">, GN Docket 14-177, FCC 168916-89, Report and Order and Further Notice of Proposed Rulemaking, 31 FCC </w:t>
      </w:r>
      <w:proofErr w:type="spellStart"/>
      <w:r>
        <w:rPr>
          <w:sz w:val="20"/>
        </w:rPr>
        <w:t>Rcd</w:t>
      </w:r>
      <w:proofErr w:type="spellEnd"/>
      <w:r>
        <w:rPr>
          <w:sz w:val="20"/>
        </w:rPr>
        <w:t xml:space="preserve"> 8014, 8121, para. 304 (2016). </w:t>
      </w:r>
      <w:r>
        <w:rPr>
          <w:i/>
          <w:sz w:val="20"/>
        </w:rPr>
        <w:t>See also</w:t>
      </w:r>
      <w:r>
        <w:rPr>
          <w:sz w:val="20"/>
        </w:rPr>
        <w:t xml:space="preserve">, </w:t>
      </w:r>
      <w:r>
        <w:rPr>
          <w:i/>
          <w:sz w:val="20"/>
        </w:rPr>
        <w:t>Use of Spectrum Bands Above 24 GHz For Mobile Radio Services</w:t>
      </w:r>
      <w:r>
        <w:rPr>
          <w:sz w:val="20"/>
        </w:rPr>
        <w:t xml:space="preserve">, GN Docket 14-177, FCC 15-138, Notice of Proposed Rulemaking, 30 FCC </w:t>
      </w:r>
      <w:proofErr w:type="spellStart"/>
      <w:r>
        <w:rPr>
          <w:sz w:val="20"/>
        </w:rPr>
        <w:t>Rcd</w:t>
      </w:r>
      <w:proofErr w:type="spellEnd"/>
      <w:r>
        <w:rPr>
          <w:sz w:val="20"/>
        </w:rPr>
        <w:t xml:space="preserve"> 11878, 11959, para. 281 (2015).</w:t>
      </w:r>
    </w:p>
    <w:p w14:paraId="070CBAD9" w14:textId="77777777" w:rsidR="00FC6D7C" w:rsidRDefault="002032AD">
      <w:pPr>
        <w:spacing w:before="115"/>
        <w:ind w:left="120" w:hanging="1"/>
        <w:rPr>
          <w:sz w:val="20"/>
        </w:rPr>
      </w:pPr>
      <w:bookmarkStart w:id="111" w:name="_bookmark99"/>
      <w:bookmarkEnd w:id="111"/>
      <w:r>
        <w:rPr>
          <w:position w:val="7"/>
          <w:sz w:val="13"/>
        </w:rPr>
        <w:t xml:space="preserve">93 </w:t>
      </w:r>
      <w:r>
        <w:rPr>
          <w:sz w:val="20"/>
        </w:rPr>
        <w:t>The general definitions in Part 2 of our rules provide no guidance. Section 2.1 defines “Fixed Service” as “A radiocommunication service between specified fixed points,” which is not relevant to FDS operations.</w:t>
      </w:r>
    </w:p>
    <w:p w14:paraId="0E68BD33" w14:textId="77777777" w:rsidR="00FC6D7C" w:rsidRDefault="002032AD">
      <w:pPr>
        <w:spacing w:before="115"/>
        <w:ind w:left="120"/>
        <w:rPr>
          <w:sz w:val="20"/>
        </w:rPr>
      </w:pPr>
      <w:bookmarkStart w:id="112" w:name="_bookmark100"/>
      <w:bookmarkEnd w:id="112"/>
      <w:r>
        <w:rPr>
          <w:position w:val="7"/>
          <w:sz w:val="13"/>
        </w:rPr>
        <w:t xml:space="preserve">94 </w:t>
      </w:r>
      <w:r>
        <w:rPr>
          <w:i/>
          <w:sz w:val="20"/>
        </w:rPr>
        <w:t>60 GHz Vehicle Radar Waiver</w:t>
      </w:r>
      <w:r>
        <w:rPr>
          <w:sz w:val="20"/>
        </w:rPr>
        <w:t>, ET Docket Nos. 20-15, 20-121, 20-263, 20-264, 20-434, 20-435, DA 21-407,</w:t>
      </w:r>
    </w:p>
    <w:p w14:paraId="632F0100" w14:textId="77777777" w:rsidR="00FC6D7C" w:rsidRDefault="002032AD">
      <w:pPr>
        <w:ind w:left="119"/>
        <w:rPr>
          <w:sz w:val="20"/>
        </w:rPr>
      </w:pPr>
      <w:r>
        <w:rPr>
          <w:sz w:val="20"/>
        </w:rPr>
        <w:t>Order (2021) at para. 48.</w:t>
      </w:r>
    </w:p>
    <w:p w14:paraId="1D46550A" w14:textId="77777777" w:rsidR="00FC6D7C" w:rsidRDefault="002032AD">
      <w:pPr>
        <w:spacing w:before="113"/>
        <w:ind w:left="119" w:right="183"/>
        <w:rPr>
          <w:sz w:val="20"/>
        </w:rPr>
      </w:pPr>
      <w:bookmarkStart w:id="113" w:name="_bookmark101"/>
      <w:bookmarkEnd w:id="113"/>
      <w:r>
        <w:rPr>
          <w:position w:val="7"/>
          <w:sz w:val="13"/>
        </w:rPr>
        <w:t xml:space="preserve">95 </w:t>
      </w:r>
      <w:r>
        <w:rPr>
          <w:i/>
          <w:sz w:val="20"/>
        </w:rPr>
        <w:t>See Revision of Part 15 of the Commission’s Rules Regarding Operation in the 57-64 GHz Band</w:t>
      </w:r>
      <w:r>
        <w:rPr>
          <w:sz w:val="20"/>
        </w:rPr>
        <w:t xml:space="preserve">, Third Report and Order, 13 FCC </w:t>
      </w:r>
      <w:proofErr w:type="spellStart"/>
      <w:r>
        <w:rPr>
          <w:sz w:val="20"/>
        </w:rPr>
        <w:t>Rcd</w:t>
      </w:r>
      <w:proofErr w:type="spellEnd"/>
      <w:r>
        <w:rPr>
          <w:sz w:val="20"/>
        </w:rPr>
        <w:t xml:space="preserve"> 15074 (1998). The current rule’s provision allowing the FDS move within the fixed equipment would support, for example a piece of large-scale industrial machinery located on a factory floor. </w:t>
      </w:r>
      <w:r>
        <w:rPr>
          <w:i/>
          <w:sz w:val="20"/>
        </w:rPr>
        <w:t xml:space="preserve">See </w:t>
      </w:r>
      <w:r>
        <w:rPr>
          <w:sz w:val="20"/>
        </w:rPr>
        <w:t>47 CFR § 15.255(a)(2).</w:t>
      </w:r>
    </w:p>
    <w:p w14:paraId="2E3913A9" w14:textId="77777777" w:rsidR="00FC6D7C" w:rsidRDefault="00FC6D7C">
      <w:pPr>
        <w:rPr>
          <w:sz w:val="20"/>
        </w:rPr>
        <w:sectPr w:rsidR="00FC6D7C">
          <w:pgSz w:w="12240" w:h="15840"/>
          <w:pgMar w:top="980" w:right="1320" w:bottom="960" w:left="1320" w:header="727" w:footer="765" w:gutter="0"/>
          <w:cols w:space="720"/>
        </w:sectPr>
      </w:pPr>
    </w:p>
    <w:p w14:paraId="5EB4089E" w14:textId="77777777" w:rsidR="00FC6D7C" w:rsidRDefault="00FC6D7C">
      <w:pPr>
        <w:pStyle w:val="BodyText"/>
        <w:rPr>
          <w:sz w:val="20"/>
        </w:rPr>
      </w:pPr>
    </w:p>
    <w:p w14:paraId="3BBB8784" w14:textId="77777777" w:rsidR="00FC6D7C" w:rsidRDefault="00FC6D7C">
      <w:pPr>
        <w:pStyle w:val="BodyText"/>
        <w:spacing w:before="4"/>
      </w:pPr>
    </w:p>
    <w:p w14:paraId="244A9EEF" w14:textId="2DC18121" w:rsidR="00FC6D7C" w:rsidRDefault="002032AD">
      <w:pPr>
        <w:pStyle w:val="BodyText"/>
        <w:ind w:left="119" w:right="224"/>
      </w:pPr>
      <w:r>
        <w:t xml:space="preserve">should interpret fixed FDS operations as those instances where an FDS device is stationary and is operating at a discrete location for an indefinite – </w:t>
      </w:r>
      <w:r>
        <w:rPr>
          <w:i/>
        </w:rPr>
        <w:t>i.e.</w:t>
      </w:r>
      <w:r>
        <w:t xml:space="preserve">, more than mere transitory – period. We envision this interpretation would allow for a device that is used in a household and easily moved from room to room to operate in different parts of the residence, but that an automotive-mounted radar that operates when the car is stopped while the ignition is engaged would be too transitory to qualify. We </w:t>
      </w:r>
      <w:r w:rsidR="00264B52" w:rsidRPr="00264B52">
        <w:rPr>
          <w:highlight w:val="yellow"/>
        </w:rPr>
        <w:t>seek comment</w:t>
      </w:r>
      <w:r>
        <w:t xml:space="preserve"> on this proposal. Does it provide a sufficient bright-line rule for device operation? Will it provide other unlicensed and authorized users in the 60 GHz band with sufficient confidence that they will be able to identify and resolve any degradation of the operational environment caused by these fixed users?</w:t>
      </w:r>
      <w:hyperlink w:anchor="_bookmark102" w:history="1">
        <w:r>
          <w:rPr>
            <w:position w:val="7"/>
            <w:sz w:val="13"/>
          </w:rPr>
          <w:t>96</w:t>
        </w:r>
      </w:hyperlink>
      <w:r>
        <w:rPr>
          <w:position w:val="7"/>
          <w:sz w:val="13"/>
        </w:rPr>
        <w:t xml:space="preserve">  </w:t>
      </w:r>
      <w:r>
        <w:t xml:space="preserve">Are </w:t>
      </w:r>
      <w:proofErr w:type="gramStart"/>
      <w:r>
        <w:t>there</w:t>
      </w:r>
      <w:proofErr w:type="gramEnd"/>
      <w:r>
        <w:t xml:space="preserve"> other interpretations that are more appropriate for defining fixed FDS operations?</w:t>
      </w:r>
    </w:p>
    <w:p w14:paraId="5DBFF157" w14:textId="77777777" w:rsidR="00FC6D7C" w:rsidRDefault="002032AD">
      <w:pPr>
        <w:pStyle w:val="Heading1"/>
        <w:numPr>
          <w:ilvl w:val="1"/>
          <w:numId w:val="8"/>
        </w:numPr>
        <w:tabs>
          <w:tab w:val="left" w:pos="1559"/>
          <w:tab w:val="left" w:pos="1560"/>
        </w:tabs>
        <w:spacing w:before="118"/>
        <w:ind w:right="137" w:hanging="719"/>
      </w:pPr>
      <w:bookmarkStart w:id="114" w:name="C._Use_of_Spectrum_Sensing_Technology_fo"/>
      <w:bookmarkEnd w:id="114"/>
      <w:r>
        <w:t>Use of Spectrum Sensing Technology for FDS Devices Operating in 57-71 GHz band with Higher</w:t>
      </w:r>
      <w:r>
        <w:rPr>
          <w:spacing w:val="-5"/>
        </w:rPr>
        <w:t xml:space="preserve"> </w:t>
      </w:r>
      <w:proofErr w:type="gramStart"/>
      <w:r>
        <w:t>Power</w:t>
      </w:r>
      <w:proofErr w:type="gramEnd"/>
    </w:p>
    <w:p w14:paraId="279A917D" w14:textId="77777777" w:rsidR="00FC6D7C" w:rsidRDefault="002032AD">
      <w:pPr>
        <w:pStyle w:val="ListParagraph"/>
        <w:numPr>
          <w:ilvl w:val="0"/>
          <w:numId w:val="7"/>
        </w:numPr>
        <w:tabs>
          <w:tab w:val="left" w:pos="1559"/>
          <w:tab w:val="left" w:pos="1560"/>
        </w:tabs>
        <w:spacing w:before="118"/>
        <w:ind w:right="152" w:firstLine="720"/>
      </w:pPr>
      <w:r>
        <w:t>Our third area of discussion relates to whether we could permit FDS devices to operate at a higher power throughout the entire 57-71 GHz band. In its recommendation, the TAC suggests that we explore the possibility of allowing radars that incorporate a sensing technology such as listen-before-talk (LBT) to operate at the same emission limits as WLAN devices in the band, i.e., 40 dBm EIRP and 27 dBm transmitter conducted output power.</w:t>
      </w:r>
      <w:hyperlink w:anchor="_bookmark103" w:history="1">
        <w:r>
          <w:rPr>
            <w:position w:val="7"/>
            <w:sz w:val="13"/>
          </w:rPr>
          <w:t>97</w:t>
        </w:r>
      </w:hyperlink>
      <w:r>
        <w:rPr>
          <w:position w:val="7"/>
          <w:sz w:val="13"/>
        </w:rPr>
        <w:t xml:space="preserve"> </w:t>
      </w:r>
      <w:r>
        <w:t>We seek input regarding the effect such higher power levels would have on authorized users who are entitled to interference protection, as well as how those power levels would affect the ability of unlicensed radar systems to coexist with unlicensed communications systems.  Are these EIRP and transmitter conducted output power levels appropriate for radar applications, given the implied high antenna gain/directivity?</w:t>
      </w:r>
      <w:hyperlink w:anchor="_bookmark104" w:history="1">
        <w:r>
          <w:rPr>
            <w:position w:val="7"/>
            <w:sz w:val="13"/>
          </w:rPr>
          <w:t>98</w:t>
        </w:r>
      </w:hyperlink>
      <w:r>
        <w:rPr>
          <w:position w:val="7"/>
          <w:sz w:val="13"/>
        </w:rPr>
        <w:t xml:space="preserve"> </w:t>
      </w:r>
      <w:r>
        <w:t xml:space="preserve">What antenna gain do radars need in various applications? Are mobile radar applications limited by power consumption such that they would not be able to leverage these higher emission limits? With spectrum sensing capabilities, would a duty cycle restriction be necessary? We seek input and feedback as well as recommendations on these issues. Commenters should provide technical details and/or studies to show that it is practical for radars to operate at up to 40 dBm EIRP without causing harmful interference to existing authorized services in the band. We note that the </w:t>
      </w:r>
      <w:r>
        <w:rPr>
          <w:i/>
        </w:rPr>
        <w:t xml:space="preserve">2021 TAC Recommendation </w:t>
      </w:r>
      <w:r>
        <w:t>only mentions the listen-before-talk technique. Are there other spectrum contention avoidance techniques that would serve the same purpose and how effective are they?  What are the costs and benefits of such techniques?  Have there been any completed or ongoing studies regarding coexistence between radars and authorized 60 GHz users and, if so, what are the results and recommendations?  Should the same spectrum sensing technique be required for all devices operating in the 57-71 GHz band with the average power limit of 40 dBm EIRP? Have industry standards groups such as the 802.11 Standards Committee considered the use of spectrum sensing techniques for 60 GHz unlicensed devices? Will there be a need to regulate energy detection and observation time for LBT sensing?</w:t>
      </w:r>
      <w:hyperlink w:anchor="_bookmark105" w:history="1">
        <w:r>
          <w:rPr>
            <w:position w:val="7"/>
            <w:sz w:val="13"/>
          </w:rPr>
          <w:t>99</w:t>
        </w:r>
      </w:hyperlink>
      <w:r>
        <w:rPr>
          <w:position w:val="7"/>
          <w:sz w:val="13"/>
        </w:rPr>
        <w:t xml:space="preserve"> </w:t>
      </w:r>
      <w:r>
        <w:t>If so, what are the appropriate limits? Will usage of LBT provide higher aggregate capacity?</w:t>
      </w:r>
      <w:hyperlink w:anchor="_bookmark106" w:history="1">
        <w:r>
          <w:rPr>
            <w:position w:val="7"/>
            <w:sz w:val="13"/>
          </w:rPr>
          <w:t>100</w:t>
        </w:r>
      </w:hyperlink>
      <w:r>
        <w:rPr>
          <w:position w:val="7"/>
          <w:sz w:val="13"/>
        </w:rPr>
        <w:t xml:space="preserve"> </w:t>
      </w:r>
      <w:r>
        <w:t>If so, does it justify the higher complexity necessary to support LBT? We solicit input on these issues to develop a comprehensive record on these</w:t>
      </w:r>
      <w:r>
        <w:rPr>
          <w:spacing w:val="-22"/>
        </w:rPr>
        <w:t xml:space="preserve"> </w:t>
      </w:r>
      <w:r>
        <w:t>matters.</w:t>
      </w:r>
    </w:p>
    <w:p w14:paraId="6FCC3E0D" w14:textId="77777777" w:rsidR="00FC6D7C" w:rsidRDefault="00FC6D7C">
      <w:pPr>
        <w:pStyle w:val="BodyText"/>
        <w:rPr>
          <w:sz w:val="20"/>
        </w:rPr>
      </w:pPr>
    </w:p>
    <w:p w14:paraId="09756A2B" w14:textId="77777777" w:rsidR="00FC6D7C" w:rsidRDefault="00FC6D7C">
      <w:pPr>
        <w:pStyle w:val="BodyText"/>
        <w:rPr>
          <w:sz w:val="20"/>
        </w:rPr>
      </w:pPr>
    </w:p>
    <w:p w14:paraId="7876A765" w14:textId="77777777" w:rsidR="00FC6D7C" w:rsidRDefault="0023630A">
      <w:pPr>
        <w:pStyle w:val="BodyText"/>
        <w:spacing w:before="3"/>
        <w:rPr>
          <w:sz w:val="26"/>
        </w:rPr>
      </w:pPr>
      <w:r>
        <w:pict w14:anchorId="35AAE888">
          <v:line id="_x0000_s1032" style="position:absolute;z-index:251663872;mso-wrap-distance-left:0;mso-wrap-distance-right:0;mso-position-horizontal-relative:page" from="1in,17.4pt" to="3in,17.4pt" strokeweight=".6pt">
            <w10:wrap type="topAndBottom" anchorx="page"/>
          </v:line>
        </w:pict>
      </w:r>
    </w:p>
    <w:p w14:paraId="7B00BB3C" w14:textId="77777777" w:rsidR="00FC6D7C" w:rsidRDefault="002032AD">
      <w:pPr>
        <w:spacing w:before="60"/>
        <w:ind w:left="119" w:right="431"/>
        <w:rPr>
          <w:sz w:val="20"/>
        </w:rPr>
      </w:pPr>
      <w:bookmarkStart w:id="115" w:name="_bookmark102"/>
      <w:bookmarkEnd w:id="115"/>
      <w:r>
        <w:rPr>
          <w:position w:val="7"/>
          <w:sz w:val="13"/>
        </w:rPr>
        <w:t xml:space="preserve">96 </w:t>
      </w:r>
      <w:r>
        <w:rPr>
          <w:sz w:val="20"/>
        </w:rPr>
        <w:t>This could involve relocating or repositioning the fixed FDS device away from unlicensed communications devices in areas under exclusive control (</w:t>
      </w:r>
      <w:proofErr w:type="gramStart"/>
      <w:r>
        <w:rPr>
          <w:sz w:val="20"/>
        </w:rPr>
        <w:t>e.g.</w:t>
      </w:r>
      <w:proofErr w:type="gramEnd"/>
      <w:r>
        <w:rPr>
          <w:sz w:val="20"/>
        </w:rPr>
        <w:t xml:space="preserve"> a home or office), or being able to identify and locate the particular FDS device in the unlikely event that harmful interference is being experienced by authorized users.</w:t>
      </w:r>
    </w:p>
    <w:p w14:paraId="661BDC37" w14:textId="77777777" w:rsidR="00FC6D7C" w:rsidRDefault="002032AD">
      <w:pPr>
        <w:spacing w:before="115"/>
        <w:ind w:left="119" w:right="190"/>
        <w:rPr>
          <w:sz w:val="20"/>
        </w:rPr>
      </w:pPr>
      <w:bookmarkStart w:id="116" w:name="_bookmark103"/>
      <w:bookmarkEnd w:id="116"/>
      <w:r>
        <w:rPr>
          <w:position w:val="7"/>
          <w:sz w:val="13"/>
        </w:rPr>
        <w:t xml:space="preserve">97 </w:t>
      </w:r>
      <w:r>
        <w:rPr>
          <w:i/>
          <w:sz w:val="20"/>
        </w:rPr>
        <w:t>See 2021 TAC Recommendation</w:t>
      </w:r>
      <w:r>
        <w:rPr>
          <w:sz w:val="20"/>
        </w:rPr>
        <w:t xml:space="preserve">, </w:t>
      </w:r>
      <w:r>
        <w:rPr>
          <w:i/>
          <w:sz w:val="20"/>
        </w:rPr>
        <w:t xml:space="preserve">supra </w:t>
      </w:r>
      <w:r>
        <w:rPr>
          <w:sz w:val="20"/>
        </w:rPr>
        <w:t xml:space="preserve">note </w:t>
      </w:r>
      <w:hyperlink w:anchor="_bookmark41" w:history="1">
        <w:r>
          <w:rPr>
            <w:sz w:val="20"/>
          </w:rPr>
          <w:t>41.</w:t>
        </w:r>
      </w:hyperlink>
      <w:r>
        <w:rPr>
          <w:sz w:val="20"/>
        </w:rPr>
        <w:t xml:space="preserve"> </w:t>
      </w:r>
      <w:r>
        <w:rPr>
          <w:i/>
          <w:sz w:val="20"/>
        </w:rPr>
        <w:t>See also</w:t>
      </w:r>
      <w:r>
        <w:rPr>
          <w:sz w:val="20"/>
        </w:rPr>
        <w:t xml:space="preserve">, Letter from Alan Norman, Facebook, Inc.; Carlos Cordeiro, Intel Corporation; and John </w:t>
      </w:r>
      <w:proofErr w:type="spellStart"/>
      <w:r>
        <w:rPr>
          <w:sz w:val="20"/>
        </w:rPr>
        <w:t>Kuzin</w:t>
      </w:r>
      <w:proofErr w:type="spellEnd"/>
      <w:r>
        <w:rPr>
          <w:sz w:val="20"/>
        </w:rPr>
        <w:t xml:space="preserve">, Qualcomm Inc., to Marlene Dortch, FCC, ET Docket No. 21-48 (filed May 10, 2021), </w:t>
      </w:r>
      <w:r>
        <w:rPr>
          <w:i/>
          <w:sz w:val="20"/>
        </w:rPr>
        <w:t xml:space="preserve">supra </w:t>
      </w:r>
      <w:r>
        <w:rPr>
          <w:sz w:val="20"/>
        </w:rPr>
        <w:t xml:space="preserve">note </w:t>
      </w:r>
      <w:hyperlink w:anchor="_bookmark79" w:history="1">
        <w:r>
          <w:rPr>
            <w:sz w:val="20"/>
          </w:rPr>
          <w:t>76.</w:t>
        </w:r>
      </w:hyperlink>
    </w:p>
    <w:p w14:paraId="55DC07B7" w14:textId="77777777" w:rsidR="00FC6D7C" w:rsidRDefault="002032AD">
      <w:pPr>
        <w:spacing w:before="113"/>
        <w:ind w:left="120"/>
        <w:rPr>
          <w:sz w:val="20"/>
        </w:rPr>
      </w:pPr>
      <w:bookmarkStart w:id="117" w:name="_bookmark104"/>
      <w:bookmarkEnd w:id="117"/>
      <w:r>
        <w:rPr>
          <w:position w:val="7"/>
          <w:sz w:val="13"/>
        </w:rPr>
        <w:t xml:space="preserve">98 </w:t>
      </w:r>
      <w:r>
        <w:rPr>
          <w:sz w:val="20"/>
        </w:rPr>
        <w:t>A 40 dBm EIRP and 27 dBm transmitter conducted output power implies an antenna gain of 13 dBi.</w:t>
      </w:r>
    </w:p>
    <w:p w14:paraId="7520DA3C" w14:textId="77777777" w:rsidR="00FC6D7C" w:rsidRDefault="002032AD">
      <w:pPr>
        <w:spacing w:before="115"/>
        <w:ind w:left="120"/>
        <w:rPr>
          <w:sz w:val="20"/>
        </w:rPr>
      </w:pPr>
      <w:bookmarkStart w:id="118" w:name="_bookmark105"/>
      <w:bookmarkEnd w:id="118"/>
      <w:r>
        <w:rPr>
          <w:position w:val="7"/>
          <w:sz w:val="13"/>
        </w:rPr>
        <w:t xml:space="preserve">99 </w:t>
      </w:r>
      <w:r>
        <w:rPr>
          <w:sz w:val="20"/>
        </w:rPr>
        <w:t xml:space="preserve">See </w:t>
      </w:r>
      <w:r>
        <w:rPr>
          <w:i/>
          <w:sz w:val="20"/>
        </w:rPr>
        <w:t>Revisions to 47 CFR 15.255 – Operation within the band 57-71 GHz</w:t>
      </w:r>
      <w:r>
        <w:rPr>
          <w:sz w:val="20"/>
        </w:rPr>
        <w:t xml:space="preserve">, </w:t>
      </w:r>
      <w:proofErr w:type="spellStart"/>
      <w:r>
        <w:rPr>
          <w:sz w:val="20"/>
        </w:rPr>
        <w:t>Acconeer</w:t>
      </w:r>
      <w:proofErr w:type="spellEnd"/>
      <w:r>
        <w:rPr>
          <w:sz w:val="20"/>
        </w:rPr>
        <w:t>, ET Docket No. 21-48 (filed</w:t>
      </w:r>
    </w:p>
    <w:p w14:paraId="08611913" w14:textId="77777777" w:rsidR="00FC6D7C" w:rsidRDefault="002032AD">
      <w:pPr>
        <w:ind w:left="119"/>
        <w:rPr>
          <w:sz w:val="20"/>
        </w:rPr>
      </w:pPr>
      <w:r>
        <w:rPr>
          <w:sz w:val="20"/>
        </w:rPr>
        <w:t>???, 2021) at 15.</w:t>
      </w:r>
    </w:p>
    <w:p w14:paraId="100BA953" w14:textId="77777777" w:rsidR="00FC6D7C" w:rsidRDefault="002032AD">
      <w:pPr>
        <w:spacing w:before="116"/>
        <w:ind w:left="120"/>
        <w:rPr>
          <w:sz w:val="20"/>
        </w:rPr>
      </w:pPr>
      <w:bookmarkStart w:id="119" w:name="_bookmark106"/>
      <w:bookmarkEnd w:id="119"/>
      <w:r>
        <w:rPr>
          <w:sz w:val="13"/>
        </w:rPr>
        <w:t xml:space="preserve">100 </w:t>
      </w:r>
      <w:r>
        <w:rPr>
          <w:i/>
          <w:position w:val="-6"/>
          <w:sz w:val="20"/>
        </w:rPr>
        <w:t>Id</w:t>
      </w:r>
      <w:r>
        <w:rPr>
          <w:position w:val="-6"/>
          <w:sz w:val="20"/>
        </w:rPr>
        <w:t>.</w:t>
      </w:r>
    </w:p>
    <w:p w14:paraId="2A6B8A34" w14:textId="77777777" w:rsidR="00FC6D7C" w:rsidRDefault="00FC6D7C">
      <w:pPr>
        <w:rPr>
          <w:sz w:val="20"/>
        </w:rPr>
        <w:sectPr w:rsidR="00FC6D7C">
          <w:pgSz w:w="12240" w:h="15840"/>
          <w:pgMar w:top="980" w:right="1320" w:bottom="960" w:left="1320" w:header="727" w:footer="765" w:gutter="0"/>
          <w:cols w:space="720"/>
        </w:sectPr>
      </w:pPr>
    </w:p>
    <w:p w14:paraId="7AA1B771" w14:textId="77777777" w:rsidR="00FC6D7C" w:rsidRDefault="00FC6D7C">
      <w:pPr>
        <w:pStyle w:val="BodyText"/>
        <w:rPr>
          <w:sz w:val="20"/>
        </w:rPr>
      </w:pPr>
    </w:p>
    <w:p w14:paraId="29075FFD" w14:textId="77777777" w:rsidR="00FC6D7C" w:rsidRDefault="00FC6D7C">
      <w:pPr>
        <w:pStyle w:val="BodyText"/>
        <w:spacing w:before="6"/>
      </w:pPr>
    </w:p>
    <w:p w14:paraId="1AFA4328" w14:textId="77777777" w:rsidR="00FC6D7C" w:rsidRDefault="002032AD">
      <w:pPr>
        <w:pStyle w:val="Heading1"/>
        <w:numPr>
          <w:ilvl w:val="1"/>
          <w:numId w:val="8"/>
        </w:numPr>
        <w:tabs>
          <w:tab w:val="left" w:pos="1559"/>
          <w:tab w:val="left" w:pos="1560"/>
        </w:tabs>
      </w:pPr>
      <w:bookmarkStart w:id="120" w:name="D._Additional_Considerations"/>
      <w:bookmarkEnd w:id="120"/>
      <w:r>
        <w:t>Additional</w:t>
      </w:r>
      <w:r>
        <w:rPr>
          <w:spacing w:val="-7"/>
        </w:rPr>
        <w:t xml:space="preserve"> </w:t>
      </w:r>
      <w:r>
        <w:t>Considerations</w:t>
      </w:r>
    </w:p>
    <w:p w14:paraId="0DEF0BA2" w14:textId="77777777" w:rsidR="00FC6D7C" w:rsidRDefault="002032AD">
      <w:pPr>
        <w:pStyle w:val="ListParagraph"/>
        <w:numPr>
          <w:ilvl w:val="2"/>
          <w:numId w:val="8"/>
        </w:numPr>
        <w:tabs>
          <w:tab w:val="left" w:pos="2279"/>
          <w:tab w:val="left" w:pos="2280"/>
        </w:tabs>
        <w:spacing w:before="118"/>
        <w:ind w:hanging="720"/>
        <w:rPr>
          <w:b/>
        </w:rPr>
      </w:pPr>
      <w:bookmarkStart w:id="121" w:name="1._On-board_aircraft_operational_restric"/>
      <w:bookmarkEnd w:id="121"/>
      <w:r>
        <w:rPr>
          <w:b/>
        </w:rPr>
        <w:t>On-board aircraft operational</w:t>
      </w:r>
      <w:r>
        <w:rPr>
          <w:b/>
          <w:spacing w:val="-11"/>
        </w:rPr>
        <w:t xml:space="preserve"> </w:t>
      </w:r>
      <w:r>
        <w:rPr>
          <w:b/>
        </w:rPr>
        <w:t>restriction</w:t>
      </w:r>
    </w:p>
    <w:p w14:paraId="269DFEE0" w14:textId="1AA35934" w:rsidR="00FC6D7C" w:rsidRDefault="002032AD">
      <w:pPr>
        <w:pStyle w:val="ListParagraph"/>
        <w:numPr>
          <w:ilvl w:val="0"/>
          <w:numId w:val="6"/>
        </w:numPr>
        <w:tabs>
          <w:tab w:val="left" w:pos="1559"/>
          <w:tab w:val="left" w:pos="1560"/>
        </w:tabs>
        <w:spacing w:before="118"/>
        <w:ind w:right="133" w:firstLine="720"/>
        <w:rPr>
          <w:sz w:val="13"/>
        </w:rPr>
      </w:pPr>
      <w:r>
        <w:t xml:space="preserve">We do not propose to alter the existing restrictions relating to the use of 60 GHz band unlicensed devices on board aircraft which are contained in Section 15.255(b) of the rules, but we nevertheless </w:t>
      </w:r>
      <w:r w:rsidR="00264B52" w:rsidRPr="00264B52">
        <w:rPr>
          <w:highlight w:val="yellow"/>
        </w:rPr>
        <w:t>seek comment</w:t>
      </w:r>
      <w:r>
        <w:t xml:space="preserve"> as to whether we should expand the situations where such use is permissible. Currently, such operation is limited to when the aircraft is on the ground, and, for airborne use, only in closed exclusive communication networks within the aircraft.</w:t>
      </w:r>
      <w:hyperlink w:anchor="_bookmark107" w:history="1">
        <w:r>
          <w:rPr>
            <w:position w:val="7"/>
            <w:sz w:val="13"/>
          </w:rPr>
          <w:t>101</w:t>
        </w:r>
      </w:hyperlink>
      <w:r>
        <w:rPr>
          <w:position w:val="7"/>
          <w:sz w:val="13"/>
        </w:rPr>
        <w:t xml:space="preserve"> </w:t>
      </w:r>
      <w:r>
        <w:t>To account for the important interest in protecting passive EESS users that operate in the 57-59.3 GHz band, the rule limits this use to aircraft with a high RF attenuation body (e.g. commercial airliners), and cannot be used in wireless avionics intra- communication applications where external structural sensors or external cameras are mounted on the outside of the aircraft</w:t>
      </w:r>
      <w:r>
        <w:rPr>
          <w:spacing w:val="-2"/>
        </w:rPr>
        <w:t xml:space="preserve"> </w:t>
      </w:r>
      <w:r>
        <w:t>structure.</w:t>
      </w:r>
      <w:hyperlink w:anchor="_bookmark108" w:history="1">
        <w:r>
          <w:rPr>
            <w:position w:val="7"/>
            <w:sz w:val="13"/>
          </w:rPr>
          <w:t>102</w:t>
        </w:r>
      </w:hyperlink>
    </w:p>
    <w:p w14:paraId="1647939F" w14:textId="6647CE0B" w:rsidR="00FC6D7C" w:rsidRDefault="002032AD">
      <w:pPr>
        <w:pStyle w:val="ListParagraph"/>
        <w:numPr>
          <w:ilvl w:val="0"/>
          <w:numId w:val="6"/>
        </w:numPr>
        <w:tabs>
          <w:tab w:val="left" w:pos="1559"/>
          <w:tab w:val="left" w:pos="1560"/>
        </w:tabs>
        <w:spacing w:before="118"/>
        <w:ind w:right="128" w:firstLine="720"/>
      </w:pPr>
      <w:r>
        <w:t>We do not believe that retaining the existing provisions regarding in-aircraft use of unlicensed devices would hinder the initial successful deployment of new applications and devices under our proposed rules. Many of the use opportunities that have been identified to date – such as inside and outside vehicles, and in personal safety, medical imaging, home automation, environmental control, and robotic appliances devices, for example – are not dependent on use on board an aircraft. Compliance options also exist for portable electronic devices</w:t>
      </w:r>
      <w:hyperlink w:anchor="_bookmark109" w:history="1">
        <w:r>
          <w:rPr>
            <w:position w:val="7"/>
            <w:sz w:val="13"/>
          </w:rPr>
          <w:t>103</w:t>
        </w:r>
      </w:hyperlink>
      <w:r>
        <w:rPr>
          <w:position w:val="7"/>
          <w:sz w:val="13"/>
        </w:rPr>
        <w:t xml:space="preserve"> </w:t>
      </w:r>
      <w:r>
        <w:t xml:space="preserve">that may be brought aboard airplanes. These could include, for example, activation of “airplane mode” during flight or the use of sensors to disable operations when the device is above a particular height above ground. We </w:t>
      </w:r>
      <w:r w:rsidR="00264B52" w:rsidRPr="00264B52">
        <w:rPr>
          <w:highlight w:val="yellow"/>
        </w:rPr>
        <w:t>seek comment</w:t>
      </w:r>
      <w:r>
        <w:t xml:space="preserve"> on this tentative determination.</w:t>
      </w:r>
    </w:p>
    <w:p w14:paraId="52F6EFBC" w14:textId="77777777" w:rsidR="00FC6D7C" w:rsidRDefault="002032AD">
      <w:pPr>
        <w:pStyle w:val="ListParagraph"/>
        <w:numPr>
          <w:ilvl w:val="0"/>
          <w:numId w:val="6"/>
        </w:numPr>
        <w:tabs>
          <w:tab w:val="left" w:pos="1670"/>
          <w:tab w:val="left" w:pos="1671"/>
        </w:tabs>
        <w:spacing w:before="116"/>
        <w:ind w:right="291" w:firstLine="721"/>
        <w:rPr>
          <w:sz w:val="13"/>
        </w:rPr>
      </w:pPr>
      <w:r>
        <w:t>Currently we have only authorized 60 GHz radars to operate on board aircraft beyond the uses permitted in the rules via two limited situations. Both were in conjunction with waiver grants that carefully evaluated how specific devices would be deployed in well-defined use cases. Leica Geosystems AG may operate a 60-64 GHz radar on an unmanned aircraft, but with very restrictive conditions on the number of deployed devices.</w:t>
      </w:r>
      <w:hyperlink w:anchor="_bookmark110" w:history="1">
        <w:r>
          <w:rPr>
            <w:position w:val="7"/>
            <w:sz w:val="13"/>
          </w:rPr>
          <w:t>104</w:t>
        </w:r>
      </w:hyperlink>
      <w:r>
        <w:rPr>
          <w:position w:val="7"/>
          <w:sz w:val="13"/>
        </w:rPr>
        <w:t xml:space="preserve"> </w:t>
      </w:r>
      <w:r>
        <w:t>The Google Soli radar incorporated into a smartphone (e.g., the Google Pixel) allows control of a smartphone via gestures without touching the phone, and is not intended to be part of the aircraft communication</w:t>
      </w:r>
      <w:r>
        <w:rPr>
          <w:spacing w:val="-9"/>
        </w:rPr>
        <w:t xml:space="preserve"> </w:t>
      </w:r>
      <w:r>
        <w:t>network.</w:t>
      </w:r>
      <w:hyperlink w:anchor="_bookmark111" w:history="1">
        <w:r>
          <w:rPr>
            <w:position w:val="7"/>
            <w:sz w:val="13"/>
          </w:rPr>
          <w:t>105</w:t>
        </w:r>
      </w:hyperlink>
    </w:p>
    <w:p w14:paraId="6657E93E" w14:textId="1BBBADA8" w:rsidR="00FC6D7C" w:rsidRDefault="002032AD">
      <w:pPr>
        <w:pStyle w:val="ListParagraph"/>
        <w:numPr>
          <w:ilvl w:val="0"/>
          <w:numId w:val="6"/>
        </w:numPr>
        <w:tabs>
          <w:tab w:val="left" w:pos="1559"/>
          <w:tab w:val="left" w:pos="1560"/>
        </w:tabs>
        <w:spacing w:before="116"/>
        <w:ind w:right="490" w:firstLine="720"/>
      </w:pPr>
      <w:r>
        <w:t xml:space="preserve">Although we propose to retain the existing rule, we nevertheless </w:t>
      </w:r>
      <w:r w:rsidR="00264B52" w:rsidRPr="00264B52">
        <w:rPr>
          <w:highlight w:val="yellow"/>
        </w:rPr>
        <w:t>seek comment</w:t>
      </w:r>
      <w:r>
        <w:t xml:space="preserve"> on whether we should allow for expanded use of 60 GHz radars on board aircraft and, if so, with what requirements and restrictions. Given that our fundamental consideration has been and remains how to ensure that passive EESS operations in the 57-59.3 GHz band continue to be protected from</w:t>
      </w:r>
      <w:r>
        <w:rPr>
          <w:spacing w:val="-23"/>
        </w:rPr>
        <w:t xml:space="preserve"> </w:t>
      </w:r>
      <w:proofErr w:type="gramStart"/>
      <w:r>
        <w:t>harmful</w:t>
      </w:r>
      <w:proofErr w:type="gramEnd"/>
    </w:p>
    <w:p w14:paraId="559BE995" w14:textId="77777777" w:rsidR="00FC6D7C" w:rsidRDefault="0023630A">
      <w:pPr>
        <w:pStyle w:val="BodyText"/>
        <w:spacing w:before="2"/>
        <w:rPr>
          <w:sz w:val="25"/>
        </w:rPr>
      </w:pPr>
      <w:r>
        <w:pict w14:anchorId="78A786FD">
          <v:line id="_x0000_s1031" style="position:absolute;z-index:251664896;mso-wrap-distance-left:0;mso-wrap-distance-right:0;mso-position-horizontal-relative:page" from="1in,16.75pt" to="3in,16.75pt" strokeweight=".21131mm">
            <w10:wrap type="topAndBottom" anchorx="page"/>
          </v:line>
        </w:pict>
      </w:r>
    </w:p>
    <w:p w14:paraId="595CCED8" w14:textId="77777777" w:rsidR="00FC6D7C" w:rsidRDefault="002032AD">
      <w:pPr>
        <w:spacing w:before="60"/>
        <w:ind w:left="120" w:right="134"/>
        <w:rPr>
          <w:sz w:val="20"/>
        </w:rPr>
      </w:pPr>
      <w:bookmarkStart w:id="122" w:name="_bookmark107"/>
      <w:bookmarkEnd w:id="122"/>
      <w:r>
        <w:rPr>
          <w:position w:val="7"/>
          <w:sz w:val="13"/>
        </w:rPr>
        <w:t xml:space="preserve">101 </w:t>
      </w:r>
      <w:r>
        <w:rPr>
          <w:sz w:val="20"/>
        </w:rPr>
        <w:t xml:space="preserve">47 CFR § 15.255(b)(2). The Commission addressed the effects of operations of 60 GHz transmitters on board aircraft in </w:t>
      </w:r>
      <w:r>
        <w:rPr>
          <w:i/>
          <w:sz w:val="20"/>
        </w:rPr>
        <w:t>Use of Spectrum Bands Above 24 GHz For Mobile Radio Services</w:t>
      </w:r>
      <w:r>
        <w:rPr>
          <w:sz w:val="20"/>
        </w:rPr>
        <w:t xml:space="preserve">, GN Docket No. 14177, Second Report and Order, 32 FCC </w:t>
      </w:r>
      <w:proofErr w:type="spellStart"/>
      <w:r>
        <w:rPr>
          <w:sz w:val="20"/>
        </w:rPr>
        <w:t>Rcd</w:t>
      </w:r>
      <w:proofErr w:type="spellEnd"/>
      <w:r>
        <w:rPr>
          <w:sz w:val="20"/>
        </w:rPr>
        <w:t xml:space="preserve"> 10988, 11012-11017, at paras. 75-87 (2017).</w:t>
      </w:r>
    </w:p>
    <w:p w14:paraId="58782CE1" w14:textId="77777777" w:rsidR="00FC6D7C" w:rsidRDefault="002032AD">
      <w:pPr>
        <w:spacing w:before="115"/>
        <w:ind w:left="120"/>
        <w:rPr>
          <w:sz w:val="20"/>
        </w:rPr>
      </w:pPr>
      <w:bookmarkStart w:id="123" w:name="_bookmark108"/>
      <w:bookmarkEnd w:id="123"/>
      <w:r>
        <w:rPr>
          <w:position w:val="7"/>
          <w:sz w:val="13"/>
        </w:rPr>
        <w:t xml:space="preserve">102 </w:t>
      </w:r>
      <w:r>
        <w:rPr>
          <w:sz w:val="20"/>
        </w:rPr>
        <w:t>47 CFR § 15.255(b)(2).</w:t>
      </w:r>
    </w:p>
    <w:p w14:paraId="155E899C" w14:textId="77777777" w:rsidR="00FC6D7C" w:rsidRDefault="002032AD">
      <w:pPr>
        <w:spacing w:before="115"/>
        <w:ind w:left="119" w:right="157"/>
        <w:rPr>
          <w:sz w:val="20"/>
        </w:rPr>
      </w:pPr>
      <w:bookmarkStart w:id="124" w:name="_bookmark109"/>
      <w:bookmarkEnd w:id="124"/>
      <w:r>
        <w:rPr>
          <w:position w:val="7"/>
          <w:sz w:val="13"/>
        </w:rPr>
        <w:t xml:space="preserve">103 </w:t>
      </w:r>
      <w:r>
        <w:rPr>
          <w:sz w:val="20"/>
        </w:rPr>
        <w:t xml:space="preserve">The Federal Aviation Administration (FAA) describes portable electronic devices as any piece of lightweight, </w:t>
      </w:r>
      <w:proofErr w:type="gramStart"/>
      <w:r>
        <w:rPr>
          <w:sz w:val="20"/>
        </w:rPr>
        <w:t>electrically-powered</w:t>
      </w:r>
      <w:proofErr w:type="gramEnd"/>
      <w:r>
        <w:rPr>
          <w:sz w:val="20"/>
        </w:rPr>
        <w:t xml:space="preserve"> equipment. These devices are typically consumer electronic devices capable of communications, data processing and/or utility. Examples range from handheld, lightweight electronic devices such as tablets, e-readers, and smartphones to small devices such as MP3 players and electronic toys.  </w:t>
      </w:r>
      <w:r>
        <w:rPr>
          <w:i/>
          <w:sz w:val="20"/>
        </w:rPr>
        <w:t xml:space="preserve">See </w:t>
      </w:r>
      <w:r>
        <w:rPr>
          <w:sz w:val="20"/>
        </w:rPr>
        <w:t>FAA Fact Sheet – Portable Electronics on Airplanes Fact Sheet – Portable Electronic Devices Aviation Rulemaking Committee Report at: https://</w:t>
      </w:r>
      <w:hyperlink r:id="rId43">
        <w:r>
          <w:rPr>
            <w:sz w:val="20"/>
          </w:rPr>
          <w:t>www.faa.gov/news/fact_sheets/news_story.cfm?newsId=15255.</w:t>
        </w:r>
      </w:hyperlink>
    </w:p>
    <w:p w14:paraId="66D1DF4A" w14:textId="77777777" w:rsidR="00FC6D7C" w:rsidRDefault="002032AD">
      <w:pPr>
        <w:spacing w:before="115"/>
        <w:ind w:left="119" w:right="446"/>
        <w:rPr>
          <w:sz w:val="20"/>
        </w:rPr>
      </w:pPr>
      <w:bookmarkStart w:id="125" w:name="_bookmark110"/>
      <w:bookmarkEnd w:id="125"/>
      <w:r>
        <w:rPr>
          <w:position w:val="7"/>
          <w:sz w:val="13"/>
        </w:rPr>
        <w:t xml:space="preserve">104 </w:t>
      </w:r>
      <w:r>
        <w:rPr>
          <w:i/>
          <w:sz w:val="20"/>
        </w:rPr>
        <w:t>In the Matter of Leica Geosystems AG Request for Waiver of Section 15.255 of the Commission's Rules Applicable to Radars used on Unmanned Aerial Vehicles in the 60-64 GHz Frequency Band</w:t>
      </w:r>
      <w:r>
        <w:rPr>
          <w:sz w:val="20"/>
        </w:rPr>
        <w:t xml:space="preserve">, ET Docket No. 19- 350, DA 20-795, Order, FCC </w:t>
      </w:r>
      <w:proofErr w:type="spellStart"/>
      <w:r>
        <w:rPr>
          <w:sz w:val="20"/>
        </w:rPr>
        <w:t>Rcd</w:t>
      </w:r>
      <w:proofErr w:type="spellEnd"/>
      <w:r>
        <w:rPr>
          <w:sz w:val="20"/>
        </w:rPr>
        <w:t xml:space="preserve"> 7929 (2020).</w:t>
      </w:r>
    </w:p>
    <w:p w14:paraId="1C700DE0" w14:textId="77777777" w:rsidR="00FC6D7C" w:rsidRDefault="002032AD">
      <w:pPr>
        <w:spacing w:before="115"/>
        <w:ind w:left="119" w:right="132"/>
        <w:jc w:val="both"/>
        <w:rPr>
          <w:sz w:val="20"/>
        </w:rPr>
      </w:pPr>
      <w:bookmarkStart w:id="126" w:name="_bookmark111"/>
      <w:bookmarkEnd w:id="126"/>
      <w:r>
        <w:rPr>
          <w:position w:val="7"/>
          <w:sz w:val="13"/>
        </w:rPr>
        <w:t xml:space="preserve">105 </w:t>
      </w:r>
      <w:r>
        <w:rPr>
          <w:i/>
          <w:sz w:val="20"/>
        </w:rPr>
        <w:t>Google LLC Request for Waiver of Section 15.255(c)(3) of the Commission's Rules Applicable to Radars used for Short Range Interactive Motion Sensing in the 57-64 GHz Frequency Band</w:t>
      </w:r>
      <w:r>
        <w:rPr>
          <w:sz w:val="20"/>
        </w:rPr>
        <w:t xml:space="preserve">, DA 18-1308, Order, 33 FCC </w:t>
      </w:r>
      <w:proofErr w:type="spellStart"/>
      <w:r>
        <w:rPr>
          <w:sz w:val="20"/>
        </w:rPr>
        <w:t>Rcd</w:t>
      </w:r>
      <w:proofErr w:type="spellEnd"/>
      <w:r>
        <w:rPr>
          <w:sz w:val="20"/>
        </w:rPr>
        <w:t xml:space="preserve"> 12542 (2018).</w:t>
      </w:r>
    </w:p>
    <w:p w14:paraId="11D104BF" w14:textId="77777777" w:rsidR="00FC6D7C" w:rsidRDefault="00FC6D7C">
      <w:pPr>
        <w:jc w:val="both"/>
        <w:rPr>
          <w:sz w:val="20"/>
        </w:rPr>
        <w:sectPr w:rsidR="00FC6D7C">
          <w:pgSz w:w="12240" w:h="15840"/>
          <w:pgMar w:top="980" w:right="1320" w:bottom="960" w:left="1320" w:header="727" w:footer="765" w:gutter="0"/>
          <w:cols w:space="720"/>
        </w:sectPr>
      </w:pPr>
    </w:p>
    <w:p w14:paraId="1AAFD9F9" w14:textId="77777777" w:rsidR="00FC6D7C" w:rsidRDefault="00FC6D7C">
      <w:pPr>
        <w:pStyle w:val="BodyText"/>
        <w:rPr>
          <w:sz w:val="20"/>
        </w:rPr>
      </w:pPr>
    </w:p>
    <w:p w14:paraId="6749DCFA" w14:textId="77777777" w:rsidR="00FC6D7C" w:rsidRDefault="00FC6D7C">
      <w:pPr>
        <w:pStyle w:val="BodyText"/>
        <w:spacing w:before="4"/>
      </w:pPr>
    </w:p>
    <w:p w14:paraId="17AF5384" w14:textId="77777777" w:rsidR="00FC6D7C" w:rsidRDefault="002032AD">
      <w:pPr>
        <w:pStyle w:val="BodyText"/>
        <w:ind w:left="119" w:right="116"/>
      </w:pPr>
      <w:r>
        <w:t>interference that could be caused by airborne use of unlicensed 60 GHz devices, could airborne radar use be permitted above 59.3 GHz? We are not aware of any reports of harmful interference being caused by Google Soli devices during airborne use. Could we permit 60 GHz radars to operate on board aircraft for limited uses such as when incorporated into smartphones or similar portable electronic devices that may be carried by air travelers?  Would we need to limit such use to the power levels associated with the Google Soli waiver, which operates at lower power levels than those we are proposing for 60 GHz radars? Are there other narrow use cases that we should allow?  For example, could our rules be modified to allow an aircraft’s entertainment system’s in-seat display monitors to incorporate radars that could be controlled remotely by air travelers’ gestures?</w:t>
      </w:r>
      <w:hyperlink w:anchor="_bookmark112" w:history="1">
        <w:r>
          <w:rPr>
            <w:position w:val="7"/>
            <w:sz w:val="13"/>
          </w:rPr>
          <w:t>106</w:t>
        </w:r>
      </w:hyperlink>
      <w:r>
        <w:rPr>
          <w:position w:val="7"/>
          <w:sz w:val="13"/>
        </w:rPr>
        <w:t xml:space="preserve"> </w:t>
      </w:r>
      <w:r>
        <w:t>Commenters addressing expanded airborne use should provide detailed technical analyses, research, studies, etc. supporting potential recommendations to address whether harmful interference to authorized users in the band would result or if such systems can coexist and under what conditions. Would any adverse effects be anticipated from 60 GHz radars operating on aircraft?</w:t>
      </w:r>
      <w:hyperlink w:anchor="_bookmark113" w:history="1">
        <w:r>
          <w:rPr>
            <w:position w:val="7"/>
            <w:sz w:val="13"/>
          </w:rPr>
          <w:t>107</w:t>
        </w:r>
      </w:hyperlink>
      <w:r>
        <w:rPr>
          <w:position w:val="7"/>
          <w:sz w:val="13"/>
        </w:rPr>
        <w:t xml:space="preserve"> </w:t>
      </w:r>
      <w:r>
        <w:t xml:space="preserve">Would the risk of harmful interference occurring to passive EESS be minimal from radars in aircraft with high RF attenuation characteristics? </w:t>
      </w:r>
      <w:hyperlink w:anchor="_bookmark114" w:history="1">
        <w:r>
          <w:rPr>
            <w:position w:val="7"/>
            <w:sz w:val="13"/>
          </w:rPr>
          <w:t>108</w:t>
        </w:r>
      </w:hyperlink>
      <w:r>
        <w:rPr>
          <w:position w:val="7"/>
          <w:sz w:val="13"/>
        </w:rPr>
        <w:t xml:space="preserve"> </w:t>
      </w:r>
      <w:r>
        <w:t>What are the cost and benefits of such use?</w:t>
      </w:r>
    </w:p>
    <w:p w14:paraId="3C23A99F" w14:textId="7FB4FC34" w:rsidR="00FC6D7C" w:rsidRDefault="002032AD">
      <w:pPr>
        <w:pStyle w:val="ListParagraph"/>
        <w:numPr>
          <w:ilvl w:val="0"/>
          <w:numId w:val="6"/>
        </w:numPr>
        <w:tabs>
          <w:tab w:val="left" w:pos="1559"/>
          <w:tab w:val="left" w:pos="1561"/>
        </w:tabs>
        <w:spacing w:before="116"/>
        <w:ind w:right="119" w:firstLine="721"/>
      </w:pPr>
      <w:r>
        <w:t xml:space="preserve">In addition, we </w:t>
      </w:r>
      <w:r w:rsidR="00264B52" w:rsidRPr="00264B52">
        <w:rPr>
          <w:highlight w:val="yellow"/>
        </w:rPr>
        <w:t>seek comment</w:t>
      </w:r>
      <w:r>
        <w:t xml:space="preserve"> on the ramifications of permitting unlicensed 60 GHz radar operation on board aircraft with little or no RF attenuation characteristics, such as unmanned aerial systems (UAS)/drones and light and personal aircraft. The Commission has given a limited waiver to Leica Geosystems AG to operate a radar in the 60-64 GHz band on board a UAS to provide visual inspection of structures in engineering and scientific applications to prevent the UAS from colliding with the structure or other fixed objects that it is surveying.</w:t>
      </w:r>
      <w:hyperlink w:anchor="_bookmark115" w:history="1">
        <w:r>
          <w:rPr>
            <w:position w:val="7"/>
            <w:sz w:val="13"/>
          </w:rPr>
          <w:t>109</w:t>
        </w:r>
      </w:hyperlink>
      <w:r>
        <w:rPr>
          <w:position w:val="7"/>
          <w:sz w:val="13"/>
        </w:rPr>
        <w:t xml:space="preserve"> </w:t>
      </w:r>
      <w:r>
        <w:t>We have also received informal inquiries indicating an interest in deploying unlicensed 60 GHz radar for applications involving, as an example, use on board crop-spraying aircraft. Commenters who support expanding the types of aircraft upon which unlicensed 60 GHz devices could be deployed should address how such use would not undermine the objective of preventing harmful interference to EESS operations in the 57-59.3 GHz portion of the</w:t>
      </w:r>
      <w:r>
        <w:rPr>
          <w:spacing w:val="-19"/>
        </w:rPr>
        <w:t xml:space="preserve"> </w:t>
      </w:r>
      <w:r>
        <w:t>band.</w:t>
      </w:r>
    </w:p>
    <w:p w14:paraId="3F2F1B38" w14:textId="77777777" w:rsidR="00FC6D7C" w:rsidRDefault="002032AD">
      <w:pPr>
        <w:pStyle w:val="Heading1"/>
        <w:tabs>
          <w:tab w:val="left" w:pos="2279"/>
        </w:tabs>
        <w:spacing w:before="119"/>
        <w:ind w:left="1560"/>
      </w:pPr>
      <w:bookmarkStart w:id="127" w:name="2._Compliance_Testing"/>
      <w:bookmarkEnd w:id="127"/>
      <w:r>
        <w:t>2.</w:t>
      </w:r>
      <w:r>
        <w:tab/>
        <w:t>Compliance</w:t>
      </w:r>
      <w:r>
        <w:rPr>
          <w:spacing w:val="-4"/>
        </w:rPr>
        <w:t xml:space="preserve"> </w:t>
      </w:r>
      <w:r>
        <w:t>Testing</w:t>
      </w:r>
    </w:p>
    <w:p w14:paraId="0D3400C0" w14:textId="70673422" w:rsidR="00FC6D7C" w:rsidRDefault="002032AD">
      <w:pPr>
        <w:pStyle w:val="ListParagraph"/>
        <w:numPr>
          <w:ilvl w:val="0"/>
          <w:numId w:val="6"/>
        </w:numPr>
        <w:tabs>
          <w:tab w:val="left" w:pos="1559"/>
          <w:tab w:val="left" w:pos="1561"/>
        </w:tabs>
        <w:spacing w:before="119"/>
        <w:ind w:right="187" w:firstLine="721"/>
      </w:pPr>
      <w:r>
        <w:t xml:space="preserve">Compliance testing of modulated CW (e.g., FMCW) and pulse/impulse-based radar devices can be complex and typically requires careful consideration to ensure the proper characterization of technical parameters such as transmit bandwidth, output power and unwanted emissions levels in the out-of-band and spurious domains. As such, we </w:t>
      </w:r>
      <w:r w:rsidR="00264B52" w:rsidRPr="00264B52">
        <w:rPr>
          <w:highlight w:val="yellow"/>
        </w:rPr>
        <w:t>seek comment</w:t>
      </w:r>
      <w:r>
        <w:t xml:space="preserve"> on methodologies for performing such tests to obtain the data necessary to demonstrate compliance with the specified technical requirements for the types of radars anticipated to operate under section 15.255 rules. For example, should transmission bandwidth be represented only by the chirp or pulse </w:t>
      </w:r>
      <w:proofErr w:type="gramStart"/>
      <w:r>
        <w:t>specifications</w:t>
      </w:r>
      <w:proofErr w:type="gramEnd"/>
      <w:r>
        <w:t xml:space="preserve"> or should it be expressed as a measured occupied bandwidth, 20-dB bandwidth, or other representation? Similarly, should peak power measurements be avoided to eliminate potential for inaccurate amplitude results due to measurement instrumentation desensitization? Measured power levels for radio frequency (RF) pulses that are frequency modulated (chirped) vary as a function of the bandwidth in which the measurement is performed; if chirped pulses cause RF interference, the power levels of the pulses in victim receivers</w:t>
      </w:r>
      <w:r>
        <w:rPr>
          <w:spacing w:val="-29"/>
        </w:rPr>
        <w:t xml:space="preserve"> </w:t>
      </w:r>
      <w:proofErr w:type="gramStart"/>
      <w:r>
        <w:t>will</w:t>
      </w:r>
      <w:proofErr w:type="gramEnd"/>
    </w:p>
    <w:p w14:paraId="1F0D6B37" w14:textId="77777777" w:rsidR="00FC6D7C" w:rsidRDefault="0023630A">
      <w:pPr>
        <w:pStyle w:val="BodyText"/>
        <w:spacing w:before="5"/>
      </w:pPr>
      <w:r>
        <w:pict w14:anchorId="4DF29317">
          <v:line id="_x0000_s1030" style="position:absolute;z-index:251665920;mso-wrap-distance-left:0;mso-wrap-distance-right:0;mso-position-horizontal-relative:page" from="1in,15.2pt" to="3in,15.2pt" strokeweight=".6pt">
            <w10:wrap type="topAndBottom" anchorx="page"/>
          </v:line>
        </w:pict>
      </w:r>
    </w:p>
    <w:p w14:paraId="60D6EFED" w14:textId="77777777" w:rsidR="00FC6D7C" w:rsidRDefault="002032AD">
      <w:pPr>
        <w:spacing w:before="60"/>
        <w:ind w:left="119"/>
        <w:rPr>
          <w:sz w:val="20"/>
        </w:rPr>
      </w:pPr>
      <w:bookmarkStart w:id="128" w:name="_bookmark112"/>
      <w:bookmarkEnd w:id="128"/>
      <w:r>
        <w:rPr>
          <w:position w:val="7"/>
          <w:sz w:val="13"/>
        </w:rPr>
        <w:t xml:space="preserve">106 </w:t>
      </w:r>
      <w:r>
        <w:rPr>
          <w:sz w:val="20"/>
        </w:rPr>
        <w:t>We already allow 60 GHz WLAN signals on board aircraft at much higher power (i.e., 40 dBm EIRP) than the power we propose here for radar operation (20 dBm EIRP).</w:t>
      </w:r>
    </w:p>
    <w:p w14:paraId="30BF33DC" w14:textId="77777777" w:rsidR="00FC6D7C" w:rsidRDefault="002032AD">
      <w:pPr>
        <w:spacing w:before="115"/>
        <w:ind w:left="119"/>
        <w:rPr>
          <w:sz w:val="20"/>
        </w:rPr>
      </w:pPr>
      <w:bookmarkStart w:id="129" w:name="_bookmark113"/>
      <w:bookmarkEnd w:id="129"/>
      <w:r>
        <w:rPr>
          <w:position w:val="7"/>
          <w:sz w:val="13"/>
        </w:rPr>
        <w:t xml:space="preserve">107 </w:t>
      </w:r>
      <w:r>
        <w:rPr>
          <w:sz w:val="20"/>
        </w:rPr>
        <w:t>A typical commercial airliner with a 200-passenger average load could have 1-3 portable electronic devices per passenger as they may carry a smartphone, a tablet PC and/or a laptop.</w:t>
      </w:r>
    </w:p>
    <w:p w14:paraId="323553D1" w14:textId="77777777" w:rsidR="00FC6D7C" w:rsidRDefault="002032AD">
      <w:pPr>
        <w:spacing w:before="115"/>
        <w:ind w:left="119" w:right="204"/>
        <w:rPr>
          <w:sz w:val="20"/>
        </w:rPr>
      </w:pPr>
      <w:bookmarkStart w:id="130" w:name="_bookmark114"/>
      <w:bookmarkEnd w:id="130"/>
      <w:r>
        <w:rPr>
          <w:position w:val="7"/>
          <w:sz w:val="13"/>
        </w:rPr>
        <w:t xml:space="preserve">108 </w:t>
      </w:r>
      <w:r>
        <w:rPr>
          <w:i/>
          <w:sz w:val="20"/>
        </w:rPr>
        <w:t>See Use of Spectrum Bands Above 24 GHz For Mobile Radio Services</w:t>
      </w:r>
      <w:r>
        <w:rPr>
          <w:sz w:val="20"/>
        </w:rPr>
        <w:t xml:space="preserve">, GN Docket 14-177, FCC 17-152, Report and Order, Order on Reconsideration, Further Notice of Proposed Rulemaking, Memorandum Opinion and Order, 32 FCC </w:t>
      </w:r>
      <w:proofErr w:type="spellStart"/>
      <w:r>
        <w:rPr>
          <w:sz w:val="20"/>
        </w:rPr>
        <w:t>Rcd</w:t>
      </w:r>
      <w:proofErr w:type="spellEnd"/>
      <w:r>
        <w:rPr>
          <w:sz w:val="20"/>
        </w:rPr>
        <w:t xml:space="preserve"> 10988, 11014-11015, at paras. 83-84 (2017).</w:t>
      </w:r>
    </w:p>
    <w:p w14:paraId="42DD4B0C" w14:textId="77777777" w:rsidR="00FC6D7C" w:rsidRDefault="002032AD">
      <w:pPr>
        <w:spacing w:before="115"/>
        <w:ind w:left="119" w:right="446"/>
        <w:rPr>
          <w:sz w:val="20"/>
        </w:rPr>
      </w:pPr>
      <w:bookmarkStart w:id="131" w:name="_bookmark115"/>
      <w:bookmarkEnd w:id="131"/>
      <w:r>
        <w:rPr>
          <w:position w:val="7"/>
          <w:sz w:val="13"/>
        </w:rPr>
        <w:t xml:space="preserve">109 </w:t>
      </w:r>
      <w:r>
        <w:rPr>
          <w:i/>
          <w:sz w:val="20"/>
        </w:rPr>
        <w:t xml:space="preserve">See </w:t>
      </w:r>
      <w:proofErr w:type="gramStart"/>
      <w:r>
        <w:rPr>
          <w:i/>
          <w:sz w:val="20"/>
        </w:rPr>
        <w:t>In</w:t>
      </w:r>
      <w:proofErr w:type="gramEnd"/>
      <w:r>
        <w:rPr>
          <w:i/>
          <w:sz w:val="20"/>
        </w:rPr>
        <w:t xml:space="preserve"> the Matter of Leica Geosystems AG Request for Waiver of Section 15.255 of the Commission's Rules Applicable to Radars used on Unmanned Aerial Vehicles in the 60-64 GHz Frequency Band</w:t>
      </w:r>
      <w:r>
        <w:rPr>
          <w:sz w:val="20"/>
        </w:rPr>
        <w:t xml:space="preserve">, ET Docket No. 19- 350, DA 20-795, Order, FCC </w:t>
      </w:r>
      <w:proofErr w:type="spellStart"/>
      <w:r>
        <w:rPr>
          <w:sz w:val="20"/>
        </w:rPr>
        <w:t>Rcd</w:t>
      </w:r>
      <w:proofErr w:type="spellEnd"/>
      <w:r>
        <w:rPr>
          <w:sz w:val="20"/>
        </w:rPr>
        <w:t xml:space="preserve"> 7929 (2020)</w:t>
      </w:r>
      <w:r>
        <w:rPr>
          <w:color w:val="1D2B3E"/>
          <w:sz w:val="20"/>
        </w:rPr>
        <w:t>.</w:t>
      </w:r>
    </w:p>
    <w:p w14:paraId="3E94E832" w14:textId="77777777" w:rsidR="00FC6D7C" w:rsidRDefault="00FC6D7C">
      <w:pPr>
        <w:rPr>
          <w:sz w:val="20"/>
        </w:rPr>
        <w:sectPr w:rsidR="00FC6D7C">
          <w:footerReference w:type="default" r:id="rId44"/>
          <w:pgSz w:w="12240" w:h="15840"/>
          <w:pgMar w:top="980" w:right="1320" w:bottom="960" w:left="1320" w:header="727" w:footer="765" w:gutter="0"/>
          <w:cols w:space="720"/>
        </w:sectPr>
      </w:pPr>
    </w:p>
    <w:p w14:paraId="719CA206" w14:textId="77777777" w:rsidR="00FC6D7C" w:rsidRDefault="00FC6D7C">
      <w:pPr>
        <w:pStyle w:val="BodyText"/>
        <w:rPr>
          <w:sz w:val="20"/>
        </w:rPr>
      </w:pPr>
    </w:p>
    <w:p w14:paraId="2100B48C" w14:textId="77777777" w:rsidR="00FC6D7C" w:rsidRDefault="00FC6D7C">
      <w:pPr>
        <w:pStyle w:val="BodyText"/>
        <w:spacing w:before="4"/>
      </w:pPr>
    </w:p>
    <w:p w14:paraId="331B15C8" w14:textId="5D661421" w:rsidR="00FC6D7C" w:rsidRDefault="002032AD">
      <w:pPr>
        <w:pStyle w:val="BodyText"/>
        <w:ind w:left="120" w:right="265"/>
      </w:pPr>
      <w:r>
        <w:t>likewise vary as a function of receiver bandwidth. NTIA Technical Report TR-12-488 provides both heuristic and rigorous derivations of the relationships among chirped pulse parameters and the measured peak and average power levels of chirped pulses as a function of measurement bandwidth.</w:t>
      </w:r>
      <w:hyperlink w:anchor="_bookmark116" w:history="1">
        <w:r>
          <w:rPr>
            <w:position w:val="7"/>
            <w:sz w:val="13"/>
          </w:rPr>
          <w:t>110</w:t>
        </w:r>
      </w:hyperlink>
      <w:r>
        <w:rPr>
          <w:position w:val="7"/>
          <w:sz w:val="13"/>
        </w:rPr>
        <w:t xml:space="preserve"> </w:t>
      </w:r>
      <w:r>
        <w:t xml:space="preserve">These relationships may be best understood via a single graph (Figure 3) presented in this report. This report supplements NTIA Technical Reports TR-05-420, TR-10-465 and TR-10-466, in which the formula for minimum bandwidth needed for measurement of full peak power in chirped pulses is presented but not derived. We </w:t>
      </w:r>
      <w:r w:rsidR="00264B52" w:rsidRPr="00264B52">
        <w:rPr>
          <w:highlight w:val="yellow"/>
        </w:rPr>
        <w:t>seek comment</w:t>
      </w:r>
      <w:r>
        <w:t xml:space="preserve"> on NTIA’s technical report and its applicability to measurements of chirped signals.</w:t>
      </w:r>
    </w:p>
    <w:p w14:paraId="311F78F7" w14:textId="34A6130E" w:rsidR="00FC6D7C" w:rsidRDefault="002032AD">
      <w:pPr>
        <w:pStyle w:val="ListParagraph"/>
        <w:numPr>
          <w:ilvl w:val="0"/>
          <w:numId w:val="6"/>
        </w:numPr>
        <w:tabs>
          <w:tab w:val="left" w:pos="1559"/>
          <w:tab w:val="left" w:pos="1561"/>
        </w:tabs>
        <w:spacing w:before="116"/>
        <w:ind w:right="130" w:firstLine="721"/>
      </w:pPr>
      <w:r>
        <w:t>We propose to exempt FMCW and other similar swept-frequency radars from the section 15.31(c) requirement to stop the frequency sweep when measuring the relevant technical parameters.</w:t>
      </w:r>
      <w:hyperlink w:anchor="_bookmark117" w:history="1">
        <w:r>
          <w:rPr>
            <w:position w:val="7"/>
            <w:sz w:val="13"/>
          </w:rPr>
          <w:t>111</w:t>
        </w:r>
      </w:hyperlink>
      <w:r>
        <w:rPr>
          <w:position w:val="7"/>
          <w:sz w:val="13"/>
        </w:rPr>
        <w:t xml:space="preserve"> </w:t>
      </w:r>
      <w:r>
        <w:t>Stopping the sweep is physically impractical for most of these types of devices and can result in inaccurate measurements.</w:t>
      </w:r>
      <w:hyperlink w:anchor="_bookmark118" w:history="1">
        <w:r>
          <w:rPr>
            <w:position w:val="7"/>
            <w:sz w:val="13"/>
          </w:rPr>
          <w:t>112</w:t>
        </w:r>
      </w:hyperlink>
      <w:r>
        <w:rPr>
          <w:position w:val="7"/>
          <w:sz w:val="13"/>
        </w:rPr>
        <w:t xml:space="preserve">  </w:t>
      </w:r>
      <w:r>
        <w:t>In addition, we propose to remove the section 15.255(c)(4) requirement to use an RF detector with a detection bandwidth that encompasses the 57-71 GHz frequency range for performing peak power measurements. We believe that this requirement is superseded by the more recent inclusion of section 15.255(i),</w:t>
      </w:r>
      <w:hyperlink w:anchor="_bookmark119" w:history="1">
        <w:r>
          <w:rPr>
            <w:position w:val="7"/>
            <w:sz w:val="13"/>
          </w:rPr>
          <w:t>113</w:t>
        </w:r>
      </w:hyperlink>
      <w:r>
        <w:rPr>
          <w:position w:val="7"/>
          <w:sz w:val="13"/>
        </w:rPr>
        <w:t xml:space="preserve"> </w:t>
      </w:r>
      <w:r>
        <w:t>which sets out a flexible approach toward measurement that can be adapted more effectively as the technology of devices and test instrumentation evolve.  Finally, we propose to specify that the provision of section 15.35(c) that requires calculating average field strength over a complete pulse train or 100 milliseconds is not applicable to pulsed or burst radars that operate in the 60 GHz band.</w:t>
      </w:r>
      <w:hyperlink w:anchor="_bookmark120" w:history="1">
        <w:r>
          <w:rPr>
            <w:position w:val="7"/>
            <w:sz w:val="13"/>
          </w:rPr>
          <w:t>114</w:t>
        </w:r>
      </w:hyperlink>
      <w:r>
        <w:rPr>
          <w:position w:val="7"/>
          <w:sz w:val="13"/>
        </w:rPr>
        <w:t xml:space="preserve">  </w:t>
      </w:r>
      <w:r>
        <w:t>This measurement requirement was originally designed for low frequency pulse- code modulated devices such as garage door openers and we believe it is not appropriate for high frequency radars.</w:t>
      </w:r>
      <w:hyperlink w:anchor="_bookmark121" w:history="1">
        <w:r>
          <w:rPr>
            <w:position w:val="7"/>
            <w:sz w:val="13"/>
          </w:rPr>
          <w:t>115</w:t>
        </w:r>
      </w:hyperlink>
      <w:r>
        <w:rPr>
          <w:position w:val="7"/>
          <w:sz w:val="13"/>
        </w:rPr>
        <w:t xml:space="preserve">  </w:t>
      </w:r>
      <w:r>
        <w:t xml:space="preserve">We </w:t>
      </w:r>
      <w:r w:rsidR="00264B52" w:rsidRPr="00264B52">
        <w:rPr>
          <w:highlight w:val="yellow"/>
        </w:rPr>
        <w:t>seek comment</w:t>
      </w:r>
      <w:r>
        <w:t xml:space="preserve"> on these</w:t>
      </w:r>
      <w:r>
        <w:rPr>
          <w:spacing w:val="-8"/>
        </w:rPr>
        <w:t xml:space="preserve"> </w:t>
      </w:r>
      <w:r>
        <w:t>proposals.</w:t>
      </w:r>
    </w:p>
    <w:p w14:paraId="1F70775F" w14:textId="77777777" w:rsidR="00FC6D7C" w:rsidRDefault="00FC6D7C">
      <w:pPr>
        <w:pStyle w:val="BodyText"/>
        <w:rPr>
          <w:sz w:val="24"/>
        </w:rPr>
      </w:pPr>
    </w:p>
    <w:p w14:paraId="38A0309C" w14:textId="77777777" w:rsidR="00FC6D7C" w:rsidRDefault="00FC6D7C">
      <w:pPr>
        <w:pStyle w:val="BodyText"/>
        <w:spacing w:before="10"/>
        <w:rPr>
          <w:sz w:val="18"/>
        </w:rPr>
      </w:pPr>
    </w:p>
    <w:p w14:paraId="747593E1" w14:textId="77777777" w:rsidR="00FC6D7C" w:rsidRDefault="002032AD">
      <w:pPr>
        <w:pStyle w:val="Heading1"/>
        <w:numPr>
          <w:ilvl w:val="1"/>
          <w:numId w:val="10"/>
        </w:numPr>
        <w:tabs>
          <w:tab w:val="left" w:pos="839"/>
          <w:tab w:val="left" w:pos="840"/>
        </w:tabs>
        <w:ind w:left="840"/>
        <w:jc w:val="left"/>
      </w:pPr>
      <w:bookmarkStart w:id="132" w:name="IV._Procedural_Matters"/>
      <w:bookmarkEnd w:id="132"/>
      <w:r>
        <w:t>PROCEDURAL</w:t>
      </w:r>
      <w:r>
        <w:rPr>
          <w:spacing w:val="-12"/>
        </w:rPr>
        <w:t xml:space="preserve"> </w:t>
      </w:r>
      <w:r>
        <w:t>MATTERS</w:t>
      </w:r>
    </w:p>
    <w:p w14:paraId="5DB71C51" w14:textId="77777777" w:rsidR="00FC6D7C" w:rsidRDefault="002032AD">
      <w:pPr>
        <w:pStyle w:val="ListParagraph"/>
        <w:numPr>
          <w:ilvl w:val="0"/>
          <w:numId w:val="6"/>
        </w:numPr>
        <w:tabs>
          <w:tab w:val="left" w:pos="1559"/>
          <w:tab w:val="left" w:pos="1560"/>
        </w:tabs>
        <w:spacing w:before="116"/>
        <w:ind w:right="334" w:firstLine="721"/>
      </w:pPr>
      <w:r>
        <w:rPr>
          <w:i/>
        </w:rPr>
        <w:t>Initial Regulatory Flexibility Act</w:t>
      </w:r>
      <w:r>
        <w:t>. The Regulatory Flexibility Act of 1980, as amended (RFA),</w:t>
      </w:r>
      <w:hyperlink w:anchor="_bookmark122" w:history="1">
        <w:r>
          <w:rPr>
            <w:position w:val="7"/>
            <w:sz w:val="13"/>
          </w:rPr>
          <w:t>116</w:t>
        </w:r>
      </w:hyperlink>
      <w:r>
        <w:rPr>
          <w:position w:val="7"/>
          <w:sz w:val="13"/>
        </w:rPr>
        <w:t xml:space="preserve"> </w:t>
      </w:r>
      <w:r>
        <w:t>requires that a regulatory flexibility analysis be prepared for notice and comment rulemaking proceedings, unless the agency certifies that “the rule will not, if promulgated, have a significant economic impact on a substantial number of small entities.”</w:t>
      </w:r>
      <w:hyperlink w:anchor="_bookmark123" w:history="1">
        <w:r>
          <w:rPr>
            <w:position w:val="8"/>
            <w:sz w:val="14"/>
          </w:rPr>
          <w:t>117</w:t>
        </w:r>
      </w:hyperlink>
      <w:r>
        <w:rPr>
          <w:position w:val="8"/>
          <w:sz w:val="14"/>
        </w:rPr>
        <w:t xml:space="preserve"> </w:t>
      </w:r>
      <w:r>
        <w:t xml:space="preserve">Accordingly, the Commission has prepared an Initial Regulatory Flexibility Analysis (IRFA) concerning potential rule and policy changes contained in this </w:t>
      </w:r>
      <w:r>
        <w:rPr>
          <w:i/>
        </w:rPr>
        <w:t>Notice of Proposed Rulemaking</w:t>
      </w:r>
      <w:r>
        <w:t>.  The IRFA is set forth in Appendix</w:t>
      </w:r>
      <w:r>
        <w:rPr>
          <w:spacing w:val="-22"/>
        </w:rPr>
        <w:t xml:space="preserve"> </w:t>
      </w:r>
      <w:r>
        <w:t>B.</w:t>
      </w:r>
    </w:p>
    <w:p w14:paraId="54C639C0" w14:textId="77777777" w:rsidR="00FC6D7C" w:rsidRDefault="002032AD">
      <w:pPr>
        <w:pStyle w:val="ListParagraph"/>
        <w:numPr>
          <w:ilvl w:val="0"/>
          <w:numId w:val="6"/>
        </w:numPr>
        <w:tabs>
          <w:tab w:val="left" w:pos="1559"/>
          <w:tab w:val="left" w:pos="1560"/>
        </w:tabs>
        <w:spacing w:before="119"/>
        <w:ind w:left="120" w:right="164" w:firstLine="719"/>
      </w:pPr>
      <w:r>
        <w:rPr>
          <w:i/>
        </w:rPr>
        <w:t xml:space="preserve">Initial Paperwork Reduction Act Analysis. </w:t>
      </w:r>
      <w:r>
        <w:t xml:space="preserve">This </w:t>
      </w:r>
      <w:r>
        <w:rPr>
          <w:i/>
        </w:rPr>
        <w:t xml:space="preserve">Notice of Proposed Rulemaking </w:t>
      </w:r>
      <w:r>
        <w:t>does not contain potential new or revised information collection</w:t>
      </w:r>
      <w:r>
        <w:rPr>
          <w:spacing w:val="-15"/>
        </w:rPr>
        <w:t xml:space="preserve"> </w:t>
      </w:r>
      <w:r>
        <w:t>requirements.</w:t>
      </w:r>
    </w:p>
    <w:p w14:paraId="53A24AEC" w14:textId="77777777" w:rsidR="00FC6D7C" w:rsidRDefault="002032AD">
      <w:pPr>
        <w:pStyle w:val="ListParagraph"/>
        <w:numPr>
          <w:ilvl w:val="0"/>
          <w:numId w:val="6"/>
        </w:numPr>
        <w:tabs>
          <w:tab w:val="left" w:pos="1560"/>
          <w:tab w:val="left" w:pos="1561"/>
        </w:tabs>
        <w:spacing w:before="119"/>
        <w:ind w:left="120" w:right="361" w:firstLine="720"/>
      </w:pPr>
      <w:r>
        <w:rPr>
          <w:i/>
        </w:rPr>
        <w:t>Filing Requirements</w:t>
      </w:r>
      <w:r>
        <w:t>—</w:t>
      </w:r>
      <w:r>
        <w:rPr>
          <w:i/>
        </w:rPr>
        <w:t>Comments and Replies</w:t>
      </w:r>
      <w:r>
        <w:t>. Pursuant to sections 1.415 and 1.419 of the Commission’s rules, 47 CFR §§ 1.415, 1.419, interested parties may file comments and</w:t>
      </w:r>
      <w:r>
        <w:rPr>
          <w:spacing w:val="-20"/>
        </w:rPr>
        <w:t xml:space="preserve"> </w:t>
      </w:r>
      <w:proofErr w:type="gramStart"/>
      <w:r>
        <w:t>reply</w:t>
      </w:r>
      <w:proofErr w:type="gramEnd"/>
    </w:p>
    <w:p w14:paraId="14212737" w14:textId="77777777" w:rsidR="00FC6D7C" w:rsidRDefault="0023630A">
      <w:pPr>
        <w:pStyle w:val="BodyText"/>
        <w:spacing w:before="4"/>
        <w:rPr>
          <w:sz w:val="19"/>
        </w:rPr>
      </w:pPr>
      <w:r>
        <w:pict w14:anchorId="6E01CADF">
          <v:line id="_x0000_s1029" style="position:absolute;z-index:251666944;mso-wrap-distance-left:0;mso-wrap-distance-right:0;mso-position-horizontal-relative:page" from="1in,13.4pt" to="3in,13.4pt" strokeweight=".6pt">
            <w10:wrap type="topAndBottom" anchorx="page"/>
          </v:line>
        </w:pict>
      </w:r>
    </w:p>
    <w:p w14:paraId="56EA1689" w14:textId="77777777" w:rsidR="00FC6D7C" w:rsidRDefault="002032AD">
      <w:pPr>
        <w:spacing w:before="63"/>
        <w:ind w:left="119" w:right="162"/>
        <w:rPr>
          <w:sz w:val="20"/>
        </w:rPr>
      </w:pPr>
      <w:bookmarkStart w:id="133" w:name="_bookmark116"/>
      <w:bookmarkEnd w:id="133"/>
      <w:r>
        <w:rPr>
          <w:position w:val="7"/>
          <w:sz w:val="13"/>
        </w:rPr>
        <w:t xml:space="preserve">110 </w:t>
      </w:r>
      <w:r>
        <w:rPr>
          <w:sz w:val="20"/>
        </w:rPr>
        <w:t xml:space="preserve">National Telecommunications and Information Administration Technical Report TR-12-488, </w:t>
      </w:r>
      <w:r>
        <w:rPr>
          <w:i/>
          <w:sz w:val="20"/>
        </w:rPr>
        <w:t xml:space="preserve">Relationships Between Measured Power and Measurement Bandwidth for Frequency-Modulated (Chirped) Pulses </w:t>
      </w:r>
      <w:r>
        <w:rPr>
          <w:sz w:val="20"/>
        </w:rPr>
        <w:t>(August 2012).</w:t>
      </w:r>
    </w:p>
    <w:p w14:paraId="6D6F7064" w14:textId="77777777" w:rsidR="00FC6D7C" w:rsidRDefault="002032AD">
      <w:pPr>
        <w:spacing w:before="116"/>
        <w:ind w:left="120"/>
        <w:rPr>
          <w:sz w:val="20"/>
        </w:rPr>
      </w:pPr>
      <w:bookmarkStart w:id="134" w:name="_bookmark117"/>
      <w:bookmarkEnd w:id="134"/>
      <w:r>
        <w:rPr>
          <w:position w:val="7"/>
          <w:sz w:val="13"/>
        </w:rPr>
        <w:t xml:space="preserve">111 </w:t>
      </w:r>
      <w:r>
        <w:rPr>
          <w:sz w:val="20"/>
        </w:rPr>
        <w:t>47 CFR § 15.31(c).</w:t>
      </w:r>
    </w:p>
    <w:p w14:paraId="6737985F" w14:textId="77777777" w:rsidR="00FC6D7C" w:rsidRDefault="002032AD">
      <w:pPr>
        <w:spacing w:before="113"/>
        <w:ind w:left="120" w:right="183"/>
        <w:rPr>
          <w:sz w:val="20"/>
        </w:rPr>
      </w:pPr>
      <w:bookmarkStart w:id="135" w:name="_bookmark118"/>
      <w:bookmarkEnd w:id="135"/>
      <w:r>
        <w:rPr>
          <w:position w:val="7"/>
          <w:sz w:val="13"/>
        </w:rPr>
        <w:t xml:space="preserve">112 </w:t>
      </w:r>
      <w:r>
        <w:rPr>
          <w:sz w:val="20"/>
        </w:rPr>
        <w:t>An FMCW radar works by sweeping a continuous wave (CW) signal over a defined frequency range. If the sweep is stopped for a bandwidth measurement, the measured bandwidth will be that of a CW signal, which is zero.</w:t>
      </w:r>
    </w:p>
    <w:p w14:paraId="5ADD7204" w14:textId="77777777" w:rsidR="00FC6D7C" w:rsidRDefault="002032AD">
      <w:pPr>
        <w:spacing w:before="115"/>
        <w:ind w:left="119"/>
        <w:rPr>
          <w:sz w:val="20"/>
        </w:rPr>
      </w:pPr>
      <w:bookmarkStart w:id="136" w:name="_bookmark119"/>
      <w:bookmarkEnd w:id="136"/>
      <w:r>
        <w:rPr>
          <w:position w:val="7"/>
          <w:sz w:val="13"/>
        </w:rPr>
        <w:t xml:space="preserve">113 </w:t>
      </w:r>
      <w:r>
        <w:rPr>
          <w:sz w:val="20"/>
        </w:rPr>
        <w:t>47 CFR § 15.255(i) states “Measurement procedures that have been found to be acceptable to the Commission in accordance with §2.947 of this chapter may be used to demonstrate compliance.”</w:t>
      </w:r>
    </w:p>
    <w:p w14:paraId="7C6BE6CE" w14:textId="77777777" w:rsidR="00FC6D7C" w:rsidRDefault="002032AD">
      <w:pPr>
        <w:spacing w:before="115"/>
        <w:ind w:left="120"/>
        <w:rPr>
          <w:sz w:val="20"/>
        </w:rPr>
      </w:pPr>
      <w:bookmarkStart w:id="137" w:name="_bookmark120"/>
      <w:bookmarkEnd w:id="137"/>
      <w:r>
        <w:rPr>
          <w:position w:val="7"/>
          <w:sz w:val="13"/>
        </w:rPr>
        <w:t xml:space="preserve">114 </w:t>
      </w:r>
      <w:r>
        <w:rPr>
          <w:sz w:val="20"/>
        </w:rPr>
        <w:t>47 CFR § 15.35(c).</w:t>
      </w:r>
    </w:p>
    <w:p w14:paraId="5282677E" w14:textId="77777777" w:rsidR="00FC6D7C" w:rsidRDefault="002032AD">
      <w:pPr>
        <w:spacing w:before="113"/>
        <w:ind w:left="120"/>
        <w:rPr>
          <w:sz w:val="20"/>
        </w:rPr>
      </w:pPr>
      <w:bookmarkStart w:id="138" w:name="_bookmark121"/>
      <w:bookmarkEnd w:id="138"/>
      <w:r>
        <w:rPr>
          <w:position w:val="7"/>
          <w:sz w:val="13"/>
        </w:rPr>
        <w:t xml:space="preserve">115 </w:t>
      </w:r>
      <w:r>
        <w:rPr>
          <w:sz w:val="20"/>
        </w:rPr>
        <w:t>Garage door openers typically operate in the 300-390 MHz frequency range.</w:t>
      </w:r>
    </w:p>
    <w:p w14:paraId="6FC933F2" w14:textId="77777777" w:rsidR="00FC6D7C" w:rsidRDefault="002032AD">
      <w:pPr>
        <w:spacing w:before="116"/>
        <w:ind w:left="119"/>
        <w:rPr>
          <w:sz w:val="20"/>
        </w:rPr>
      </w:pPr>
      <w:bookmarkStart w:id="139" w:name="_bookmark122"/>
      <w:bookmarkEnd w:id="139"/>
      <w:r>
        <w:rPr>
          <w:position w:val="7"/>
          <w:sz w:val="13"/>
        </w:rPr>
        <w:t xml:space="preserve">116 </w:t>
      </w:r>
      <w:r>
        <w:rPr>
          <w:sz w:val="20"/>
        </w:rPr>
        <w:t>5 U.S.C. § 603. The RFA, 5 U.S.C. §§ 601–612, was amended by the Small Business Regulatory Enforcement Fairness Act of 1996 (SBREFA), Pub. L. No. 104-121, Title II, 110 Stat. 857 (1996).</w:t>
      </w:r>
    </w:p>
    <w:p w14:paraId="14DACFB1" w14:textId="77777777" w:rsidR="00FC6D7C" w:rsidRDefault="002032AD">
      <w:pPr>
        <w:spacing w:before="115"/>
        <w:ind w:left="120"/>
        <w:rPr>
          <w:sz w:val="20"/>
        </w:rPr>
      </w:pPr>
      <w:bookmarkStart w:id="140" w:name="_bookmark123"/>
      <w:bookmarkEnd w:id="140"/>
      <w:r>
        <w:rPr>
          <w:position w:val="7"/>
          <w:sz w:val="13"/>
        </w:rPr>
        <w:t xml:space="preserve">117 </w:t>
      </w:r>
      <w:r>
        <w:rPr>
          <w:i/>
          <w:sz w:val="20"/>
        </w:rPr>
        <w:t xml:space="preserve">Id. </w:t>
      </w:r>
      <w:r>
        <w:rPr>
          <w:sz w:val="20"/>
        </w:rPr>
        <w:t>§ 605(b).</w:t>
      </w:r>
    </w:p>
    <w:p w14:paraId="295E67AF" w14:textId="77777777" w:rsidR="00FC6D7C" w:rsidRDefault="00FC6D7C">
      <w:pPr>
        <w:rPr>
          <w:sz w:val="20"/>
        </w:rPr>
        <w:sectPr w:rsidR="00FC6D7C">
          <w:footerReference w:type="default" r:id="rId45"/>
          <w:pgSz w:w="12240" w:h="15840"/>
          <w:pgMar w:top="980" w:right="1320" w:bottom="900" w:left="1320" w:header="727" w:footer="712" w:gutter="0"/>
          <w:pgNumType w:start="21"/>
          <w:cols w:space="720"/>
        </w:sectPr>
      </w:pPr>
    </w:p>
    <w:p w14:paraId="25BC68C3" w14:textId="77777777" w:rsidR="00FC6D7C" w:rsidRDefault="00FC6D7C">
      <w:pPr>
        <w:pStyle w:val="BodyText"/>
        <w:rPr>
          <w:sz w:val="20"/>
        </w:rPr>
      </w:pPr>
    </w:p>
    <w:p w14:paraId="480BBF8E" w14:textId="77777777" w:rsidR="00FC6D7C" w:rsidRDefault="00FC6D7C">
      <w:pPr>
        <w:pStyle w:val="BodyText"/>
        <w:spacing w:before="4"/>
      </w:pPr>
    </w:p>
    <w:p w14:paraId="05C085B4" w14:textId="77777777" w:rsidR="00FC6D7C" w:rsidRDefault="002032AD">
      <w:pPr>
        <w:spacing w:line="242" w:lineRule="auto"/>
        <w:ind w:left="119" w:right="102"/>
      </w:pPr>
      <w:r>
        <w:t xml:space="preserve">comments on or before the dates indicated on the first page of this document. Comments may be filed using the Commission’s Electronic Comment Filing System (ECFS). </w:t>
      </w:r>
      <w:r>
        <w:rPr>
          <w:i/>
        </w:rPr>
        <w:t>See Electronic Filing of Documents in Rulemaking Proceedings</w:t>
      </w:r>
      <w:r>
        <w:t>, 63 FR 24121 (1998).</w:t>
      </w:r>
    </w:p>
    <w:p w14:paraId="45D5F912" w14:textId="77777777" w:rsidR="00FC6D7C" w:rsidRDefault="002032AD">
      <w:pPr>
        <w:pStyle w:val="ListParagraph"/>
        <w:numPr>
          <w:ilvl w:val="0"/>
          <w:numId w:val="5"/>
        </w:numPr>
        <w:tabs>
          <w:tab w:val="left" w:pos="1199"/>
          <w:tab w:val="left" w:pos="1201"/>
        </w:tabs>
        <w:spacing w:before="114"/>
        <w:ind w:right="312"/>
      </w:pPr>
      <w:r>
        <w:t>Electronic Filers: Comments may be filed electronically using the Internet by accessing the ECFS:</w:t>
      </w:r>
      <w:r>
        <w:rPr>
          <w:spacing w:val="49"/>
        </w:rPr>
        <w:t xml:space="preserve"> </w:t>
      </w:r>
      <w:hyperlink r:id="rId46">
        <w:r>
          <w:rPr>
            <w:u w:val="single"/>
          </w:rPr>
          <w:t>https://www.fcc.gov/ecfs</w:t>
        </w:r>
        <w:r>
          <w:t>.</w:t>
        </w:r>
      </w:hyperlink>
    </w:p>
    <w:p w14:paraId="3CC10799" w14:textId="77777777" w:rsidR="00FC6D7C" w:rsidRDefault="002032AD">
      <w:pPr>
        <w:pStyle w:val="ListParagraph"/>
        <w:numPr>
          <w:ilvl w:val="0"/>
          <w:numId w:val="5"/>
        </w:numPr>
        <w:tabs>
          <w:tab w:val="left" w:pos="1200"/>
          <w:tab w:val="left" w:pos="1201"/>
        </w:tabs>
        <w:spacing w:before="119"/>
        <w:ind w:hanging="360"/>
      </w:pPr>
      <w:r>
        <w:t>Paper</w:t>
      </w:r>
      <w:r>
        <w:rPr>
          <w:spacing w:val="-3"/>
        </w:rPr>
        <w:t xml:space="preserve"> </w:t>
      </w:r>
      <w:r>
        <w:t>Filers:</w:t>
      </w:r>
    </w:p>
    <w:p w14:paraId="544D4D2D" w14:textId="77777777" w:rsidR="00FC6D7C" w:rsidRDefault="002032AD">
      <w:pPr>
        <w:pStyle w:val="ListParagraph"/>
        <w:numPr>
          <w:ilvl w:val="1"/>
          <w:numId w:val="5"/>
        </w:numPr>
        <w:tabs>
          <w:tab w:val="left" w:pos="1560"/>
          <w:tab w:val="left" w:pos="1561"/>
        </w:tabs>
        <w:spacing w:before="122" w:line="235" w:lineRule="auto"/>
        <w:ind w:right="344" w:hanging="360"/>
      </w:pPr>
      <w:r>
        <w:t>Parties who choose to file by paper must file an original and one copy of each filing. If more than one docket or rulemaking number appears in the caption of this proceeding, filers must submit two additional copies for each additional docket or rulemaking number.</w:t>
      </w:r>
    </w:p>
    <w:p w14:paraId="349693F6" w14:textId="77777777" w:rsidR="00FC6D7C" w:rsidRDefault="002032AD">
      <w:pPr>
        <w:pStyle w:val="ListParagraph"/>
        <w:numPr>
          <w:ilvl w:val="1"/>
          <w:numId w:val="5"/>
        </w:numPr>
        <w:tabs>
          <w:tab w:val="left" w:pos="1561"/>
        </w:tabs>
        <w:spacing w:before="119" w:line="254" w:lineRule="exact"/>
        <w:ind w:right="206" w:hanging="360"/>
        <w:jc w:val="both"/>
      </w:pPr>
      <w:r>
        <w:t>Filings can be sent by hand or messenger delivery, by commercial overnight courier, or by first-class or overnight U.S. Postal Service mail. All filings must be addressed to the Commission’s Secretary, Office of the Secretary, Federal Communications</w:t>
      </w:r>
      <w:r>
        <w:rPr>
          <w:spacing w:val="-22"/>
        </w:rPr>
        <w:t xml:space="preserve"> </w:t>
      </w:r>
      <w:r>
        <w:t>Commission.</w:t>
      </w:r>
    </w:p>
    <w:p w14:paraId="0FB70B54" w14:textId="77777777" w:rsidR="00FC6D7C" w:rsidRDefault="002032AD">
      <w:pPr>
        <w:pStyle w:val="ListParagraph"/>
        <w:numPr>
          <w:ilvl w:val="1"/>
          <w:numId w:val="5"/>
        </w:numPr>
        <w:tabs>
          <w:tab w:val="left" w:pos="1560"/>
          <w:tab w:val="left" w:pos="1561"/>
        </w:tabs>
        <w:spacing w:before="117" w:line="237" w:lineRule="auto"/>
        <w:ind w:right="129" w:hanging="360"/>
      </w:pPr>
      <w:r>
        <w:t xml:space="preserve">Effective March 19, 2020, and until further notice, the Commission no longer accepts any hand or messenger delivered filings.  This is a temporary measure taken to help protect the health and safety of individuals, and to mitigate the transmission of COVID-19. </w:t>
      </w:r>
      <w:r>
        <w:rPr>
          <w:i/>
        </w:rPr>
        <w:t xml:space="preserve">See </w:t>
      </w:r>
      <w:r>
        <w:t xml:space="preserve">FCC Announces Closure of FCC Headquarters Open Window and Change in Hand- Delivery Policy, Public Notice, DA 20-304 (March. 19, 2020), </w:t>
      </w:r>
      <w:hyperlink r:id="rId47">
        <w:r>
          <w:rPr>
            <w:spacing w:val="-1"/>
            <w:u w:val="single"/>
          </w:rPr>
          <w:t xml:space="preserve">https://www.fcc.gov/document/fcc-closes-headquarters-open-window-and-changes-hand- </w:t>
        </w:r>
      </w:hyperlink>
      <w:hyperlink r:id="rId48">
        <w:r>
          <w:rPr>
            <w:u w:val="single"/>
          </w:rPr>
          <w:t>delivery-policy</w:t>
        </w:r>
        <w:r>
          <w:t>.</w:t>
        </w:r>
      </w:hyperlink>
    </w:p>
    <w:p w14:paraId="7C3A4983" w14:textId="77777777" w:rsidR="00FC6D7C" w:rsidRDefault="002032AD">
      <w:pPr>
        <w:pStyle w:val="ListParagraph"/>
        <w:numPr>
          <w:ilvl w:val="1"/>
          <w:numId w:val="5"/>
        </w:numPr>
        <w:tabs>
          <w:tab w:val="left" w:pos="1560"/>
          <w:tab w:val="left" w:pos="1561"/>
        </w:tabs>
        <w:spacing w:before="117" w:line="256" w:lineRule="exact"/>
        <w:ind w:right="513" w:hanging="360"/>
      </w:pPr>
      <w:r>
        <w:t>Commercial overnight mail (other than U.S. Postal Service Express Mail and Priority Mail) must be sent to 9050 Junction Drive, Annapolis Junction, MD</w:t>
      </w:r>
      <w:r>
        <w:rPr>
          <w:spacing w:val="-17"/>
        </w:rPr>
        <w:t xml:space="preserve"> </w:t>
      </w:r>
      <w:r>
        <w:t>20701.</w:t>
      </w:r>
    </w:p>
    <w:p w14:paraId="6323290A" w14:textId="77777777" w:rsidR="00FC6D7C" w:rsidRDefault="002032AD">
      <w:pPr>
        <w:pStyle w:val="ListParagraph"/>
        <w:numPr>
          <w:ilvl w:val="1"/>
          <w:numId w:val="5"/>
        </w:numPr>
        <w:tabs>
          <w:tab w:val="left" w:pos="1560"/>
          <w:tab w:val="left" w:pos="1561"/>
        </w:tabs>
        <w:spacing w:before="113" w:line="256" w:lineRule="exact"/>
        <w:ind w:right="661" w:hanging="360"/>
      </w:pPr>
      <w:r>
        <w:t>U.S. Postal Service first-class, Express, and Priority mail must be addressed to 45 L Street, NE, Washington, DC</w:t>
      </w:r>
      <w:r>
        <w:rPr>
          <w:spacing w:val="-4"/>
        </w:rPr>
        <w:t xml:space="preserve"> </w:t>
      </w:r>
      <w:r>
        <w:t>20554.</w:t>
      </w:r>
    </w:p>
    <w:p w14:paraId="56EA479D" w14:textId="77777777" w:rsidR="00FC6D7C" w:rsidRDefault="002032AD">
      <w:pPr>
        <w:pStyle w:val="ListParagraph"/>
        <w:numPr>
          <w:ilvl w:val="0"/>
          <w:numId w:val="6"/>
        </w:numPr>
        <w:tabs>
          <w:tab w:val="left" w:pos="1559"/>
          <w:tab w:val="left" w:pos="1561"/>
        </w:tabs>
        <w:spacing w:before="113"/>
        <w:ind w:right="313" w:firstLine="721"/>
      </w:pPr>
      <w:r>
        <w:rPr>
          <w:i/>
        </w:rPr>
        <w:t xml:space="preserve">People with Disabilities. </w:t>
      </w:r>
      <w:r>
        <w:t xml:space="preserve">To request materials in accessible formats for people with disabilities (Braille, large print, electronic files, audio format), send an e-mail to </w:t>
      </w:r>
      <w:hyperlink r:id="rId49">
        <w:r>
          <w:rPr>
            <w:u w:val="single"/>
          </w:rPr>
          <w:t xml:space="preserve">fcc504@fcc.gov </w:t>
        </w:r>
      </w:hyperlink>
      <w:r>
        <w:t>or call the FCC’s Consumer and Governmental Affairs Bureau at (202) 418-0530 (voice), (202) 418-0432 (TTY).</w:t>
      </w:r>
    </w:p>
    <w:p w14:paraId="74CA29D9" w14:textId="77777777" w:rsidR="00FC6D7C" w:rsidRDefault="002032AD">
      <w:pPr>
        <w:pStyle w:val="ListParagraph"/>
        <w:numPr>
          <w:ilvl w:val="0"/>
          <w:numId w:val="6"/>
        </w:numPr>
        <w:tabs>
          <w:tab w:val="left" w:pos="1559"/>
          <w:tab w:val="left" w:pos="1561"/>
        </w:tabs>
        <w:spacing w:before="119"/>
        <w:ind w:right="122" w:firstLine="721"/>
        <w:rPr>
          <w:i/>
        </w:rPr>
      </w:pPr>
      <w:r>
        <w:rPr>
          <w:i/>
        </w:rPr>
        <w:t xml:space="preserve">Ex </w:t>
      </w:r>
      <w:proofErr w:type="spellStart"/>
      <w:r>
        <w:rPr>
          <w:i/>
        </w:rPr>
        <w:t>Parte</w:t>
      </w:r>
      <w:proofErr w:type="spellEnd"/>
      <w:r>
        <w:rPr>
          <w:i/>
        </w:rPr>
        <w:t xml:space="preserve"> Rules—Permit-But-Disclose</w:t>
      </w:r>
      <w:r>
        <w:t xml:space="preserve">. This proceeding shall be treated as a “permit-but- disclose” proceeding in accordance with the Commission’s </w:t>
      </w:r>
      <w:r>
        <w:rPr>
          <w:i/>
        </w:rPr>
        <w:t xml:space="preserve">ex </w:t>
      </w:r>
      <w:proofErr w:type="spellStart"/>
      <w:r>
        <w:rPr>
          <w:i/>
        </w:rPr>
        <w:t>parte</w:t>
      </w:r>
      <w:proofErr w:type="spellEnd"/>
      <w:r>
        <w:rPr>
          <w:i/>
        </w:rPr>
        <w:t xml:space="preserve"> </w:t>
      </w:r>
      <w:r>
        <w:t xml:space="preserve">rules. </w:t>
      </w:r>
      <w:r>
        <w:rPr>
          <w:i/>
        </w:rPr>
        <w:t xml:space="preserve">Ex </w:t>
      </w:r>
      <w:proofErr w:type="spellStart"/>
      <w:r>
        <w:rPr>
          <w:i/>
        </w:rPr>
        <w:t>parte</w:t>
      </w:r>
      <w:proofErr w:type="spellEnd"/>
      <w:r>
        <w:rPr>
          <w:i/>
        </w:rPr>
        <w:t xml:space="preserve"> </w:t>
      </w:r>
      <w:r>
        <w:t xml:space="preserve">presentations are permissible if disclosed in accordance with Commission rules, except during the Sunshine Agenda period when presentations, </w:t>
      </w:r>
      <w:r>
        <w:rPr>
          <w:i/>
        </w:rPr>
        <w:t xml:space="preserve">ex </w:t>
      </w:r>
      <w:proofErr w:type="spellStart"/>
      <w:r>
        <w:rPr>
          <w:i/>
        </w:rPr>
        <w:t>parte</w:t>
      </w:r>
      <w:proofErr w:type="spellEnd"/>
      <w:r>
        <w:rPr>
          <w:i/>
        </w:rPr>
        <w:t xml:space="preserve"> </w:t>
      </w:r>
      <w:r>
        <w:t xml:space="preserve">or otherwise, are generally prohibited.  Persons making </w:t>
      </w:r>
      <w:r>
        <w:rPr>
          <w:i/>
        </w:rPr>
        <w:t xml:space="preserve">ex </w:t>
      </w:r>
      <w:proofErr w:type="spellStart"/>
      <w:r>
        <w:rPr>
          <w:i/>
        </w:rPr>
        <w:t>parte</w:t>
      </w:r>
      <w:proofErr w:type="spellEnd"/>
      <w:r>
        <w:rPr>
          <w:i/>
        </w:rPr>
        <w:t xml:space="preserve"> </w:t>
      </w:r>
      <w:r>
        <w:t xml:space="preserve">presentations must file a copy of any written presentation or a memorandum summarizing any oral presentation within two business days after the presentation (unless a different deadline applicable to the Sunshine period applies). Persons making oral </w:t>
      </w:r>
      <w:r>
        <w:rPr>
          <w:i/>
        </w:rPr>
        <w:t xml:space="preserve">ex </w:t>
      </w:r>
      <w:proofErr w:type="spellStart"/>
      <w:r>
        <w:rPr>
          <w:i/>
        </w:rPr>
        <w:t>parte</w:t>
      </w:r>
      <w:proofErr w:type="spellEnd"/>
      <w:r>
        <w:rPr>
          <w:i/>
        </w:rPr>
        <w:t xml:space="preserve"> </w:t>
      </w:r>
      <w:r>
        <w:t xml:space="preserve">presentations are reminded that memoranda summarizing the presentation must (1) list all persons attending or otherwise participating in the meeting at which the </w:t>
      </w:r>
      <w:r>
        <w:rPr>
          <w:i/>
        </w:rPr>
        <w:t xml:space="preserve">ex </w:t>
      </w:r>
      <w:proofErr w:type="spellStart"/>
      <w:r>
        <w:rPr>
          <w:i/>
        </w:rPr>
        <w:t>parte</w:t>
      </w:r>
      <w:proofErr w:type="spellEnd"/>
      <w:r>
        <w:rPr>
          <w:i/>
        </w:rPr>
        <w:t xml:space="preserve"> </w:t>
      </w:r>
      <w:r>
        <w:t xml:space="preserve">presentation was made, and (2) summarize all data presented and arguments made during the presentation.  Memoranda must contain a summary of the substance of the </w:t>
      </w:r>
      <w:r>
        <w:rPr>
          <w:i/>
        </w:rPr>
        <w:t xml:space="preserve">ex </w:t>
      </w:r>
      <w:proofErr w:type="spellStart"/>
      <w:r>
        <w:rPr>
          <w:i/>
        </w:rPr>
        <w:t>parte</w:t>
      </w:r>
      <w:proofErr w:type="spellEnd"/>
      <w:r>
        <w:rPr>
          <w:i/>
        </w:rPr>
        <w:t xml:space="preserve"> </w:t>
      </w:r>
      <w:r>
        <w:t xml:space="preserve">presentation and not merely a listing of the subjects discussed. More than a one or two sentence description of the views and arguments presented is generally required.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Pr>
          <w:i/>
        </w:rPr>
        <w:t xml:space="preserve">ex </w:t>
      </w:r>
      <w:proofErr w:type="spellStart"/>
      <w:r>
        <w:rPr>
          <w:i/>
        </w:rPr>
        <w:t>parte</w:t>
      </w:r>
      <w:proofErr w:type="spellEnd"/>
      <w:r>
        <w:rPr>
          <w:i/>
        </w:rPr>
        <w:t xml:space="preserve"> </w:t>
      </w:r>
      <w:r>
        <w:t xml:space="preserve">meetings are deemed to be written </w:t>
      </w:r>
      <w:r>
        <w:rPr>
          <w:i/>
        </w:rPr>
        <w:t xml:space="preserve">ex </w:t>
      </w:r>
      <w:proofErr w:type="spellStart"/>
      <w:r>
        <w:rPr>
          <w:i/>
        </w:rPr>
        <w:t>parte</w:t>
      </w:r>
      <w:proofErr w:type="spellEnd"/>
      <w:r>
        <w:rPr>
          <w:i/>
        </w:rPr>
        <w:t xml:space="preserve"> </w:t>
      </w:r>
      <w:r>
        <w:t xml:space="preserve">presentations and must be filed consistent with section 1.1206(b) of the rules. In proceedings governed by section 1.49(f) of the rules or for which the Commission has made available a method of electronic filing, written </w:t>
      </w:r>
      <w:r>
        <w:rPr>
          <w:i/>
        </w:rPr>
        <w:t xml:space="preserve">ex </w:t>
      </w:r>
      <w:proofErr w:type="spellStart"/>
      <w:r>
        <w:rPr>
          <w:i/>
        </w:rPr>
        <w:t>parte</w:t>
      </w:r>
      <w:proofErr w:type="spellEnd"/>
      <w:r>
        <w:rPr>
          <w:i/>
        </w:rPr>
        <w:t xml:space="preserve"> </w:t>
      </w:r>
      <w:r>
        <w:t xml:space="preserve">presentations and memoranda summarizing oral </w:t>
      </w:r>
      <w:proofErr w:type="gramStart"/>
      <w:r>
        <w:rPr>
          <w:i/>
        </w:rPr>
        <w:t>ex</w:t>
      </w:r>
      <w:r>
        <w:rPr>
          <w:i/>
          <w:spacing w:val="-25"/>
        </w:rPr>
        <w:t xml:space="preserve"> </w:t>
      </w:r>
      <w:proofErr w:type="spellStart"/>
      <w:r>
        <w:rPr>
          <w:i/>
        </w:rPr>
        <w:t>parte</w:t>
      </w:r>
      <w:proofErr w:type="spellEnd"/>
      <w:proofErr w:type="gramEnd"/>
    </w:p>
    <w:p w14:paraId="0AB4658B" w14:textId="77777777" w:rsidR="00FC6D7C" w:rsidRDefault="00FC6D7C">
      <w:pPr>
        <w:sectPr w:rsidR="00FC6D7C">
          <w:pgSz w:w="12240" w:h="15840"/>
          <w:pgMar w:top="980" w:right="1320" w:bottom="960" w:left="1320" w:header="727" w:footer="712" w:gutter="0"/>
          <w:cols w:space="720"/>
        </w:sectPr>
      </w:pPr>
    </w:p>
    <w:p w14:paraId="45A834C7" w14:textId="77777777" w:rsidR="00FC6D7C" w:rsidRDefault="00FC6D7C">
      <w:pPr>
        <w:pStyle w:val="BodyText"/>
        <w:rPr>
          <w:i/>
          <w:sz w:val="20"/>
        </w:rPr>
      </w:pPr>
    </w:p>
    <w:p w14:paraId="60FD815F" w14:textId="77777777" w:rsidR="00FC6D7C" w:rsidRDefault="00FC6D7C">
      <w:pPr>
        <w:pStyle w:val="BodyText"/>
        <w:spacing w:before="4"/>
        <w:rPr>
          <w:i/>
        </w:rPr>
      </w:pPr>
    </w:p>
    <w:p w14:paraId="7858F37F" w14:textId="77777777" w:rsidR="00FC6D7C" w:rsidRDefault="002032AD">
      <w:pPr>
        <w:pStyle w:val="BodyText"/>
        <w:ind w:left="119" w:right="468"/>
      </w:pPr>
      <w:r>
        <w:t>presentations, and all attachments thereto, must be filed through the electronic comment filing system available for that proceeding, and must be filed in their native format (</w:t>
      </w:r>
      <w:r>
        <w:rPr>
          <w:i/>
        </w:rPr>
        <w:t>e.g.</w:t>
      </w:r>
      <w:r>
        <w:t>, .doc, .xml, .ppt, searchable</w:t>
      </w:r>
    </w:p>
    <w:p w14:paraId="0782551D" w14:textId="77777777" w:rsidR="00FC6D7C" w:rsidRDefault="002032AD">
      <w:pPr>
        <w:pStyle w:val="BodyText"/>
        <w:spacing w:before="3"/>
        <w:ind w:left="119"/>
      </w:pPr>
      <w:r>
        <w:t xml:space="preserve">.pdf).  Participants in this proceeding should familiarize themselves with the Commission’s </w:t>
      </w:r>
      <w:r>
        <w:rPr>
          <w:i/>
        </w:rPr>
        <w:t xml:space="preserve">ex </w:t>
      </w:r>
      <w:proofErr w:type="spellStart"/>
      <w:r>
        <w:rPr>
          <w:i/>
        </w:rPr>
        <w:t>parte</w:t>
      </w:r>
      <w:proofErr w:type="spellEnd"/>
      <w:r>
        <w:rPr>
          <w:i/>
        </w:rPr>
        <w:t xml:space="preserve"> </w:t>
      </w:r>
      <w:r>
        <w:t>rules.</w:t>
      </w:r>
    </w:p>
    <w:p w14:paraId="2E07E452" w14:textId="77777777" w:rsidR="00FC6D7C" w:rsidRDefault="002032AD">
      <w:pPr>
        <w:pStyle w:val="ListParagraph"/>
        <w:numPr>
          <w:ilvl w:val="0"/>
          <w:numId w:val="6"/>
        </w:numPr>
        <w:tabs>
          <w:tab w:val="left" w:pos="1559"/>
          <w:tab w:val="left" w:pos="1560"/>
        </w:tabs>
        <w:spacing w:before="116" w:line="242" w:lineRule="auto"/>
        <w:ind w:right="398" w:firstLine="720"/>
      </w:pPr>
      <w:r>
        <w:rPr>
          <w:i/>
        </w:rPr>
        <w:t>Additional Information</w:t>
      </w:r>
      <w:r>
        <w:t xml:space="preserve">. For additional information on this proceeding, contact Anh T. </w:t>
      </w:r>
      <w:proofErr w:type="spellStart"/>
      <w:r>
        <w:t>Wride</w:t>
      </w:r>
      <w:proofErr w:type="spellEnd"/>
      <w:r>
        <w:t xml:space="preserve">, </w:t>
      </w:r>
      <w:hyperlink r:id="rId50">
        <w:r>
          <w:rPr>
            <w:u w:val="single"/>
          </w:rPr>
          <w:t>anh.wride@fcc.gov</w:t>
        </w:r>
        <w:r>
          <w:t>,</w:t>
        </w:r>
      </w:hyperlink>
      <w:r>
        <w:t xml:space="preserve"> (202) 418-0577, Office of Engineering and Technology, Technical Rules Branch; or Thomas Struble at (202) 418-2470 or </w:t>
      </w:r>
      <w:hyperlink r:id="rId51">
        <w:r>
          <w:rPr>
            <w:u w:val="single"/>
          </w:rPr>
          <w:t>Thomas.Struble@fcc.gov</w:t>
        </w:r>
        <w:r>
          <w:t>,</w:t>
        </w:r>
      </w:hyperlink>
      <w:r>
        <w:t xml:space="preserve"> Office of Engineering and Technology, Office of the Chief</w:t>
      </w:r>
      <w:r>
        <w:rPr>
          <w:spacing w:val="-8"/>
        </w:rPr>
        <w:t xml:space="preserve"> </w:t>
      </w:r>
      <w:r>
        <w:t>Engineer.</w:t>
      </w:r>
    </w:p>
    <w:p w14:paraId="7FCEECC3" w14:textId="77777777" w:rsidR="00FC6D7C" w:rsidRDefault="002032AD">
      <w:pPr>
        <w:pStyle w:val="Heading1"/>
        <w:numPr>
          <w:ilvl w:val="1"/>
          <w:numId w:val="10"/>
        </w:numPr>
        <w:tabs>
          <w:tab w:val="left" w:pos="839"/>
          <w:tab w:val="left" w:pos="840"/>
        </w:tabs>
        <w:spacing w:before="116"/>
        <w:ind w:left="839" w:hanging="719"/>
        <w:jc w:val="left"/>
      </w:pPr>
      <w:bookmarkStart w:id="141" w:name="V._Ordering_Clauses"/>
      <w:bookmarkEnd w:id="141"/>
      <w:r>
        <w:t>ORDERING</w:t>
      </w:r>
      <w:r>
        <w:rPr>
          <w:spacing w:val="-9"/>
        </w:rPr>
        <w:t xml:space="preserve"> </w:t>
      </w:r>
      <w:r>
        <w:t>CLAUSES</w:t>
      </w:r>
    </w:p>
    <w:p w14:paraId="405DDFEA" w14:textId="77777777" w:rsidR="00FC6D7C" w:rsidRDefault="002032AD">
      <w:pPr>
        <w:pStyle w:val="ListParagraph"/>
        <w:numPr>
          <w:ilvl w:val="0"/>
          <w:numId w:val="6"/>
        </w:numPr>
        <w:tabs>
          <w:tab w:val="left" w:pos="1559"/>
          <w:tab w:val="left" w:pos="1560"/>
        </w:tabs>
        <w:spacing w:before="116"/>
        <w:ind w:right="318" w:firstLine="720"/>
      </w:pPr>
      <w:r>
        <w:t xml:space="preserve">IT IS ORDERED, pursuant to the authority found in Sections 4(i), 201, 302, and 303 of the Communications Act of 1934, as amended, 47 U.S.C. §§ 154(i), 201, 302a, 303, and Sections 1.407 and 1.411 of the Commission’s Rules, 47 C.F.R §§ 1.407 and 1.411, that this </w:t>
      </w:r>
      <w:r>
        <w:rPr>
          <w:i/>
        </w:rPr>
        <w:t xml:space="preserve">Notice of Proposed Rulemaking </w:t>
      </w:r>
      <w:r>
        <w:t>IS ADOPTED, as set forth</w:t>
      </w:r>
      <w:r>
        <w:rPr>
          <w:spacing w:val="-11"/>
        </w:rPr>
        <w:t xml:space="preserve"> </w:t>
      </w:r>
      <w:r>
        <w:t>above.</w:t>
      </w:r>
    </w:p>
    <w:p w14:paraId="6C63DD36" w14:textId="77777777" w:rsidR="00FC6D7C" w:rsidRDefault="002032AD">
      <w:pPr>
        <w:pStyle w:val="ListParagraph"/>
        <w:numPr>
          <w:ilvl w:val="0"/>
          <w:numId w:val="6"/>
        </w:numPr>
        <w:tabs>
          <w:tab w:val="left" w:pos="1559"/>
          <w:tab w:val="left" w:pos="1560"/>
        </w:tabs>
        <w:spacing w:before="118"/>
        <w:ind w:right="329" w:firstLine="720"/>
      </w:pPr>
      <w:r>
        <w:t xml:space="preserve">IT IS FURTHER ORDERED that the Commission’s Consumer and Governmental Affairs Bureau, Reference Information Center, SHALL SEND a copy of this </w:t>
      </w:r>
      <w:r>
        <w:rPr>
          <w:i/>
        </w:rPr>
        <w:t>Notice of Proposed Rulemaking</w:t>
      </w:r>
      <w:r>
        <w:t>, including the Initial Regulatory Flexibility Analysis, to the Chief Counsel for Advocacy of the Small Business</w:t>
      </w:r>
      <w:r>
        <w:rPr>
          <w:spacing w:val="-6"/>
        </w:rPr>
        <w:t xml:space="preserve"> </w:t>
      </w:r>
      <w:r>
        <w:t>Administration.</w:t>
      </w:r>
    </w:p>
    <w:p w14:paraId="4E2A4C37" w14:textId="77777777" w:rsidR="00FC6D7C" w:rsidRDefault="00FC6D7C">
      <w:pPr>
        <w:pStyle w:val="BodyText"/>
        <w:rPr>
          <w:sz w:val="24"/>
        </w:rPr>
      </w:pPr>
    </w:p>
    <w:p w14:paraId="47BAAD86" w14:textId="77777777" w:rsidR="00FC6D7C" w:rsidRDefault="002032AD">
      <w:pPr>
        <w:pStyle w:val="BodyText"/>
        <w:spacing w:before="214"/>
        <w:ind w:left="4439"/>
      </w:pPr>
      <w:r>
        <w:t>FEDERAL COMMUNICATIONS COMMISSION</w:t>
      </w:r>
    </w:p>
    <w:p w14:paraId="5F9FDBD3" w14:textId="77777777" w:rsidR="00FC6D7C" w:rsidRDefault="00FC6D7C">
      <w:pPr>
        <w:pStyle w:val="BodyText"/>
        <w:rPr>
          <w:sz w:val="24"/>
        </w:rPr>
      </w:pPr>
    </w:p>
    <w:p w14:paraId="12C107F2" w14:textId="77777777" w:rsidR="00FC6D7C" w:rsidRDefault="00FC6D7C">
      <w:pPr>
        <w:pStyle w:val="BodyText"/>
        <w:rPr>
          <w:sz w:val="24"/>
        </w:rPr>
      </w:pPr>
    </w:p>
    <w:p w14:paraId="125A7DAC" w14:textId="77777777" w:rsidR="00FC6D7C" w:rsidRDefault="00FC6D7C">
      <w:pPr>
        <w:pStyle w:val="BodyText"/>
        <w:rPr>
          <w:sz w:val="24"/>
        </w:rPr>
      </w:pPr>
    </w:p>
    <w:p w14:paraId="3493F026" w14:textId="77777777" w:rsidR="00FC6D7C" w:rsidRDefault="002032AD">
      <w:pPr>
        <w:pStyle w:val="BodyText"/>
        <w:spacing w:before="183"/>
        <w:ind w:left="4439" w:right="3473"/>
      </w:pPr>
      <w:r>
        <w:t>Marlene H. Dortch Secretary</w:t>
      </w:r>
    </w:p>
    <w:p w14:paraId="2A70B248" w14:textId="77777777" w:rsidR="00FC6D7C" w:rsidRDefault="00FC6D7C">
      <w:pPr>
        <w:sectPr w:rsidR="00FC6D7C">
          <w:pgSz w:w="12240" w:h="15840"/>
          <w:pgMar w:top="980" w:right="1320" w:bottom="960" w:left="1320" w:header="727" w:footer="712" w:gutter="0"/>
          <w:cols w:space="720"/>
        </w:sectPr>
      </w:pPr>
    </w:p>
    <w:p w14:paraId="40742AC7" w14:textId="77777777" w:rsidR="00FC6D7C" w:rsidRDefault="00FC6D7C">
      <w:pPr>
        <w:pStyle w:val="BodyText"/>
        <w:rPr>
          <w:sz w:val="20"/>
        </w:rPr>
      </w:pPr>
    </w:p>
    <w:p w14:paraId="4399FE18" w14:textId="77777777" w:rsidR="00FC6D7C" w:rsidRDefault="00FC6D7C">
      <w:pPr>
        <w:pStyle w:val="BodyText"/>
        <w:spacing w:before="4"/>
      </w:pPr>
    </w:p>
    <w:p w14:paraId="05B5A47B" w14:textId="77777777" w:rsidR="00FC6D7C" w:rsidRDefault="002032AD">
      <w:pPr>
        <w:pStyle w:val="Heading1"/>
        <w:spacing w:line="480" w:lineRule="auto"/>
        <w:ind w:left="4068" w:right="4065"/>
        <w:jc w:val="center"/>
      </w:pPr>
      <w:r>
        <w:t>Appendix A Proposed Rules</w:t>
      </w:r>
    </w:p>
    <w:p w14:paraId="2473BA48" w14:textId="77777777" w:rsidR="00FC6D7C" w:rsidRDefault="002032AD">
      <w:pPr>
        <w:pStyle w:val="BodyText"/>
        <w:spacing w:before="9"/>
        <w:ind w:left="120"/>
      </w:pPr>
      <w:r>
        <w:t>Part 15 of Title 47 of the Code of Federal Regulations is proposed to be amended as follows:</w:t>
      </w:r>
    </w:p>
    <w:p w14:paraId="06BE2D75" w14:textId="77777777" w:rsidR="00FC6D7C" w:rsidRDefault="00FC6D7C">
      <w:pPr>
        <w:pStyle w:val="BodyText"/>
        <w:spacing w:before="7"/>
        <w:rPr>
          <w:sz w:val="32"/>
        </w:rPr>
      </w:pPr>
    </w:p>
    <w:p w14:paraId="48E2980D" w14:textId="77777777" w:rsidR="00FC6D7C" w:rsidRDefault="002032AD">
      <w:pPr>
        <w:pStyle w:val="Heading1"/>
        <w:ind w:left="120"/>
      </w:pPr>
      <w:r>
        <w:t>PART 15 – RADIO FREQUENCY DEVICES</w:t>
      </w:r>
    </w:p>
    <w:p w14:paraId="37F00D8E" w14:textId="77777777" w:rsidR="00FC6D7C" w:rsidRDefault="002032AD">
      <w:pPr>
        <w:pStyle w:val="BodyText"/>
        <w:spacing w:before="118"/>
        <w:ind w:left="840"/>
      </w:pPr>
      <w:r>
        <w:t>The authority citation for Part 15 continues to read as follows:</w:t>
      </w:r>
    </w:p>
    <w:p w14:paraId="0F44CA78" w14:textId="77777777" w:rsidR="00FC6D7C" w:rsidRDefault="002032AD">
      <w:pPr>
        <w:pStyle w:val="BodyText"/>
        <w:spacing w:before="118"/>
        <w:ind w:left="120"/>
      </w:pPr>
      <w:r>
        <w:rPr>
          <w:b/>
        </w:rPr>
        <w:t xml:space="preserve">AUTHORITY:  </w:t>
      </w:r>
      <w:r>
        <w:t>47 U.S.C. 154, 302a, 303, 304, 307, 336, 544a, and 549.</w:t>
      </w:r>
    </w:p>
    <w:p w14:paraId="5D1814D1" w14:textId="77777777" w:rsidR="00FC6D7C" w:rsidRDefault="00FC6D7C">
      <w:pPr>
        <w:pStyle w:val="BodyText"/>
        <w:spacing w:before="4"/>
        <w:rPr>
          <w:sz w:val="32"/>
        </w:rPr>
      </w:pPr>
    </w:p>
    <w:p w14:paraId="7FE36ABE" w14:textId="77777777" w:rsidR="00FC6D7C" w:rsidRDefault="002032AD">
      <w:pPr>
        <w:pStyle w:val="ListParagraph"/>
        <w:numPr>
          <w:ilvl w:val="2"/>
          <w:numId w:val="10"/>
        </w:numPr>
        <w:tabs>
          <w:tab w:val="left" w:pos="1020"/>
          <w:tab w:val="left" w:pos="1021"/>
        </w:tabs>
        <w:ind w:left="119" w:firstLine="452"/>
      </w:pPr>
      <w:r>
        <w:t>Section 15.31 is proposed to be amended by revising paragraph (c) to read as</w:t>
      </w:r>
      <w:r>
        <w:rPr>
          <w:spacing w:val="-20"/>
        </w:rPr>
        <w:t xml:space="preserve"> </w:t>
      </w:r>
      <w:r>
        <w:t>follows:</w:t>
      </w:r>
    </w:p>
    <w:p w14:paraId="5282EC8A" w14:textId="77777777" w:rsidR="00FC6D7C" w:rsidRDefault="00FC6D7C">
      <w:pPr>
        <w:pStyle w:val="BodyText"/>
        <w:spacing w:before="10"/>
        <w:rPr>
          <w:sz w:val="20"/>
        </w:rPr>
      </w:pPr>
    </w:p>
    <w:p w14:paraId="03B94B2B" w14:textId="77777777" w:rsidR="00FC6D7C" w:rsidRDefault="002032AD">
      <w:pPr>
        <w:pStyle w:val="Heading1"/>
        <w:ind w:left="120"/>
      </w:pPr>
      <w:r>
        <w:t>§15.</w:t>
      </w:r>
      <w:proofErr w:type="gramStart"/>
      <w:r>
        <w:t>31  Measurement</w:t>
      </w:r>
      <w:proofErr w:type="gramEnd"/>
      <w:r>
        <w:t xml:space="preserve"> standards.</w:t>
      </w:r>
    </w:p>
    <w:p w14:paraId="76856CB6" w14:textId="77777777" w:rsidR="00FC6D7C" w:rsidRDefault="002032AD">
      <w:pPr>
        <w:pStyle w:val="BodyText"/>
        <w:spacing w:before="116"/>
        <w:ind w:left="120"/>
      </w:pPr>
      <w:r>
        <w:t>* * * * *</w:t>
      </w:r>
    </w:p>
    <w:p w14:paraId="77A875E1" w14:textId="77777777" w:rsidR="00FC6D7C" w:rsidRDefault="00FC6D7C">
      <w:pPr>
        <w:pStyle w:val="BodyText"/>
        <w:spacing w:before="3"/>
        <w:rPr>
          <w:sz w:val="24"/>
        </w:rPr>
      </w:pPr>
    </w:p>
    <w:p w14:paraId="14BF2B02" w14:textId="77777777" w:rsidR="00FC6D7C" w:rsidRDefault="002032AD">
      <w:pPr>
        <w:pStyle w:val="BodyText"/>
        <w:spacing w:before="1" w:line="242" w:lineRule="auto"/>
        <w:ind w:left="120" w:right="125"/>
      </w:pPr>
      <w:r>
        <w:t>(c) Except as otherwise indicated in §§15.255, and 15.256, for swept frequency equipment, measurements shall be made with the frequency sweep stopped at those frequencies chosen for the measurements to be reported.</w:t>
      </w:r>
    </w:p>
    <w:p w14:paraId="04E19F5B" w14:textId="77777777" w:rsidR="00FC6D7C" w:rsidRDefault="00FC6D7C">
      <w:pPr>
        <w:pStyle w:val="BodyText"/>
        <w:spacing w:before="10"/>
        <w:rPr>
          <w:sz w:val="23"/>
        </w:rPr>
      </w:pPr>
    </w:p>
    <w:p w14:paraId="5EAB1F4D" w14:textId="77777777" w:rsidR="00FC6D7C" w:rsidRDefault="002032AD">
      <w:pPr>
        <w:pStyle w:val="BodyText"/>
        <w:ind w:left="120"/>
      </w:pPr>
      <w:r>
        <w:t>* * * * *</w:t>
      </w:r>
    </w:p>
    <w:p w14:paraId="65DCC47B" w14:textId="77777777" w:rsidR="00FC6D7C" w:rsidRDefault="00FC6D7C">
      <w:pPr>
        <w:pStyle w:val="BodyText"/>
        <w:spacing w:before="2"/>
      </w:pPr>
    </w:p>
    <w:p w14:paraId="616A9805" w14:textId="77777777" w:rsidR="00FC6D7C" w:rsidRDefault="002032AD">
      <w:pPr>
        <w:pStyle w:val="ListParagraph"/>
        <w:numPr>
          <w:ilvl w:val="2"/>
          <w:numId w:val="10"/>
        </w:numPr>
        <w:tabs>
          <w:tab w:val="left" w:pos="1019"/>
          <w:tab w:val="left" w:pos="1020"/>
        </w:tabs>
        <w:ind w:left="1020" w:hanging="449"/>
      </w:pPr>
      <w:r>
        <w:t>Section 15.35 is proposed to be amended by revising paragraph (c) to read as</w:t>
      </w:r>
      <w:r>
        <w:rPr>
          <w:spacing w:val="-20"/>
        </w:rPr>
        <w:t xml:space="preserve"> </w:t>
      </w:r>
      <w:r>
        <w:t>follows:</w:t>
      </w:r>
    </w:p>
    <w:p w14:paraId="5156E2E3" w14:textId="77777777" w:rsidR="00FC6D7C" w:rsidRDefault="00FC6D7C">
      <w:pPr>
        <w:pStyle w:val="BodyText"/>
        <w:spacing w:before="8"/>
        <w:rPr>
          <w:sz w:val="20"/>
        </w:rPr>
      </w:pPr>
    </w:p>
    <w:p w14:paraId="0D4B0DF6" w14:textId="77777777" w:rsidR="00FC6D7C" w:rsidRDefault="002032AD">
      <w:pPr>
        <w:pStyle w:val="Heading1"/>
        <w:spacing w:before="1"/>
        <w:ind w:left="120"/>
      </w:pPr>
      <w:r>
        <w:t>§15.</w:t>
      </w:r>
      <w:proofErr w:type="gramStart"/>
      <w:r>
        <w:t>35  Measurement</w:t>
      </w:r>
      <w:proofErr w:type="gramEnd"/>
      <w:r>
        <w:t xml:space="preserve"> detector functions and bandwidths.</w:t>
      </w:r>
    </w:p>
    <w:p w14:paraId="136354A3" w14:textId="77777777" w:rsidR="00FC6D7C" w:rsidRDefault="002032AD">
      <w:pPr>
        <w:pStyle w:val="BodyText"/>
        <w:spacing w:before="119"/>
        <w:ind w:left="120"/>
      </w:pPr>
      <w:r>
        <w:t>* * * * *</w:t>
      </w:r>
    </w:p>
    <w:p w14:paraId="64B2A284" w14:textId="77777777" w:rsidR="00FC6D7C" w:rsidRDefault="00FC6D7C">
      <w:pPr>
        <w:pStyle w:val="BodyText"/>
        <w:spacing w:before="3"/>
        <w:rPr>
          <w:sz w:val="24"/>
        </w:rPr>
      </w:pPr>
    </w:p>
    <w:p w14:paraId="34118FB9" w14:textId="77777777" w:rsidR="00FC6D7C" w:rsidRDefault="002032AD">
      <w:pPr>
        <w:pStyle w:val="BodyText"/>
        <w:ind w:left="120" w:right="129"/>
      </w:pPr>
      <w:r>
        <w:t xml:space="preserve">(c) Unless otherwise specified, </w:t>
      </w:r>
      <w:r>
        <w:rPr>
          <w:i/>
        </w:rPr>
        <w:t xml:space="preserve">e.g., </w:t>
      </w:r>
      <w:r>
        <w:t xml:space="preserve">§§15.255(c), and 15.256(l)(5), when the radiated emission limits are expressed in terms of the average value of the emission, and pulsed operation is employed, the measurement field strength shall be determined by averaging over one complete pulse train, including blanking intervals, </w:t>
      </w:r>
      <w:proofErr w:type="gramStart"/>
      <w:r>
        <w:t>as long as</w:t>
      </w:r>
      <w:proofErr w:type="gramEnd"/>
      <w:r>
        <w:t xml:space="preserve"> the pulse train does not exceed 0.1 seconds. As an alternative (provided the transmitter operates for longer than 0.1 seconds) or in cases where the pulse train exceeds 0.1 seconds, the measured field strength shall be determined from the average absolute voltage during a 0.1 second interval during which the field strength is at its maximum value. The exact method of calculating the average field strength shall be submitted with any application for certification or shall be retained in the measurement data file for equipment subject to Supplier's Declaration of</w:t>
      </w:r>
      <w:r>
        <w:rPr>
          <w:spacing w:val="-23"/>
        </w:rPr>
        <w:t xml:space="preserve"> </w:t>
      </w:r>
      <w:r>
        <w:t>Conformity.</w:t>
      </w:r>
    </w:p>
    <w:p w14:paraId="20C38A05" w14:textId="77777777" w:rsidR="00FC6D7C" w:rsidRDefault="00FC6D7C">
      <w:pPr>
        <w:pStyle w:val="BodyText"/>
        <w:rPr>
          <w:sz w:val="24"/>
        </w:rPr>
      </w:pPr>
    </w:p>
    <w:p w14:paraId="0892A52E" w14:textId="77777777" w:rsidR="00FC6D7C" w:rsidRDefault="002032AD">
      <w:pPr>
        <w:pStyle w:val="BodyText"/>
        <w:ind w:left="120"/>
      </w:pPr>
      <w:r>
        <w:t>* * * * *</w:t>
      </w:r>
    </w:p>
    <w:p w14:paraId="7CD7947F" w14:textId="77777777" w:rsidR="00FC6D7C" w:rsidRDefault="00FC6D7C">
      <w:pPr>
        <w:pStyle w:val="BodyText"/>
        <w:spacing w:before="11"/>
        <w:rPr>
          <w:sz w:val="21"/>
        </w:rPr>
      </w:pPr>
    </w:p>
    <w:p w14:paraId="7568D494" w14:textId="77777777" w:rsidR="00FC6D7C" w:rsidRDefault="002032AD">
      <w:pPr>
        <w:pStyle w:val="ListParagraph"/>
        <w:numPr>
          <w:ilvl w:val="2"/>
          <w:numId w:val="10"/>
        </w:numPr>
        <w:tabs>
          <w:tab w:val="left" w:pos="840"/>
        </w:tabs>
        <w:ind w:left="119" w:right="467" w:firstLine="360"/>
      </w:pPr>
      <w:r>
        <w:t>Section 15.255 is proposed to be amended by revising paragraph (a), amending paragraphs (c) and (e), to read as</w:t>
      </w:r>
      <w:r>
        <w:rPr>
          <w:spacing w:val="-6"/>
        </w:rPr>
        <w:t xml:space="preserve"> </w:t>
      </w:r>
      <w:r>
        <w:t>follows:</w:t>
      </w:r>
    </w:p>
    <w:p w14:paraId="51B02920" w14:textId="77777777" w:rsidR="00FC6D7C" w:rsidRDefault="00FC6D7C">
      <w:pPr>
        <w:pStyle w:val="BodyText"/>
        <w:spacing w:before="11"/>
        <w:rPr>
          <w:sz w:val="20"/>
        </w:rPr>
      </w:pPr>
    </w:p>
    <w:p w14:paraId="6E269819" w14:textId="77777777" w:rsidR="00FC6D7C" w:rsidRDefault="002032AD">
      <w:pPr>
        <w:pStyle w:val="Heading1"/>
        <w:ind w:left="120"/>
      </w:pPr>
      <w:r>
        <w:rPr>
          <w:u w:val="thick"/>
        </w:rPr>
        <w:t xml:space="preserve">§ </w:t>
      </w:r>
      <w:proofErr w:type="gramStart"/>
      <w:r>
        <w:rPr>
          <w:u w:val="thick"/>
        </w:rPr>
        <w:t>15.255  Operation</w:t>
      </w:r>
      <w:proofErr w:type="gramEnd"/>
      <w:r>
        <w:rPr>
          <w:u w:val="thick"/>
        </w:rPr>
        <w:t xml:space="preserve"> within the band 57-71 GHz.</w:t>
      </w:r>
    </w:p>
    <w:p w14:paraId="59A5F15D" w14:textId="77777777" w:rsidR="00FC6D7C" w:rsidRDefault="00FC6D7C">
      <w:pPr>
        <w:pStyle w:val="BodyText"/>
        <w:spacing w:before="3"/>
        <w:rPr>
          <w:b/>
          <w:sz w:val="16"/>
        </w:rPr>
      </w:pPr>
    </w:p>
    <w:p w14:paraId="4E296768" w14:textId="77777777" w:rsidR="00FC6D7C" w:rsidRDefault="002032AD">
      <w:pPr>
        <w:pStyle w:val="BodyText"/>
        <w:spacing w:before="92" w:line="504" w:lineRule="auto"/>
        <w:ind w:left="120" w:right="796"/>
      </w:pPr>
      <w:r>
        <w:t>(a) Operation under the provisions of this section is not permitted for equipment used on satellites. (b)* * * * *</w:t>
      </w:r>
    </w:p>
    <w:p w14:paraId="2570ECD4" w14:textId="77777777" w:rsidR="00FC6D7C" w:rsidRDefault="00FC6D7C">
      <w:pPr>
        <w:spacing w:line="504" w:lineRule="auto"/>
        <w:sectPr w:rsidR="00FC6D7C">
          <w:pgSz w:w="12240" w:h="15840"/>
          <w:pgMar w:top="980" w:right="1320" w:bottom="960" w:left="1320" w:header="727" w:footer="712" w:gutter="0"/>
          <w:cols w:space="720"/>
        </w:sectPr>
      </w:pPr>
    </w:p>
    <w:p w14:paraId="783A5801" w14:textId="77777777" w:rsidR="00FC6D7C" w:rsidRDefault="00FC6D7C">
      <w:pPr>
        <w:pStyle w:val="BodyText"/>
        <w:rPr>
          <w:sz w:val="20"/>
        </w:rPr>
      </w:pPr>
    </w:p>
    <w:p w14:paraId="714F1A24" w14:textId="77777777" w:rsidR="00FC6D7C" w:rsidRDefault="00FC6D7C">
      <w:pPr>
        <w:pStyle w:val="BodyText"/>
        <w:spacing w:before="4"/>
      </w:pPr>
    </w:p>
    <w:p w14:paraId="02AAD9FB" w14:textId="77777777" w:rsidR="00FC6D7C" w:rsidRDefault="002032AD">
      <w:pPr>
        <w:pStyle w:val="ListParagraph"/>
        <w:numPr>
          <w:ilvl w:val="0"/>
          <w:numId w:val="4"/>
        </w:numPr>
        <w:tabs>
          <w:tab w:val="left" w:pos="423"/>
        </w:tabs>
        <w:ind w:right="415" w:firstLine="0"/>
      </w:pPr>
      <w:r>
        <w:rPr>
          <w:i/>
        </w:rPr>
        <w:t>Radiated Power Limits</w:t>
      </w:r>
      <w:r>
        <w:t>. Within the 57-71 GHz band, emission levels shall not exceed the</w:t>
      </w:r>
      <w:r>
        <w:rPr>
          <w:spacing w:val="-24"/>
        </w:rPr>
        <w:t xml:space="preserve"> </w:t>
      </w:r>
      <w:r>
        <w:t xml:space="preserve">following equivalent </w:t>
      </w:r>
      <w:proofErr w:type="spellStart"/>
      <w:r>
        <w:t>isotropically</w:t>
      </w:r>
      <w:proofErr w:type="spellEnd"/>
      <w:r>
        <w:t xml:space="preserve"> radiated power</w:t>
      </w:r>
      <w:r>
        <w:rPr>
          <w:spacing w:val="-13"/>
        </w:rPr>
        <w:t xml:space="preserve"> </w:t>
      </w:r>
      <w:r>
        <w:t>(EIRP):</w:t>
      </w:r>
    </w:p>
    <w:p w14:paraId="6F79323F" w14:textId="77777777" w:rsidR="00FC6D7C" w:rsidRDefault="00FC6D7C">
      <w:pPr>
        <w:pStyle w:val="BodyText"/>
        <w:spacing w:before="3"/>
        <w:rPr>
          <w:sz w:val="24"/>
        </w:rPr>
      </w:pPr>
    </w:p>
    <w:p w14:paraId="17898058" w14:textId="77777777" w:rsidR="00FC6D7C" w:rsidRDefault="002032AD">
      <w:pPr>
        <w:pStyle w:val="ListParagraph"/>
        <w:numPr>
          <w:ilvl w:val="1"/>
          <w:numId w:val="4"/>
        </w:numPr>
        <w:tabs>
          <w:tab w:val="left" w:pos="435"/>
        </w:tabs>
        <w:ind w:right="291" w:firstLine="0"/>
      </w:pPr>
      <w:r>
        <w:t>Products other than field disturbance sensors shall comply with one of the following power limits, as measured during the transmit</w:t>
      </w:r>
      <w:r>
        <w:rPr>
          <w:spacing w:val="-14"/>
        </w:rPr>
        <w:t xml:space="preserve"> </w:t>
      </w:r>
      <w:r>
        <w:t>interval:</w:t>
      </w:r>
    </w:p>
    <w:p w14:paraId="110D7847" w14:textId="77777777" w:rsidR="00FC6D7C" w:rsidRDefault="00FC6D7C">
      <w:pPr>
        <w:pStyle w:val="BodyText"/>
        <w:spacing w:before="1"/>
        <w:rPr>
          <w:sz w:val="24"/>
        </w:rPr>
      </w:pPr>
    </w:p>
    <w:p w14:paraId="4CCBFA22" w14:textId="77777777" w:rsidR="00FC6D7C" w:rsidRDefault="002032AD">
      <w:pPr>
        <w:pStyle w:val="BodyText"/>
        <w:ind w:left="120"/>
      </w:pPr>
      <w:r>
        <w:t>* * * * *</w:t>
      </w:r>
    </w:p>
    <w:p w14:paraId="4847C8FC" w14:textId="77777777" w:rsidR="00FC6D7C" w:rsidRDefault="00FC6D7C">
      <w:pPr>
        <w:pStyle w:val="BodyText"/>
        <w:spacing w:before="3"/>
        <w:rPr>
          <w:sz w:val="24"/>
        </w:rPr>
      </w:pPr>
    </w:p>
    <w:p w14:paraId="04F65533" w14:textId="77777777" w:rsidR="00FC6D7C" w:rsidRDefault="002032AD">
      <w:pPr>
        <w:pStyle w:val="ListParagraph"/>
        <w:numPr>
          <w:ilvl w:val="0"/>
          <w:numId w:val="3"/>
        </w:numPr>
        <w:tabs>
          <w:tab w:val="left" w:pos="435"/>
        </w:tabs>
        <w:spacing w:line="244" w:lineRule="auto"/>
        <w:ind w:right="401" w:firstLine="0"/>
      </w:pPr>
      <w:r>
        <w:t>Field disturbance sensors other than those operating under the provisions of paragraph (c)(2) of this section shall comply with the following, as measured during the transmit</w:t>
      </w:r>
      <w:r>
        <w:rPr>
          <w:spacing w:val="-24"/>
        </w:rPr>
        <w:t xml:space="preserve"> </w:t>
      </w:r>
      <w:r>
        <w:t>interval:</w:t>
      </w:r>
    </w:p>
    <w:p w14:paraId="792F3D59" w14:textId="77777777" w:rsidR="00FC6D7C" w:rsidRDefault="00FC6D7C">
      <w:pPr>
        <w:pStyle w:val="BodyText"/>
        <w:spacing w:before="7"/>
        <w:rPr>
          <w:sz w:val="23"/>
        </w:rPr>
      </w:pPr>
    </w:p>
    <w:p w14:paraId="24516589" w14:textId="77777777" w:rsidR="00FC6D7C" w:rsidRDefault="002032AD">
      <w:pPr>
        <w:pStyle w:val="ListParagraph"/>
        <w:numPr>
          <w:ilvl w:val="1"/>
          <w:numId w:val="3"/>
        </w:numPr>
        <w:tabs>
          <w:tab w:val="left" w:pos="384"/>
        </w:tabs>
        <w:ind w:right="355" w:firstLine="0"/>
      </w:pPr>
      <w:r>
        <w:t>For field disturbance sensors that limit their operation to the 57-64 GHz frequency band, the average power shall not exceed 20 dBm and the average power spectral density shall not exceed 13 dBm/</w:t>
      </w:r>
      <w:proofErr w:type="spellStart"/>
      <w:r>
        <w:t>MHz.</w:t>
      </w:r>
      <w:proofErr w:type="spellEnd"/>
      <w:r>
        <w:t xml:space="preserve"> The transmit duty cycle shall not exceed 10 % during any 33 </w:t>
      </w:r>
      <w:proofErr w:type="spellStart"/>
      <w:r>
        <w:t>ms</w:t>
      </w:r>
      <w:proofErr w:type="spellEnd"/>
      <w:r>
        <w:t xml:space="preserve"> interval (i.e., the device shall not transmit longer than a total of 3.3</w:t>
      </w:r>
      <w:r>
        <w:rPr>
          <w:spacing w:val="-9"/>
        </w:rPr>
        <w:t xml:space="preserve"> </w:t>
      </w:r>
      <w:proofErr w:type="spellStart"/>
      <w:r>
        <w:t>ms</w:t>
      </w:r>
      <w:proofErr w:type="spellEnd"/>
      <w:r>
        <w:t>).</w:t>
      </w:r>
    </w:p>
    <w:p w14:paraId="61B10951" w14:textId="77777777" w:rsidR="00FC6D7C" w:rsidRDefault="00FC6D7C">
      <w:pPr>
        <w:pStyle w:val="BodyText"/>
        <w:spacing w:before="1"/>
        <w:rPr>
          <w:sz w:val="24"/>
        </w:rPr>
      </w:pPr>
    </w:p>
    <w:p w14:paraId="5FBF4C61" w14:textId="77777777" w:rsidR="00FC6D7C" w:rsidRDefault="002032AD">
      <w:pPr>
        <w:pStyle w:val="ListParagraph"/>
        <w:numPr>
          <w:ilvl w:val="1"/>
          <w:numId w:val="3"/>
        </w:numPr>
        <w:tabs>
          <w:tab w:val="left" w:pos="447"/>
        </w:tabs>
        <w:ind w:right="226" w:firstLine="0"/>
      </w:pPr>
      <w:r>
        <w:t>For field disturbance sensors operating over the entire 57-71 GHz frequency band, the average power shall not exceed 10</w:t>
      </w:r>
      <w:r>
        <w:rPr>
          <w:spacing w:val="-5"/>
        </w:rPr>
        <w:t xml:space="preserve"> </w:t>
      </w:r>
      <w:r>
        <w:t>dBm.</w:t>
      </w:r>
    </w:p>
    <w:p w14:paraId="48E20AEA" w14:textId="77777777" w:rsidR="00FC6D7C" w:rsidRDefault="00FC6D7C">
      <w:pPr>
        <w:pStyle w:val="BodyText"/>
        <w:spacing w:before="1"/>
        <w:rPr>
          <w:sz w:val="24"/>
        </w:rPr>
      </w:pPr>
    </w:p>
    <w:p w14:paraId="22C99F82" w14:textId="77777777" w:rsidR="00FC6D7C" w:rsidRDefault="002032AD">
      <w:pPr>
        <w:pStyle w:val="ListParagraph"/>
        <w:numPr>
          <w:ilvl w:val="0"/>
          <w:numId w:val="3"/>
        </w:numPr>
        <w:tabs>
          <w:tab w:val="left" w:pos="432"/>
        </w:tabs>
        <w:ind w:left="432" w:hanging="312"/>
      </w:pPr>
      <w:r>
        <w:t>[remove]</w:t>
      </w:r>
    </w:p>
    <w:p w14:paraId="2BF8F24E" w14:textId="77777777" w:rsidR="00FC6D7C" w:rsidRDefault="00FC6D7C">
      <w:pPr>
        <w:pStyle w:val="BodyText"/>
      </w:pPr>
    </w:p>
    <w:p w14:paraId="08745708" w14:textId="77777777" w:rsidR="00FC6D7C" w:rsidRDefault="002032AD">
      <w:pPr>
        <w:pStyle w:val="BodyText"/>
        <w:ind w:left="120"/>
      </w:pPr>
      <w:r>
        <w:t>* * * * *</w:t>
      </w:r>
    </w:p>
    <w:p w14:paraId="723B8653" w14:textId="77777777" w:rsidR="00FC6D7C" w:rsidRDefault="00FC6D7C">
      <w:pPr>
        <w:pStyle w:val="BodyText"/>
        <w:spacing w:before="6"/>
        <w:rPr>
          <w:sz w:val="24"/>
        </w:rPr>
      </w:pPr>
    </w:p>
    <w:p w14:paraId="709D15BC" w14:textId="77777777" w:rsidR="00FC6D7C" w:rsidRDefault="002032AD">
      <w:pPr>
        <w:pStyle w:val="BodyText"/>
        <w:ind w:left="120" w:right="115"/>
      </w:pPr>
      <w:r>
        <w:t xml:space="preserve">(e) </w:t>
      </w:r>
      <w:r>
        <w:rPr>
          <w:i/>
        </w:rPr>
        <w:t xml:space="preserve">Limits on transmitter conducted output power. </w:t>
      </w:r>
      <w:r>
        <w:t xml:space="preserve">Except as specified paragraph (e)(1) of this section, the peak transmitter conducted output power shall not exceed 500 </w:t>
      </w:r>
      <w:proofErr w:type="spellStart"/>
      <w:r>
        <w:t>mW</w:t>
      </w:r>
      <w:proofErr w:type="spellEnd"/>
      <w:r>
        <w:t xml:space="preserve">. Depending on the gain of the antenna, it may be necessary to operate the intentional radiator using a lower peak transmitter output power </w:t>
      </w:r>
      <w:proofErr w:type="gramStart"/>
      <w:r>
        <w:t>in order to</w:t>
      </w:r>
      <w:proofErr w:type="gramEnd"/>
      <w:r>
        <w:t xml:space="preserve"> comply with the EIRP limits specified in paragraph (c) of this</w:t>
      </w:r>
      <w:r>
        <w:rPr>
          <w:spacing w:val="-22"/>
        </w:rPr>
        <w:t xml:space="preserve"> </w:t>
      </w:r>
      <w:r>
        <w:t>section.</w:t>
      </w:r>
    </w:p>
    <w:p w14:paraId="5557C99A" w14:textId="77777777" w:rsidR="00FC6D7C" w:rsidRDefault="00FC6D7C">
      <w:pPr>
        <w:pStyle w:val="BodyText"/>
        <w:spacing w:before="5"/>
        <w:rPr>
          <w:sz w:val="24"/>
        </w:rPr>
      </w:pPr>
    </w:p>
    <w:p w14:paraId="23DDFFF9" w14:textId="77777777" w:rsidR="00FC6D7C" w:rsidRDefault="002032AD">
      <w:pPr>
        <w:pStyle w:val="BodyText"/>
        <w:spacing w:before="1"/>
        <w:ind w:left="120"/>
      </w:pPr>
      <w:r>
        <w:t>(1) * * *</w:t>
      </w:r>
    </w:p>
    <w:p w14:paraId="16B1C3EF" w14:textId="77777777" w:rsidR="00FC6D7C" w:rsidRDefault="00FC6D7C">
      <w:pPr>
        <w:pStyle w:val="BodyText"/>
        <w:spacing w:before="1"/>
        <w:rPr>
          <w:sz w:val="24"/>
        </w:rPr>
      </w:pPr>
    </w:p>
    <w:p w14:paraId="3CB65E73" w14:textId="77777777" w:rsidR="00FC6D7C" w:rsidRDefault="002032AD">
      <w:pPr>
        <w:pStyle w:val="ListParagraph"/>
        <w:numPr>
          <w:ilvl w:val="0"/>
          <w:numId w:val="2"/>
        </w:numPr>
        <w:tabs>
          <w:tab w:val="left" w:pos="435"/>
        </w:tabs>
        <w:ind w:right="714" w:firstLine="0"/>
      </w:pPr>
      <w:r>
        <w:t>Field disturbance sensors operating under the provisions of paragraph (c)(3) of this section shall comply with the</w:t>
      </w:r>
      <w:r>
        <w:rPr>
          <w:spacing w:val="-3"/>
        </w:rPr>
        <w:t xml:space="preserve"> </w:t>
      </w:r>
      <w:r>
        <w:t>following:</w:t>
      </w:r>
    </w:p>
    <w:p w14:paraId="3B522537" w14:textId="77777777" w:rsidR="00FC6D7C" w:rsidRDefault="00FC6D7C">
      <w:pPr>
        <w:pStyle w:val="BodyText"/>
        <w:rPr>
          <w:sz w:val="24"/>
        </w:rPr>
      </w:pPr>
    </w:p>
    <w:p w14:paraId="596A74BD" w14:textId="77777777" w:rsidR="00FC6D7C" w:rsidRDefault="002032AD">
      <w:pPr>
        <w:pStyle w:val="ListParagraph"/>
        <w:numPr>
          <w:ilvl w:val="1"/>
          <w:numId w:val="2"/>
        </w:numPr>
        <w:tabs>
          <w:tab w:val="left" w:pos="384"/>
        </w:tabs>
        <w:spacing w:before="1" w:line="244" w:lineRule="auto"/>
        <w:ind w:right="1095" w:firstLine="0"/>
      </w:pPr>
      <w:r>
        <w:t>For field disturbance sensors that limit their operation to the 57-64 GHz frequency band,</w:t>
      </w:r>
      <w:r>
        <w:rPr>
          <w:spacing w:val="-26"/>
        </w:rPr>
        <w:t xml:space="preserve"> </w:t>
      </w:r>
      <w:r>
        <w:t>the transmitter conducted output power shall not exceed 10</w:t>
      </w:r>
      <w:r>
        <w:rPr>
          <w:spacing w:val="-8"/>
        </w:rPr>
        <w:t xml:space="preserve"> </w:t>
      </w:r>
      <w:proofErr w:type="spellStart"/>
      <w:r>
        <w:t>mW</w:t>
      </w:r>
      <w:proofErr w:type="spellEnd"/>
      <w:r>
        <w:t>.</w:t>
      </w:r>
    </w:p>
    <w:p w14:paraId="640D549E" w14:textId="77777777" w:rsidR="00FC6D7C" w:rsidRDefault="00FC6D7C">
      <w:pPr>
        <w:pStyle w:val="BodyText"/>
        <w:spacing w:before="8"/>
        <w:rPr>
          <w:sz w:val="23"/>
        </w:rPr>
      </w:pPr>
    </w:p>
    <w:p w14:paraId="6E74290E" w14:textId="77777777" w:rsidR="00FC6D7C" w:rsidRDefault="002032AD">
      <w:pPr>
        <w:pStyle w:val="ListParagraph"/>
        <w:numPr>
          <w:ilvl w:val="1"/>
          <w:numId w:val="2"/>
        </w:numPr>
        <w:tabs>
          <w:tab w:val="left" w:pos="447"/>
        </w:tabs>
        <w:ind w:right="562" w:firstLine="0"/>
      </w:pPr>
      <w:r>
        <w:t>For field disturbance sensors operating over the entire 57-71 GHz frequency band, the transmitter conducted output power shall not exceed 0.1</w:t>
      </w:r>
      <w:r>
        <w:rPr>
          <w:spacing w:val="-9"/>
        </w:rPr>
        <w:t xml:space="preserve"> </w:t>
      </w:r>
      <w:proofErr w:type="spellStart"/>
      <w:r>
        <w:t>mW</w:t>
      </w:r>
      <w:proofErr w:type="spellEnd"/>
      <w:r>
        <w:t>.</w:t>
      </w:r>
    </w:p>
    <w:p w14:paraId="7958015B" w14:textId="77777777" w:rsidR="00FC6D7C" w:rsidRDefault="00FC6D7C">
      <w:pPr>
        <w:pStyle w:val="BodyText"/>
        <w:spacing w:before="3"/>
        <w:rPr>
          <w:sz w:val="24"/>
        </w:rPr>
      </w:pPr>
    </w:p>
    <w:p w14:paraId="40390941" w14:textId="77777777" w:rsidR="00FC6D7C" w:rsidRDefault="002032AD">
      <w:pPr>
        <w:pStyle w:val="BodyText"/>
        <w:ind w:left="120"/>
      </w:pPr>
      <w:r>
        <w:t>(3) * * *</w:t>
      </w:r>
    </w:p>
    <w:p w14:paraId="6724CC91" w14:textId="77777777" w:rsidR="00FC6D7C" w:rsidRDefault="00FC6D7C">
      <w:pPr>
        <w:pStyle w:val="BodyText"/>
        <w:rPr>
          <w:sz w:val="24"/>
        </w:rPr>
      </w:pPr>
    </w:p>
    <w:p w14:paraId="09C8BB3C" w14:textId="77777777" w:rsidR="00FC6D7C" w:rsidRDefault="002032AD">
      <w:pPr>
        <w:pStyle w:val="ListParagraph"/>
        <w:numPr>
          <w:ilvl w:val="0"/>
          <w:numId w:val="1"/>
        </w:numPr>
        <w:tabs>
          <w:tab w:val="left" w:pos="435"/>
        </w:tabs>
        <w:spacing w:line="244" w:lineRule="auto"/>
        <w:ind w:right="360" w:firstLine="0"/>
      </w:pPr>
      <w:r>
        <w:t>Compliance measurements of frequency-agile field disturbance sensors shall be performed with any related frequency sweep, step, or hop function</w:t>
      </w:r>
      <w:r>
        <w:rPr>
          <w:spacing w:val="-12"/>
        </w:rPr>
        <w:t xml:space="preserve"> </w:t>
      </w:r>
      <w:r>
        <w:t>activated.</w:t>
      </w:r>
    </w:p>
    <w:p w14:paraId="74C39721" w14:textId="77777777" w:rsidR="00FC6D7C" w:rsidRDefault="00FC6D7C">
      <w:pPr>
        <w:pStyle w:val="BodyText"/>
        <w:spacing w:before="7"/>
        <w:rPr>
          <w:sz w:val="23"/>
        </w:rPr>
      </w:pPr>
    </w:p>
    <w:p w14:paraId="0E89BEE2" w14:textId="77777777" w:rsidR="00FC6D7C" w:rsidRDefault="002032AD">
      <w:pPr>
        <w:pStyle w:val="BodyText"/>
        <w:ind w:left="120"/>
      </w:pPr>
      <w:r>
        <w:t>* * * * *</w:t>
      </w:r>
    </w:p>
    <w:p w14:paraId="556C9B2C" w14:textId="77777777" w:rsidR="00FC6D7C" w:rsidRDefault="00FC6D7C">
      <w:pPr>
        <w:sectPr w:rsidR="00FC6D7C">
          <w:pgSz w:w="12240" w:h="15840"/>
          <w:pgMar w:top="980" w:right="1320" w:bottom="960" w:left="1320" w:header="727" w:footer="712" w:gutter="0"/>
          <w:cols w:space="720"/>
        </w:sectPr>
      </w:pPr>
    </w:p>
    <w:p w14:paraId="4289D43B" w14:textId="77777777" w:rsidR="00FC6D7C" w:rsidRDefault="00FC6D7C">
      <w:pPr>
        <w:pStyle w:val="BodyText"/>
        <w:rPr>
          <w:sz w:val="20"/>
        </w:rPr>
      </w:pPr>
    </w:p>
    <w:p w14:paraId="3C9FAED4" w14:textId="77777777" w:rsidR="00FC6D7C" w:rsidRDefault="00FC6D7C">
      <w:pPr>
        <w:pStyle w:val="BodyText"/>
        <w:spacing w:before="4"/>
      </w:pPr>
    </w:p>
    <w:p w14:paraId="5502DB39" w14:textId="77777777" w:rsidR="00FC6D7C" w:rsidRDefault="002032AD">
      <w:pPr>
        <w:pStyle w:val="Heading1"/>
        <w:ind w:left="2247" w:right="2247"/>
        <w:jc w:val="center"/>
      </w:pPr>
      <w:r>
        <w:t>Appendix B</w:t>
      </w:r>
    </w:p>
    <w:p w14:paraId="69A0FC3C" w14:textId="77777777" w:rsidR="00FC6D7C" w:rsidRDefault="00FC6D7C">
      <w:pPr>
        <w:pStyle w:val="BodyText"/>
        <w:spacing w:before="11"/>
        <w:rPr>
          <w:b/>
          <w:sz w:val="21"/>
        </w:rPr>
      </w:pPr>
    </w:p>
    <w:p w14:paraId="5FF98487" w14:textId="77777777" w:rsidR="00FC6D7C" w:rsidRDefault="002032AD">
      <w:pPr>
        <w:ind w:left="2247" w:right="2246"/>
        <w:jc w:val="center"/>
        <w:rPr>
          <w:b/>
        </w:rPr>
      </w:pPr>
      <w:r>
        <w:rPr>
          <w:b/>
        </w:rPr>
        <w:t>Initial Regulatory Flexibility Analysis</w:t>
      </w:r>
    </w:p>
    <w:p w14:paraId="025E1D1E" w14:textId="77777777" w:rsidR="00FC6D7C" w:rsidRDefault="00FC6D7C">
      <w:pPr>
        <w:pStyle w:val="BodyText"/>
        <w:spacing w:before="2"/>
        <w:rPr>
          <w:b/>
        </w:rPr>
      </w:pPr>
    </w:p>
    <w:p w14:paraId="6F8FB4DA" w14:textId="77777777" w:rsidR="00FC6D7C" w:rsidRDefault="002032AD">
      <w:pPr>
        <w:pStyle w:val="BodyText"/>
        <w:ind w:left="839"/>
      </w:pPr>
      <w:r>
        <w:t>As required by the Regulatory Flexibility Act of 1980, as amended (RFA),</w:t>
      </w:r>
    </w:p>
    <w:p w14:paraId="771A0ECC" w14:textId="77777777" w:rsidR="00FC6D7C" w:rsidRDefault="0023630A">
      <w:pPr>
        <w:pStyle w:val="BodyText"/>
        <w:spacing w:before="111"/>
        <w:ind w:left="119" w:right="183" w:firstLine="729"/>
        <w:rPr>
          <w:sz w:val="14"/>
        </w:rPr>
      </w:pPr>
      <w:hyperlink w:anchor="_bookmark124" w:history="1">
        <w:r w:rsidR="002032AD">
          <w:rPr>
            <w:position w:val="8"/>
            <w:sz w:val="14"/>
          </w:rPr>
          <w:t>1</w:t>
        </w:r>
      </w:hyperlink>
      <w:r w:rsidR="002032AD">
        <w:rPr>
          <w:position w:val="8"/>
          <w:sz w:val="14"/>
        </w:rPr>
        <w:t xml:space="preserve"> </w:t>
      </w:r>
      <w:r w:rsidR="002032AD">
        <w:t xml:space="preserve">the Commission has prepared this present Initial Regulatory Flexibility Analysis (IRFA) of the possible significant economic impact on a substantial number of small entities by the policies and rules proposed in this </w:t>
      </w:r>
      <w:r w:rsidR="002032AD">
        <w:rPr>
          <w:i/>
        </w:rPr>
        <w:t xml:space="preserve">Notice of Proposed Rule Making </w:t>
      </w:r>
      <w:r w:rsidR="002032AD">
        <w:t>(</w:t>
      </w:r>
      <w:r w:rsidR="002032AD">
        <w:rPr>
          <w:i/>
        </w:rPr>
        <w:t>NPRM</w:t>
      </w:r>
      <w:r w:rsidR="002032AD">
        <w:t xml:space="preserve">).  Written public comments are requested on this IRFA. Comments must be identified as responses to the IRFA and must be filed by the deadlines for comments on the </w:t>
      </w:r>
      <w:r w:rsidR="002032AD">
        <w:rPr>
          <w:i/>
        </w:rPr>
        <w:t xml:space="preserve">NPRM </w:t>
      </w:r>
      <w:r w:rsidR="002032AD">
        <w:t xml:space="preserve">provided in the item. The Commission will send a copy of the </w:t>
      </w:r>
      <w:r w:rsidR="002032AD">
        <w:rPr>
          <w:i/>
        </w:rPr>
        <w:t>NPRM</w:t>
      </w:r>
      <w:r w:rsidR="002032AD">
        <w:t>, including this IRFA, to the Chief Counsel for Advocacy of the Small Business Administration (SBA).</w:t>
      </w:r>
      <w:hyperlink w:anchor="_bookmark125" w:history="1">
        <w:r w:rsidR="002032AD">
          <w:rPr>
            <w:position w:val="8"/>
            <w:sz w:val="14"/>
          </w:rPr>
          <w:t>2</w:t>
        </w:r>
      </w:hyperlink>
      <w:r w:rsidR="002032AD">
        <w:rPr>
          <w:position w:val="8"/>
          <w:sz w:val="14"/>
        </w:rPr>
        <w:t xml:space="preserve"> </w:t>
      </w:r>
      <w:r w:rsidR="002032AD">
        <w:t xml:space="preserve">In addition, the </w:t>
      </w:r>
      <w:r w:rsidR="002032AD">
        <w:rPr>
          <w:i/>
        </w:rPr>
        <w:t xml:space="preserve">NPRM </w:t>
      </w:r>
      <w:r w:rsidR="002032AD">
        <w:t>and IRFA (or summaries thereof) will be published in the Federal Register.</w:t>
      </w:r>
      <w:hyperlink w:anchor="_bookmark126" w:history="1">
        <w:r w:rsidR="002032AD">
          <w:rPr>
            <w:position w:val="8"/>
            <w:sz w:val="14"/>
          </w:rPr>
          <w:t>3</w:t>
        </w:r>
      </w:hyperlink>
    </w:p>
    <w:p w14:paraId="3DB6A5C4" w14:textId="77777777" w:rsidR="00FC6D7C" w:rsidRDefault="00FC6D7C">
      <w:pPr>
        <w:pStyle w:val="BodyText"/>
        <w:spacing w:before="3"/>
        <w:rPr>
          <w:sz w:val="32"/>
        </w:rPr>
      </w:pPr>
    </w:p>
    <w:p w14:paraId="23021B35" w14:textId="77777777" w:rsidR="00FC6D7C" w:rsidRDefault="002032AD">
      <w:pPr>
        <w:pStyle w:val="Heading1"/>
        <w:numPr>
          <w:ilvl w:val="1"/>
          <w:numId w:val="1"/>
        </w:numPr>
        <w:tabs>
          <w:tab w:val="left" w:pos="1559"/>
          <w:tab w:val="left" w:pos="1560"/>
        </w:tabs>
        <w:ind w:hanging="721"/>
      </w:pPr>
      <w:bookmarkStart w:id="142" w:name="A._Need_for,_and_Objectives_of,_the_Prop"/>
      <w:bookmarkEnd w:id="142"/>
      <w:r>
        <w:t>Need for, and Objectives of, the Proposed</w:t>
      </w:r>
      <w:r>
        <w:rPr>
          <w:spacing w:val="-14"/>
        </w:rPr>
        <w:t xml:space="preserve"> </w:t>
      </w:r>
      <w:proofErr w:type="gramStart"/>
      <w:r>
        <w:t>Rules</w:t>
      </w:r>
      <w:proofErr w:type="gramEnd"/>
    </w:p>
    <w:p w14:paraId="22DA9347" w14:textId="77777777" w:rsidR="00FC6D7C" w:rsidRDefault="002032AD">
      <w:pPr>
        <w:pStyle w:val="BodyText"/>
        <w:spacing w:before="119"/>
        <w:ind w:left="120" w:right="115" w:firstLine="719"/>
      </w:pPr>
      <w:r>
        <w:t xml:space="preserve">The </w:t>
      </w:r>
      <w:r>
        <w:rPr>
          <w:i/>
        </w:rPr>
        <w:t xml:space="preserve">NPRM </w:t>
      </w:r>
      <w:r>
        <w:t xml:space="preserve">addresses issues raised in multiple waiver requests by various field disturbance sensor (FDS)/radar manufacturers and is partly in response to a recommendation from the Technical Advisory Committee (TAC) that the Commission modify the rules for unlicensed 60 GHz devices in </w:t>
      </w:r>
      <w:proofErr w:type="gramStart"/>
      <w:r>
        <w:t>a number of</w:t>
      </w:r>
      <w:proofErr w:type="gramEnd"/>
      <w:r>
        <w:t xml:space="preserve"> respects.  The TAC recommends that the FCC initiates a rulemaking proceeding addressing potential areas of concern in the 60 GHz band by requesting comment and response to the following questions: 1) Should FCC rules allow greater radiated power for radar applications than currently permitted?; 2) Should the parameters for Google Soli, for which other entities have filed “me-too” requests, be included in the rules?; 3) What changes to the recent waiver parameters are needed to improve sharing with communications applications?; 4) Should the FCC require 60 GHz communication applications (and radar applications) to use a contention-based protocol?; and 5) Should radar applications that perform listen- before-talk be allowed to use the same power levels as communications applications in this</w:t>
      </w:r>
      <w:r>
        <w:rPr>
          <w:spacing w:val="-21"/>
        </w:rPr>
        <w:t xml:space="preserve"> </w:t>
      </w:r>
      <w:r>
        <w:t>band?</w:t>
      </w:r>
    </w:p>
    <w:p w14:paraId="3650C829" w14:textId="77777777" w:rsidR="00FC6D7C" w:rsidRDefault="00FC6D7C">
      <w:pPr>
        <w:pStyle w:val="BodyText"/>
        <w:spacing w:before="2"/>
      </w:pPr>
    </w:p>
    <w:p w14:paraId="541B9DAB" w14:textId="77777777" w:rsidR="00FC6D7C" w:rsidRDefault="002032AD">
      <w:pPr>
        <w:pStyle w:val="Heading1"/>
        <w:numPr>
          <w:ilvl w:val="1"/>
          <w:numId w:val="1"/>
        </w:numPr>
        <w:tabs>
          <w:tab w:val="left" w:pos="1560"/>
          <w:tab w:val="left" w:pos="1561"/>
        </w:tabs>
        <w:spacing w:before="1"/>
      </w:pPr>
      <w:bookmarkStart w:id="143" w:name="B._Legal_Basis"/>
      <w:bookmarkEnd w:id="143"/>
      <w:r>
        <w:t>Legal</w:t>
      </w:r>
      <w:r>
        <w:rPr>
          <w:spacing w:val="1"/>
        </w:rPr>
        <w:t xml:space="preserve"> </w:t>
      </w:r>
      <w:r>
        <w:t>Basis</w:t>
      </w:r>
    </w:p>
    <w:p w14:paraId="427C7B9E" w14:textId="77777777" w:rsidR="00FC6D7C" w:rsidRDefault="002032AD">
      <w:pPr>
        <w:pStyle w:val="BodyText"/>
        <w:spacing w:before="117"/>
        <w:ind w:left="120" w:right="185" w:firstLine="720"/>
      </w:pPr>
      <w:r>
        <w:t>The proposed action is taken pursuant to Sections 4(i), 201, 302, and 303 of the Communications Act of 1934, as amended, 47 U.S.C. §§ 154(i), 201, 302a, 303.</w:t>
      </w:r>
    </w:p>
    <w:p w14:paraId="3C9F35B7" w14:textId="77777777" w:rsidR="00FC6D7C" w:rsidRDefault="00FC6D7C">
      <w:pPr>
        <w:pStyle w:val="BodyText"/>
        <w:spacing w:before="3"/>
        <w:rPr>
          <w:sz w:val="32"/>
        </w:rPr>
      </w:pPr>
    </w:p>
    <w:p w14:paraId="42DC74BD" w14:textId="77777777" w:rsidR="00FC6D7C" w:rsidRDefault="002032AD">
      <w:pPr>
        <w:pStyle w:val="Heading1"/>
        <w:numPr>
          <w:ilvl w:val="1"/>
          <w:numId w:val="1"/>
        </w:numPr>
        <w:tabs>
          <w:tab w:val="left" w:pos="1560"/>
          <w:tab w:val="left" w:pos="1561"/>
        </w:tabs>
        <w:spacing w:line="244" w:lineRule="auto"/>
        <w:ind w:right="418"/>
      </w:pPr>
      <w:bookmarkStart w:id="144" w:name="C._Description_and_Estimate_of_the_Numbe"/>
      <w:bookmarkEnd w:id="144"/>
      <w:r>
        <w:t>Description and Estimate of the Number of Small Entities to Which the Proposed Rules Will</w:t>
      </w:r>
      <w:r>
        <w:rPr>
          <w:spacing w:val="-4"/>
        </w:rPr>
        <w:t xml:space="preserve"> </w:t>
      </w:r>
      <w:r>
        <w:t>Apply</w:t>
      </w:r>
    </w:p>
    <w:p w14:paraId="1E774689" w14:textId="77777777" w:rsidR="00FC6D7C" w:rsidRDefault="002032AD">
      <w:pPr>
        <w:pStyle w:val="BodyText"/>
        <w:spacing w:before="113" w:line="237" w:lineRule="auto"/>
        <w:ind w:left="119" w:right="283" w:firstLine="720"/>
      </w:pPr>
      <w:r>
        <w:t>The RFA directs agencies to provide a description of, and where feasible, an estimate of the number of small entities that may be affected by the proposed rules, if adopted.</w:t>
      </w:r>
      <w:hyperlink w:anchor="_bookmark127" w:history="1">
        <w:r>
          <w:rPr>
            <w:position w:val="8"/>
            <w:sz w:val="14"/>
          </w:rPr>
          <w:t>4</w:t>
        </w:r>
      </w:hyperlink>
      <w:r>
        <w:rPr>
          <w:position w:val="8"/>
          <w:sz w:val="14"/>
        </w:rPr>
        <w:t xml:space="preserve"> </w:t>
      </w:r>
      <w:r>
        <w:t>The RFA generally defines the term “small entity” as having the same meaning as the terms “small business,” “small organization,” and “small governmental jurisdiction.”</w:t>
      </w:r>
      <w:hyperlink w:anchor="_bookmark128" w:history="1">
        <w:r>
          <w:rPr>
            <w:position w:val="8"/>
            <w:sz w:val="14"/>
          </w:rPr>
          <w:t>5</w:t>
        </w:r>
      </w:hyperlink>
      <w:r>
        <w:rPr>
          <w:position w:val="8"/>
          <w:sz w:val="14"/>
        </w:rPr>
        <w:t xml:space="preserve"> </w:t>
      </w:r>
      <w:r>
        <w:t>In addition, the term “small business” has the same meaning as the term “small business concern” under the Small Business Act.</w:t>
      </w:r>
      <w:hyperlink w:anchor="_bookmark129" w:history="1">
        <w:r>
          <w:rPr>
            <w:position w:val="8"/>
            <w:sz w:val="14"/>
          </w:rPr>
          <w:t>6</w:t>
        </w:r>
      </w:hyperlink>
      <w:r>
        <w:rPr>
          <w:position w:val="8"/>
          <w:sz w:val="14"/>
        </w:rPr>
        <w:t xml:space="preserve">  </w:t>
      </w:r>
      <w:r>
        <w:t>A “small business</w:t>
      </w:r>
    </w:p>
    <w:p w14:paraId="60D9C15F" w14:textId="77777777" w:rsidR="00FC6D7C" w:rsidRDefault="0023630A">
      <w:pPr>
        <w:pStyle w:val="BodyText"/>
        <w:spacing w:before="8"/>
      </w:pPr>
      <w:r>
        <w:pict w14:anchorId="55D0ADF8">
          <v:line id="_x0000_s1028" style="position:absolute;z-index:251667968;mso-wrap-distance-left:0;mso-wrap-distance-right:0;mso-position-horizontal-relative:page" from="1in,15.3pt" to="3in,15.3pt" strokeweight=".6pt">
            <w10:wrap type="topAndBottom" anchorx="page"/>
          </v:line>
        </w:pict>
      </w:r>
    </w:p>
    <w:p w14:paraId="1CDC3DEB" w14:textId="77777777" w:rsidR="00FC6D7C" w:rsidRDefault="002032AD">
      <w:pPr>
        <w:spacing w:before="60"/>
        <w:ind w:left="120" w:right="283" w:hanging="1"/>
        <w:rPr>
          <w:sz w:val="20"/>
        </w:rPr>
      </w:pPr>
      <w:bookmarkStart w:id="145" w:name="_bookmark124"/>
      <w:bookmarkEnd w:id="145"/>
      <w:r>
        <w:rPr>
          <w:position w:val="7"/>
          <w:sz w:val="13"/>
        </w:rPr>
        <w:t xml:space="preserve">1 </w:t>
      </w:r>
      <w:r>
        <w:rPr>
          <w:sz w:val="20"/>
        </w:rPr>
        <w:t>5 U.S.C. § 603. The RFA, 5 U.S.C. § 601 – 612, has been amended by the Small Business Regulatory Enforcement Fairness Act of 1996 (SBREFA), Pub. L. No. 104-121, Title II, 110 Stat. 857 (1996).</w:t>
      </w:r>
    </w:p>
    <w:p w14:paraId="48402322" w14:textId="77777777" w:rsidR="00FC6D7C" w:rsidRDefault="002032AD">
      <w:pPr>
        <w:spacing w:before="115"/>
        <w:ind w:left="120"/>
        <w:rPr>
          <w:sz w:val="20"/>
        </w:rPr>
      </w:pPr>
      <w:bookmarkStart w:id="146" w:name="_bookmark125"/>
      <w:bookmarkEnd w:id="146"/>
      <w:r>
        <w:rPr>
          <w:position w:val="7"/>
          <w:sz w:val="13"/>
        </w:rPr>
        <w:t xml:space="preserve">2 </w:t>
      </w:r>
      <w:r>
        <w:rPr>
          <w:sz w:val="20"/>
        </w:rPr>
        <w:t>5 U.S.C. § 603(a).</w:t>
      </w:r>
    </w:p>
    <w:p w14:paraId="5F90A31F" w14:textId="77777777" w:rsidR="00FC6D7C" w:rsidRDefault="002032AD">
      <w:pPr>
        <w:spacing w:before="115"/>
        <w:ind w:left="120"/>
        <w:rPr>
          <w:i/>
          <w:sz w:val="20"/>
        </w:rPr>
      </w:pPr>
      <w:bookmarkStart w:id="147" w:name="_bookmark126"/>
      <w:bookmarkEnd w:id="147"/>
      <w:r>
        <w:rPr>
          <w:position w:val="7"/>
          <w:sz w:val="13"/>
        </w:rPr>
        <w:t xml:space="preserve">3 </w:t>
      </w:r>
      <w:r>
        <w:rPr>
          <w:i/>
          <w:sz w:val="20"/>
        </w:rPr>
        <w:t>Id.</w:t>
      </w:r>
    </w:p>
    <w:p w14:paraId="4ACEB8F3" w14:textId="77777777" w:rsidR="00FC6D7C" w:rsidRDefault="002032AD">
      <w:pPr>
        <w:spacing w:before="115"/>
        <w:ind w:left="120"/>
        <w:rPr>
          <w:sz w:val="20"/>
        </w:rPr>
      </w:pPr>
      <w:bookmarkStart w:id="148" w:name="_bookmark127"/>
      <w:bookmarkEnd w:id="148"/>
      <w:r>
        <w:rPr>
          <w:position w:val="7"/>
          <w:sz w:val="13"/>
        </w:rPr>
        <w:t xml:space="preserve">4 </w:t>
      </w:r>
      <w:r>
        <w:rPr>
          <w:sz w:val="20"/>
        </w:rPr>
        <w:t>5 U.S.C. § 603(b)(3).</w:t>
      </w:r>
    </w:p>
    <w:p w14:paraId="779A1033" w14:textId="77777777" w:rsidR="00FC6D7C" w:rsidRDefault="002032AD">
      <w:pPr>
        <w:spacing w:before="113"/>
        <w:ind w:left="120"/>
        <w:rPr>
          <w:sz w:val="20"/>
        </w:rPr>
      </w:pPr>
      <w:bookmarkStart w:id="149" w:name="_bookmark128"/>
      <w:bookmarkEnd w:id="149"/>
      <w:r>
        <w:rPr>
          <w:position w:val="7"/>
          <w:sz w:val="13"/>
        </w:rPr>
        <w:t xml:space="preserve">5 </w:t>
      </w:r>
      <w:r>
        <w:rPr>
          <w:sz w:val="20"/>
        </w:rPr>
        <w:t>5 U.S.C. § 601(6).</w:t>
      </w:r>
    </w:p>
    <w:p w14:paraId="6C6C7121" w14:textId="77777777" w:rsidR="00FC6D7C" w:rsidRDefault="002032AD">
      <w:pPr>
        <w:spacing w:before="115"/>
        <w:ind w:left="119" w:right="204"/>
        <w:rPr>
          <w:sz w:val="20"/>
        </w:rPr>
      </w:pPr>
      <w:bookmarkStart w:id="150" w:name="_bookmark129"/>
      <w:bookmarkEnd w:id="150"/>
      <w:r>
        <w:rPr>
          <w:position w:val="7"/>
          <w:sz w:val="13"/>
        </w:rPr>
        <w:t xml:space="preserve">6 </w:t>
      </w:r>
      <w:r>
        <w:rPr>
          <w:sz w:val="20"/>
        </w:rPr>
        <w:t>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w:t>
      </w:r>
    </w:p>
    <w:p w14:paraId="173D01E4" w14:textId="77777777" w:rsidR="00FC6D7C" w:rsidRDefault="002032AD">
      <w:pPr>
        <w:ind w:right="116"/>
        <w:jc w:val="right"/>
        <w:rPr>
          <w:sz w:val="20"/>
        </w:rPr>
      </w:pPr>
      <w:r>
        <w:rPr>
          <w:w w:val="95"/>
          <w:sz w:val="20"/>
        </w:rPr>
        <w:t>(</w:t>
      </w:r>
      <w:proofErr w:type="gramStart"/>
      <w:r>
        <w:rPr>
          <w:w w:val="95"/>
          <w:sz w:val="20"/>
        </w:rPr>
        <w:t>continued</w:t>
      </w:r>
      <w:proofErr w:type="gramEnd"/>
      <w:r>
        <w:rPr>
          <w:w w:val="95"/>
          <w:sz w:val="20"/>
        </w:rPr>
        <w:t>….)</w:t>
      </w:r>
    </w:p>
    <w:p w14:paraId="1A7E47E5" w14:textId="77777777" w:rsidR="00FC6D7C" w:rsidRDefault="00FC6D7C">
      <w:pPr>
        <w:jc w:val="right"/>
        <w:rPr>
          <w:sz w:val="20"/>
        </w:rPr>
        <w:sectPr w:rsidR="00FC6D7C">
          <w:pgSz w:w="12240" w:h="15840"/>
          <w:pgMar w:top="980" w:right="1320" w:bottom="900" w:left="1320" w:header="727" w:footer="712" w:gutter="0"/>
          <w:cols w:space="720"/>
        </w:sectPr>
      </w:pPr>
    </w:p>
    <w:p w14:paraId="7998DB47" w14:textId="77777777" w:rsidR="00FC6D7C" w:rsidRDefault="00FC6D7C">
      <w:pPr>
        <w:pStyle w:val="BodyText"/>
        <w:rPr>
          <w:sz w:val="20"/>
        </w:rPr>
      </w:pPr>
    </w:p>
    <w:p w14:paraId="782130BF" w14:textId="77777777" w:rsidR="00FC6D7C" w:rsidRDefault="00FC6D7C">
      <w:pPr>
        <w:pStyle w:val="BodyText"/>
        <w:spacing w:before="6"/>
      </w:pPr>
    </w:p>
    <w:p w14:paraId="2C57F644" w14:textId="77777777" w:rsidR="00FC6D7C" w:rsidRDefault="002032AD">
      <w:pPr>
        <w:pStyle w:val="BodyText"/>
        <w:spacing w:line="237" w:lineRule="auto"/>
        <w:ind w:left="119" w:right="711"/>
        <w:rPr>
          <w:sz w:val="14"/>
        </w:rPr>
      </w:pPr>
      <w:r>
        <w:t>concern” is one which: (1) is independently owned and operated; (2) is not dominant in its field of operation; and (3) satisfies any additional criteria established by the Small Business Administration (SBA).</w:t>
      </w:r>
      <w:hyperlink w:anchor="_bookmark130" w:history="1">
        <w:r>
          <w:rPr>
            <w:position w:val="8"/>
            <w:sz w:val="14"/>
          </w:rPr>
          <w:t>7</w:t>
        </w:r>
      </w:hyperlink>
    </w:p>
    <w:p w14:paraId="458F5150" w14:textId="77777777" w:rsidR="00FC6D7C" w:rsidRDefault="00FC6D7C">
      <w:pPr>
        <w:pStyle w:val="BodyText"/>
      </w:pPr>
    </w:p>
    <w:p w14:paraId="262F5643" w14:textId="77777777" w:rsidR="00FC6D7C" w:rsidRDefault="002032AD">
      <w:pPr>
        <w:pStyle w:val="BodyText"/>
        <w:ind w:left="119" w:right="209" w:firstLine="720"/>
      </w:pPr>
      <w:r>
        <w:rPr>
          <w:i/>
        </w:rPr>
        <w:t>Radio and Television Broadcasting and Wireless Communications Equipment Manufacturing</w:t>
      </w:r>
      <w:r>
        <w:t>. The proposed rules pertain to manufacturers of unlicensed communications devices. The appropriate small business size standard is that which the SBA has established for radio and television broadcasting and wireless communications equipment manufacturing. This industry comprises establishments primarily engaged in manufacturing radio and television broadcast and wireless communications equipment.</w:t>
      </w:r>
      <w:hyperlink w:anchor="_bookmark131" w:history="1">
        <w:r>
          <w:rPr>
            <w:position w:val="7"/>
            <w:sz w:val="13"/>
          </w:rPr>
          <w:t>8</w:t>
        </w:r>
      </w:hyperlink>
      <w:r>
        <w:rPr>
          <w:position w:val="7"/>
          <w:sz w:val="13"/>
        </w:rPr>
        <w:t xml:space="preserve">  </w:t>
      </w:r>
      <w:r>
        <w:t>Examples of products made by these establishments are: transmitting and receiving antennas, cable television equipment, GPS equipment, pagers, cellular phones, mobile communications equipment, and radio and television studio and broadcasting equipment.</w:t>
      </w:r>
      <w:hyperlink w:anchor="_bookmark132" w:history="1">
        <w:r>
          <w:rPr>
            <w:position w:val="7"/>
            <w:sz w:val="13"/>
          </w:rPr>
          <w:t>9</w:t>
        </w:r>
      </w:hyperlink>
      <w:r>
        <w:rPr>
          <w:position w:val="7"/>
          <w:sz w:val="13"/>
        </w:rPr>
        <w:t xml:space="preserve">  </w:t>
      </w:r>
      <w:r>
        <w:t>The SBA has established a small business size standard for this industry of 1,250 employees or less.</w:t>
      </w:r>
      <w:hyperlink w:anchor="_bookmark133" w:history="1">
        <w:r>
          <w:rPr>
            <w:position w:val="7"/>
            <w:sz w:val="13"/>
          </w:rPr>
          <w:t>10</w:t>
        </w:r>
      </w:hyperlink>
      <w:r>
        <w:rPr>
          <w:position w:val="7"/>
          <w:sz w:val="13"/>
        </w:rPr>
        <w:t xml:space="preserve"> </w:t>
      </w:r>
      <w:r>
        <w:t>U.S. Census Bureau data for 2012 show that 841 establishments operated in this industry in that year.</w:t>
      </w:r>
      <w:hyperlink w:anchor="_bookmark134" w:history="1">
        <w:r>
          <w:rPr>
            <w:position w:val="7"/>
            <w:sz w:val="13"/>
          </w:rPr>
          <w:t>11</w:t>
        </w:r>
      </w:hyperlink>
      <w:r>
        <w:rPr>
          <w:position w:val="7"/>
          <w:sz w:val="13"/>
        </w:rPr>
        <w:t xml:space="preserve"> </w:t>
      </w:r>
      <w:r>
        <w:t>Of that number, 828 establishments operated with fewer than 1,000 employees, 7 establishments operated with between 1,000 and 2,499 employees and 6 establishments operated with 2,500 or more employees.</w:t>
      </w:r>
      <w:hyperlink w:anchor="_bookmark135" w:history="1">
        <w:r>
          <w:rPr>
            <w:position w:val="7"/>
            <w:sz w:val="13"/>
          </w:rPr>
          <w:t>12</w:t>
        </w:r>
      </w:hyperlink>
      <w:r>
        <w:rPr>
          <w:position w:val="7"/>
          <w:sz w:val="13"/>
        </w:rPr>
        <w:t xml:space="preserve"> </w:t>
      </w:r>
      <w:r>
        <w:t>Based on this data, we conclude that a majority of manufacturers in this industry are</w:t>
      </w:r>
      <w:r>
        <w:rPr>
          <w:spacing w:val="-17"/>
        </w:rPr>
        <w:t xml:space="preserve"> </w:t>
      </w:r>
      <w:r>
        <w:t>small.</w:t>
      </w:r>
    </w:p>
    <w:p w14:paraId="010D06E9" w14:textId="77777777" w:rsidR="00FC6D7C" w:rsidRDefault="00FC6D7C">
      <w:pPr>
        <w:pStyle w:val="BodyText"/>
        <w:spacing w:before="9"/>
        <w:rPr>
          <w:sz w:val="21"/>
        </w:rPr>
      </w:pPr>
    </w:p>
    <w:p w14:paraId="6BCEBF74" w14:textId="77777777" w:rsidR="00FC6D7C" w:rsidRDefault="002032AD">
      <w:pPr>
        <w:pStyle w:val="Heading1"/>
        <w:numPr>
          <w:ilvl w:val="1"/>
          <w:numId w:val="1"/>
        </w:numPr>
        <w:tabs>
          <w:tab w:val="left" w:pos="1559"/>
          <w:tab w:val="left" w:pos="1560"/>
        </w:tabs>
        <w:spacing w:line="244" w:lineRule="auto"/>
        <w:ind w:left="1559" w:right="952" w:hanging="719"/>
      </w:pPr>
      <w:bookmarkStart w:id="151" w:name="D._Description_of_Projected_Reporting,_R"/>
      <w:bookmarkEnd w:id="151"/>
      <w:r>
        <w:t>Description of Projected Reporting, Recordkeeping, and Other Compliance Requirements for Small</w:t>
      </w:r>
      <w:r>
        <w:rPr>
          <w:spacing w:val="-10"/>
        </w:rPr>
        <w:t xml:space="preserve"> </w:t>
      </w:r>
      <w:r>
        <w:t>Entities</w:t>
      </w:r>
    </w:p>
    <w:p w14:paraId="7593C8CA" w14:textId="77777777" w:rsidR="00FC6D7C" w:rsidRDefault="002032AD">
      <w:pPr>
        <w:pStyle w:val="BodyText"/>
        <w:spacing w:before="111"/>
        <w:ind w:left="119" w:right="229" w:firstLine="720"/>
      </w:pPr>
      <w:r>
        <w:t xml:space="preserve">Unlicensed 60 GHz devices operating in the 57-71 GHz frequency band are regulated under section 15.255 of the Commission’s rules. The proposed rules in this </w:t>
      </w:r>
      <w:r>
        <w:rPr>
          <w:i/>
        </w:rPr>
        <w:t xml:space="preserve">NPRM </w:t>
      </w:r>
      <w:r>
        <w:t>pertain to field disturbance sensors (</w:t>
      </w:r>
      <w:proofErr w:type="gramStart"/>
      <w:r>
        <w:t>i.e.</w:t>
      </w:r>
      <w:proofErr w:type="gramEnd"/>
      <w:r>
        <w:t xml:space="preserve"> radar devices) that may be fixed or mobile. The proposed rules increase the allowable transmitted power levels to promote short-range radar applications without application restriction on operating environments, i.e., they may operate indoors or outdoors, in fixed or mobile applications, and be incorporated into any device, e.g., personal safety, industrial and consumer robotics, home/transportation automation (e.g., autonomous vehicles), environmental control, health care monitoring. Specifically, the </w:t>
      </w:r>
      <w:r>
        <w:rPr>
          <w:i/>
        </w:rPr>
        <w:t>NPRM</w:t>
      </w:r>
      <w:r>
        <w:t>:1) proposes to permit field disturbance sensors in the 57-64 GHz band to operate with up to 20 dBm average EIRP, 10 dBm transmitter conducted output power, 13 dBm/MHz average EIRP power spectral density and a 10% duty cycle in every 33 millisecond (</w:t>
      </w:r>
      <w:proofErr w:type="spellStart"/>
      <w:r>
        <w:t>ms</w:t>
      </w:r>
      <w:proofErr w:type="spellEnd"/>
      <w:r>
        <w:t>) interval; 2) investigates the potential for mobile FDS devices to operate in the 61.0-61.5 GHz band at the</w:t>
      </w:r>
    </w:p>
    <w:p w14:paraId="418AD84E" w14:textId="77777777" w:rsidR="00FC6D7C" w:rsidRDefault="00FC6D7C">
      <w:pPr>
        <w:pStyle w:val="BodyText"/>
        <w:spacing w:before="5"/>
        <w:rPr>
          <w:sz w:val="28"/>
        </w:rPr>
      </w:pPr>
    </w:p>
    <w:p w14:paraId="069909F9" w14:textId="77777777" w:rsidR="00FC6D7C" w:rsidRDefault="0023630A">
      <w:pPr>
        <w:spacing w:line="229" w:lineRule="exact"/>
        <w:ind w:left="120"/>
        <w:rPr>
          <w:sz w:val="20"/>
        </w:rPr>
      </w:pPr>
      <w:r>
        <w:pict w14:anchorId="41AEDEBB">
          <v:line id="_x0000_s1027" style="position:absolute;left:0;text-align:left;z-index:251668992;mso-position-horizontal-relative:page" from="205.55pt,7.05pt" to="349.55pt,7.05pt" strokeweight=".48pt">
            <w10:wrap anchorx="page"/>
          </v:line>
        </w:pict>
      </w:r>
      <w:r w:rsidR="002032AD">
        <w:rPr>
          <w:sz w:val="20"/>
        </w:rPr>
        <w:t>(Continued from previous page)</w:t>
      </w:r>
    </w:p>
    <w:p w14:paraId="38203C92" w14:textId="77777777" w:rsidR="00FC6D7C" w:rsidRDefault="002032AD">
      <w:pPr>
        <w:ind w:left="120" w:right="368"/>
        <w:rPr>
          <w:sz w:val="20"/>
        </w:rPr>
      </w:pPr>
      <w:r>
        <w:rPr>
          <w:sz w:val="20"/>
        </w:rPr>
        <w:t>for public comment, establishes one or more definitions of such term which are appropriate to the activities of the agency and publishes such definition(s) in the Federal Register.”.</w:t>
      </w:r>
    </w:p>
    <w:p w14:paraId="47C07FD6" w14:textId="77777777" w:rsidR="00FC6D7C" w:rsidRDefault="002032AD">
      <w:pPr>
        <w:spacing w:before="117"/>
        <w:ind w:left="120"/>
        <w:rPr>
          <w:sz w:val="20"/>
        </w:rPr>
      </w:pPr>
      <w:bookmarkStart w:id="152" w:name="_bookmark130"/>
      <w:bookmarkEnd w:id="152"/>
      <w:r>
        <w:rPr>
          <w:position w:val="7"/>
          <w:sz w:val="13"/>
        </w:rPr>
        <w:t xml:space="preserve">7 </w:t>
      </w:r>
      <w:r>
        <w:rPr>
          <w:sz w:val="20"/>
        </w:rPr>
        <w:t>15 U.S.C. § 632.</w:t>
      </w:r>
    </w:p>
    <w:p w14:paraId="3EF50391" w14:textId="77777777" w:rsidR="00FC6D7C" w:rsidRDefault="002032AD">
      <w:pPr>
        <w:spacing w:before="115"/>
        <w:ind w:left="119" w:right="680"/>
        <w:rPr>
          <w:sz w:val="20"/>
        </w:rPr>
      </w:pPr>
      <w:bookmarkStart w:id="153" w:name="_bookmark131"/>
      <w:bookmarkEnd w:id="153"/>
      <w:r>
        <w:rPr>
          <w:position w:val="7"/>
          <w:sz w:val="13"/>
        </w:rPr>
        <w:t xml:space="preserve">8 </w:t>
      </w:r>
      <w:r>
        <w:rPr>
          <w:i/>
          <w:sz w:val="20"/>
        </w:rPr>
        <w:t xml:space="preserve">See </w:t>
      </w:r>
      <w:r>
        <w:rPr>
          <w:sz w:val="20"/>
        </w:rPr>
        <w:t xml:space="preserve">U.S. Census Bureau, </w:t>
      </w:r>
      <w:r>
        <w:rPr>
          <w:i/>
          <w:sz w:val="20"/>
        </w:rPr>
        <w:t>2017 NAICS Definition, “334220 Radio and Television Broadcasting and Wireless Communications Equipment Manufacturing,</w:t>
      </w:r>
      <w:r>
        <w:rPr>
          <w:sz w:val="20"/>
        </w:rPr>
        <w:t xml:space="preserve">” </w:t>
      </w:r>
      <w:hyperlink r:id="rId52">
        <w:r>
          <w:rPr>
            <w:color w:val="0000FF"/>
            <w:sz w:val="20"/>
            <w:u w:val="single" w:color="0000FF"/>
          </w:rPr>
          <w:t>https://www.census.gov/naics/?input=334220&amp;year=2017&amp;details=334220</w:t>
        </w:r>
        <w:r>
          <w:rPr>
            <w:sz w:val="20"/>
          </w:rPr>
          <w:t>.</w:t>
        </w:r>
      </w:hyperlink>
    </w:p>
    <w:p w14:paraId="5896AECF" w14:textId="77777777" w:rsidR="00FC6D7C" w:rsidRDefault="002032AD">
      <w:pPr>
        <w:spacing w:before="115"/>
        <w:ind w:left="120"/>
        <w:rPr>
          <w:sz w:val="20"/>
        </w:rPr>
      </w:pPr>
      <w:bookmarkStart w:id="154" w:name="_bookmark132"/>
      <w:bookmarkEnd w:id="154"/>
      <w:r>
        <w:rPr>
          <w:position w:val="7"/>
          <w:sz w:val="13"/>
        </w:rPr>
        <w:t xml:space="preserve">9 </w:t>
      </w:r>
      <w:r>
        <w:rPr>
          <w:i/>
          <w:sz w:val="20"/>
        </w:rPr>
        <w:t>Id</w:t>
      </w:r>
      <w:r>
        <w:rPr>
          <w:sz w:val="20"/>
        </w:rPr>
        <w:t>.</w:t>
      </w:r>
    </w:p>
    <w:p w14:paraId="27BD32F0" w14:textId="77777777" w:rsidR="00FC6D7C" w:rsidRDefault="002032AD">
      <w:pPr>
        <w:spacing w:before="113"/>
        <w:ind w:left="120"/>
        <w:rPr>
          <w:sz w:val="20"/>
        </w:rPr>
      </w:pPr>
      <w:bookmarkStart w:id="155" w:name="_bookmark133"/>
      <w:bookmarkEnd w:id="155"/>
      <w:r>
        <w:rPr>
          <w:position w:val="7"/>
          <w:sz w:val="13"/>
        </w:rPr>
        <w:t xml:space="preserve">10 </w:t>
      </w:r>
      <w:r>
        <w:rPr>
          <w:i/>
          <w:sz w:val="20"/>
        </w:rPr>
        <w:t xml:space="preserve">See </w:t>
      </w:r>
      <w:r>
        <w:rPr>
          <w:sz w:val="20"/>
        </w:rPr>
        <w:t>13 CFR § 121.201, NAICS Code 334220.</w:t>
      </w:r>
    </w:p>
    <w:p w14:paraId="2057DEB5" w14:textId="77777777" w:rsidR="00FC6D7C" w:rsidRDefault="002032AD">
      <w:pPr>
        <w:spacing w:before="115"/>
        <w:ind w:left="120" w:right="421" w:hanging="1"/>
        <w:jc w:val="both"/>
        <w:rPr>
          <w:sz w:val="20"/>
        </w:rPr>
      </w:pPr>
      <w:bookmarkStart w:id="156" w:name="_bookmark134"/>
      <w:bookmarkEnd w:id="156"/>
      <w:r>
        <w:rPr>
          <w:position w:val="7"/>
          <w:sz w:val="13"/>
        </w:rPr>
        <w:t xml:space="preserve">11 </w:t>
      </w:r>
      <w:r>
        <w:rPr>
          <w:i/>
          <w:sz w:val="20"/>
        </w:rPr>
        <w:t xml:space="preserve">See </w:t>
      </w:r>
      <w:r>
        <w:rPr>
          <w:sz w:val="20"/>
        </w:rPr>
        <w:t xml:space="preserve">U.S. Census Bureau, </w:t>
      </w:r>
      <w:r>
        <w:rPr>
          <w:i/>
          <w:sz w:val="20"/>
        </w:rPr>
        <w:t>2012 Economic Census of the United States</w:t>
      </w:r>
      <w:r>
        <w:rPr>
          <w:sz w:val="20"/>
        </w:rPr>
        <w:t xml:space="preserve">, Table ID: EC1231SG2, </w:t>
      </w:r>
      <w:r>
        <w:rPr>
          <w:i/>
          <w:sz w:val="20"/>
        </w:rPr>
        <w:t>Manufacturing: Summary Series: General Summary: Industry Statistics for Subsectors and Industries by Employment Size: 2012</w:t>
      </w:r>
      <w:r>
        <w:rPr>
          <w:sz w:val="20"/>
        </w:rPr>
        <w:t>, NAICS Code 334220,</w:t>
      </w:r>
    </w:p>
    <w:p w14:paraId="66077E19" w14:textId="77777777" w:rsidR="00FC6D7C" w:rsidRDefault="0023630A">
      <w:pPr>
        <w:ind w:left="120" w:right="204"/>
        <w:rPr>
          <w:sz w:val="20"/>
        </w:rPr>
      </w:pPr>
      <w:hyperlink r:id="rId53">
        <w:r w:rsidR="002032AD">
          <w:rPr>
            <w:color w:val="0000FF"/>
            <w:w w:val="95"/>
            <w:sz w:val="20"/>
            <w:u w:val="single" w:color="0000FF"/>
          </w:rPr>
          <w:t>https://data.census.gov/cedsci/table?text=EC1231SG2&amp;n=334220&amp;tid=ECNSIZE2012.EC1231SG2&amp;hidePreview=</w:t>
        </w:r>
      </w:hyperlink>
      <w:r w:rsidR="002032AD">
        <w:rPr>
          <w:color w:val="0000FF"/>
          <w:w w:val="95"/>
          <w:sz w:val="20"/>
          <w:u w:val="single" w:color="0000FF"/>
        </w:rPr>
        <w:t xml:space="preserve"> </w:t>
      </w:r>
      <w:hyperlink r:id="rId54">
        <w:r w:rsidR="002032AD">
          <w:rPr>
            <w:color w:val="0000FF"/>
            <w:sz w:val="20"/>
            <w:u w:val="single" w:color="0000FF"/>
          </w:rPr>
          <w:t>false.</w:t>
        </w:r>
      </w:hyperlink>
    </w:p>
    <w:p w14:paraId="487D75B3" w14:textId="77777777" w:rsidR="00FC6D7C" w:rsidRDefault="002032AD">
      <w:pPr>
        <w:spacing w:before="118"/>
        <w:ind w:left="119" w:right="204"/>
        <w:rPr>
          <w:sz w:val="20"/>
        </w:rPr>
      </w:pPr>
      <w:bookmarkStart w:id="157" w:name="_bookmark135"/>
      <w:bookmarkEnd w:id="157"/>
      <w:r>
        <w:rPr>
          <w:position w:val="7"/>
          <w:sz w:val="13"/>
        </w:rPr>
        <w:t xml:space="preserve">12 </w:t>
      </w:r>
      <w:r>
        <w:rPr>
          <w:i/>
          <w:sz w:val="20"/>
        </w:rPr>
        <w:t>Id</w:t>
      </w:r>
      <w:r>
        <w:rPr>
          <w:sz w:val="20"/>
        </w:rPr>
        <w:t>. The available U.S. Census Bureau data does not provide a more precise estimate of the number of firms that meet the SBA size standard.</w:t>
      </w:r>
    </w:p>
    <w:p w14:paraId="10192E18" w14:textId="77777777" w:rsidR="00FC6D7C" w:rsidRDefault="00FC6D7C">
      <w:pPr>
        <w:rPr>
          <w:sz w:val="20"/>
        </w:rPr>
        <w:sectPr w:rsidR="00FC6D7C">
          <w:pgSz w:w="12240" w:h="15840"/>
          <w:pgMar w:top="980" w:right="1320" w:bottom="960" w:left="1320" w:header="727" w:footer="712" w:gutter="0"/>
          <w:cols w:space="720"/>
        </w:sectPr>
      </w:pPr>
    </w:p>
    <w:p w14:paraId="310A0EEF" w14:textId="77777777" w:rsidR="00FC6D7C" w:rsidRDefault="00FC6D7C">
      <w:pPr>
        <w:pStyle w:val="BodyText"/>
        <w:rPr>
          <w:sz w:val="20"/>
        </w:rPr>
      </w:pPr>
    </w:p>
    <w:p w14:paraId="69EBB3D9" w14:textId="77777777" w:rsidR="00FC6D7C" w:rsidRDefault="00FC6D7C">
      <w:pPr>
        <w:pStyle w:val="BodyText"/>
        <w:spacing w:before="4"/>
      </w:pPr>
    </w:p>
    <w:p w14:paraId="125F818C" w14:textId="77777777" w:rsidR="00FC6D7C" w:rsidRDefault="002032AD">
      <w:pPr>
        <w:pStyle w:val="BodyText"/>
        <w:ind w:left="119" w:right="173"/>
      </w:pPr>
      <w:r>
        <w:t>same 40 dBm EIRP at which fixed FDS devices currently are permitted to operate; 3) ask whether the Commission could permit radar devices that incorporate listen-before-talk, spectrum sensing, or other methods of co-existence, to operate across the entire 57-71 GHz band at the same power level (i.e., 40 dBm EIRP) as currently is permitted for 60 GHz communication devices; and 4) ask whether any of the provisions proposed for FDS operation should be more broadly applied to all Part 15 devices operating in the 57-71 GHz band.</w:t>
      </w:r>
    </w:p>
    <w:p w14:paraId="74F9990B" w14:textId="77777777" w:rsidR="00FC6D7C" w:rsidRDefault="00FC6D7C">
      <w:pPr>
        <w:pStyle w:val="BodyText"/>
        <w:spacing w:before="1"/>
      </w:pPr>
    </w:p>
    <w:p w14:paraId="26713C40" w14:textId="77777777" w:rsidR="00FC6D7C" w:rsidRDefault="002032AD">
      <w:pPr>
        <w:pStyle w:val="BodyText"/>
        <w:spacing w:before="1" w:line="237" w:lineRule="auto"/>
        <w:ind w:left="119" w:firstLine="720"/>
      </w:pPr>
      <w:r>
        <w:t>Most RF transmitting equipment, including 60 GHz devices, must be authorized through the certification procedure. Certification is an equipment authorization issued by a designated Telecommunication Certification Body (TCB) based on an application and test data submitted by the responsible party (</w:t>
      </w:r>
      <w:r>
        <w:rPr>
          <w:i/>
        </w:rPr>
        <w:t xml:space="preserve">e.g., </w:t>
      </w:r>
      <w:r>
        <w:t>the manufacturer or importer).</w:t>
      </w:r>
      <w:hyperlink w:anchor="_bookmark136" w:history="1">
        <w:r>
          <w:rPr>
            <w:position w:val="8"/>
            <w:sz w:val="14"/>
          </w:rPr>
          <w:t>13</w:t>
        </w:r>
      </w:hyperlink>
      <w:r>
        <w:rPr>
          <w:position w:val="8"/>
          <w:sz w:val="14"/>
        </w:rPr>
        <w:t xml:space="preserve">  </w:t>
      </w:r>
      <w:r>
        <w:t xml:space="preserve">Existing FDS devices operating under </w:t>
      </w:r>
      <w:proofErr w:type="gramStart"/>
      <w:r>
        <w:t>section</w:t>
      </w:r>
      <w:proofErr w:type="gramEnd"/>
    </w:p>
    <w:p w14:paraId="61212376" w14:textId="480CFE3A" w:rsidR="00FC6D7C" w:rsidRDefault="002032AD">
      <w:pPr>
        <w:pStyle w:val="BodyText"/>
        <w:spacing w:before="2"/>
        <w:ind w:left="119"/>
        <w:rPr>
          <w:sz w:val="13"/>
        </w:rPr>
      </w:pPr>
      <w:r>
        <w:t xml:space="preserve">15.255 of the Commission’s rules are already subject to the Certification procedure. The </w:t>
      </w:r>
      <w:r>
        <w:rPr>
          <w:i/>
        </w:rPr>
        <w:t xml:space="preserve">NPRM </w:t>
      </w:r>
      <w:r>
        <w:t xml:space="preserve">does not propose to change the authorization procedure for 60 GHz devices, but it does </w:t>
      </w:r>
      <w:r w:rsidR="00264B52" w:rsidRPr="00264B52">
        <w:rPr>
          <w:highlight w:val="yellow"/>
        </w:rPr>
        <w:t>seek comment</w:t>
      </w:r>
      <w:r>
        <w:t xml:space="preserve"> on methodologies for performing tests to obtain the data necessary to demonstrate compliance with the technical requirements for the types of radars anticipated to operate under the modified rules. In addition, the </w:t>
      </w:r>
      <w:r>
        <w:rPr>
          <w:i/>
        </w:rPr>
        <w:t xml:space="preserve">NPRM </w:t>
      </w:r>
      <w:r>
        <w:t>proposes to exempt frequency-modulated continuous wave and other swept frequency radars from the section 15.31(c) requirement to stop the frequency sweep when measuring the relevant technical parameters;</w:t>
      </w:r>
      <w:hyperlink w:anchor="_bookmark137" w:history="1">
        <w:r>
          <w:rPr>
            <w:position w:val="7"/>
            <w:sz w:val="13"/>
          </w:rPr>
          <w:t>14</w:t>
        </w:r>
      </w:hyperlink>
      <w:r>
        <w:rPr>
          <w:position w:val="7"/>
          <w:sz w:val="13"/>
        </w:rPr>
        <w:t xml:space="preserve"> </w:t>
      </w:r>
      <w:r>
        <w:t>2) remove the section 15.255(c)(4) requirement to use an RF detector with a detection bandwidth that encompasses the 57-71 GHz frequency range for performing peak power measurements;</w:t>
      </w:r>
      <w:hyperlink w:anchor="_bookmark138" w:history="1">
        <w:r>
          <w:rPr>
            <w:position w:val="7"/>
            <w:sz w:val="13"/>
          </w:rPr>
          <w:t>15</w:t>
        </w:r>
      </w:hyperlink>
      <w:r>
        <w:rPr>
          <w:position w:val="7"/>
          <w:sz w:val="13"/>
        </w:rPr>
        <w:t xml:space="preserve"> </w:t>
      </w:r>
      <w:r>
        <w:t>and 3) not apply the provision of section 15.35(c) that requires calculating average field strength over a complete pulse train or 100 milliseconds to pulsed or burst radars that operate in the 60 GHz band.</w:t>
      </w:r>
      <w:hyperlink w:anchor="_bookmark139" w:history="1">
        <w:r>
          <w:rPr>
            <w:position w:val="7"/>
            <w:sz w:val="13"/>
          </w:rPr>
          <w:t>16</w:t>
        </w:r>
      </w:hyperlink>
    </w:p>
    <w:p w14:paraId="4F5A5942" w14:textId="77777777" w:rsidR="00FC6D7C" w:rsidRDefault="00FC6D7C">
      <w:pPr>
        <w:pStyle w:val="BodyText"/>
      </w:pPr>
    </w:p>
    <w:p w14:paraId="581F0853" w14:textId="77777777" w:rsidR="00FC6D7C" w:rsidRDefault="002032AD">
      <w:pPr>
        <w:pStyle w:val="Heading1"/>
        <w:numPr>
          <w:ilvl w:val="1"/>
          <w:numId w:val="1"/>
        </w:numPr>
        <w:tabs>
          <w:tab w:val="left" w:pos="1559"/>
          <w:tab w:val="left" w:pos="1561"/>
        </w:tabs>
        <w:ind w:right="446"/>
      </w:pPr>
      <w:bookmarkStart w:id="158" w:name="E._Steps_Taken_to_Minimize_the_Significa"/>
      <w:bookmarkEnd w:id="158"/>
      <w:r>
        <w:t>Steps Taken to Minimize the Significant Economic Impact on Small Entities, and Significant Alternatives</w:t>
      </w:r>
      <w:r>
        <w:rPr>
          <w:spacing w:val="-10"/>
        </w:rPr>
        <w:t xml:space="preserve"> </w:t>
      </w:r>
      <w:r>
        <w:t>Considered</w:t>
      </w:r>
    </w:p>
    <w:p w14:paraId="398F3FB4" w14:textId="77777777" w:rsidR="00FC6D7C" w:rsidRDefault="002032AD">
      <w:pPr>
        <w:pStyle w:val="BodyText"/>
        <w:spacing w:before="118"/>
        <w:ind w:left="119" w:right="261" w:firstLine="720"/>
        <w:rPr>
          <w:sz w:val="14"/>
        </w:rPr>
      </w:pPr>
      <w:r>
        <w:t>The RFA requires an agency to describe any significant, specifically small business,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and reporting requirements under the rule for such small entities; (3) the use of performance rather than design standards; and (4) an exemption from coverage of the rule, or any part thereof, for such small entities.”</w:t>
      </w:r>
      <w:hyperlink w:anchor="_bookmark140" w:history="1">
        <w:r>
          <w:rPr>
            <w:position w:val="8"/>
            <w:sz w:val="14"/>
          </w:rPr>
          <w:t>17</w:t>
        </w:r>
      </w:hyperlink>
    </w:p>
    <w:p w14:paraId="478BB747" w14:textId="77777777" w:rsidR="00FC6D7C" w:rsidRDefault="00FC6D7C">
      <w:pPr>
        <w:pStyle w:val="BodyText"/>
      </w:pPr>
    </w:p>
    <w:p w14:paraId="5603054B" w14:textId="77777777" w:rsidR="00FC6D7C" w:rsidRDefault="002032AD">
      <w:pPr>
        <w:pStyle w:val="BodyText"/>
        <w:ind w:left="120" w:right="197" w:firstLine="720"/>
      </w:pPr>
      <w:r>
        <w:t xml:space="preserve">The rule changes proposed in the </w:t>
      </w:r>
      <w:r>
        <w:rPr>
          <w:i/>
        </w:rPr>
        <w:t xml:space="preserve">NPRM </w:t>
      </w:r>
      <w:r>
        <w:t>for higher power to field disturbance sensors and radars would provide greater flexibility to 60 GHz device operations.  As these proposed changes provide greater flexibility, the Commission does not believe they will have a significant negative impact on small entities. In fact, the proposed rules could benefit small entities. As operation of 60 GHz devices do not require a license, small entities are able to operate 60 GHz devices without the cost or inconvenience of obtaining a license.  In addition, the proposed rules partly align the technical parameters for FDS/</w:t>
      </w:r>
      <w:proofErr w:type="gramStart"/>
      <w:r>
        <w:t>radar</w:t>
      </w:r>
      <w:proofErr w:type="gramEnd"/>
    </w:p>
    <w:p w14:paraId="4CEEFAAB" w14:textId="77777777" w:rsidR="00FC6D7C" w:rsidRDefault="00FC6D7C">
      <w:pPr>
        <w:pStyle w:val="BodyText"/>
        <w:rPr>
          <w:sz w:val="20"/>
        </w:rPr>
      </w:pPr>
    </w:p>
    <w:p w14:paraId="07134598" w14:textId="77777777" w:rsidR="00FC6D7C" w:rsidRDefault="00FC6D7C">
      <w:pPr>
        <w:pStyle w:val="BodyText"/>
        <w:rPr>
          <w:sz w:val="20"/>
        </w:rPr>
      </w:pPr>
    </w:p>
    <w:p w14:paraId="09619909" w14:textId="77777777" w:rsidR="00FC6D7C" w:rsidRDefault="0023630A">
      <w:pPr>
        <w:pStyle w:val="BodyText"/>
        <w:rPr>
          <w:sz w:val="13"/>
        </w:rPr>
      </w:pPr>
      <w:r>
        <w:pict w14:anchorId="6CA38B64">
          <v:line id="_x0000_s1026" style="position:absolute;z-index:251670016;mso-wrap-distance-left:0;mso-wrap-distance-right:0;mso-position-horizontal-relative:page" from="1in,9.75pt" to="3in,9.75pt" strokeweight=".6pt">
            <w10:wrap type="topAndBottom" anchorx="page"/>
          </v:line>
        </w:pict>
      </w:r>
    </w:p>
    <w:p w14:paraId="0038A652" w14:textId="77777777" w:rsidR="00FC6D7C" w:rsidRDefault="002032AD">
      <w:pPr>
        <w:spacing w:before="60"/>
        <w:ind w:left="120" w:right="432" w:hanging="1"/>
        <w:rPr>
          <w:sz w:val="20"/>
        </w:rPr>
      </w:pPr>
      <w:bookmarkStart w:id="159" w:name="_bookmark136"/>
      <w:bookmarkEnd w:id="159"/>
      <w:r>
        <w:rPr>
          <w:position w:val="7"/>
          <w:sz w:val="13"/>
        </w:rPr>
        <w:t xml:space="preserve">13 </w:t>
      </w:r>
      <w:r>
        <w:rPr>
          <w:sz w:val="20"/>
        </w:rPr>
        <w:t>47 C.F.R. § 2.907. The Commission or a TCB may test a sample of a device to verify that it complies with the rules before granting approval for the equipment to be marketed. Examples of devices subject to certification include, but are not limited to, mobile phones; wireless local area networking equipment, remote control transmitters; land mobile radio transmitters; wireless medical telemetry transmitters; cordless telephones; and walkie-talkies.</w:t>
      </w:r>
    </w:p>
    <w:p w14:paraId="1851462C" w14:textId="77777777" w:rsidR="00FC6D7C" w:rsidRDefault="002032AD">
      <w:pPr>
        <w:spacing w:before="112"/>
        <w:ind w:left="120"/>
        <w:rPr>
          <w:sz w:val="20"/>
        </w:rPr>
      </w:pPr>
      <w:bookmarkStart w:id="160" w:name="_bookmark137"/>
      <w:bookmarkEnd w:id="160"/>
      <w:r>
        <w:rPr>
          <w:position w:val="7"/>
          <w:sz w:val="13"/>
        </w:rPr>
        <w:t xml:space="preserve">14 </w:t>
      </w:r>
      <w:r>
        <w:rPr>
          <w:sz w:val="20"/>
        </w:rPr>
        <w:t>47 CFR § 15.31(c).</w:t>
      </w:r>
    </w:p>
    <w:p w14:paraId="00FDCA2D" w14:textId="77777777" w:rsidR="00FC6D7C" w:rsidRDefault="002032AD">
      <w:pPr>
        <w:spacing w:before="115"/>
        <w:ind w:left="120"/>
        <w:rPr>
          <w:sz w:val="20"/>
        </w:rPr>
      </w:pPr>
      <w:bookmarkStart w:id="161" w:name="_bookmark138"/>
      <w:bookmarkEnd w:id="161"/>
      <w:r>
        <w:rPr>
          <w:position w:val="7"/>
          <w:sz w:val="13"/>
        </w:rPr>
        <w:t xml:space="preserve">15 </w:t>
      </w:r>
      <w:r>
        <w:rPr>
          <w:sz w:val="20"/>
        </w:rPr>
        <w:t>47 CFR § 15.255(c)(4).</w:t>
      </w:r>
    </w:p>
    <w:p w14:paraId="2341C712" w14:textId="77777777" w:rsidR="00FC6D7C" w:rsidRDefault="002032AD">
      <w:pPr>
        <w:spacing w:before="115"/>
        <w:ind w:left="120"/>
        <w:rPr>
          <w:sz w:val="20"/>
        </w:rPr>
      </w:pPr>
      <w:bookmarkStart w:id="162" w:name="_bookmark139"/>
      <w:bookmarkEnd w:id="162"/>
      <w:r>
        <w:rPr>
          <w:position w:val="7"/>
          <w:sz w:val="13"/>
        </w:rPr>
        <w:t xml:space="preserve">16 </w:t>
      </w:r>
      <w:r>
        <w:rPr>
          <w:sz w:val="20"/>
        </w:rPr>
        <w:t>47 CFR § 15.35(c).</w:t>
      </w:r>
    </w:p>
    <w:p w14:paraId="2D7EB558" w14:textId="77777777" w:rsidR="00FC6D7C" w:rsidRDefault="002032AD">
      <w:pPr>
        <w:spacing w:before="115"/>
        <w:ind w:left="120"/>
        <w:rPr>
          <w:sz w:val="20"/>
        </w:rPr>
      </w:pPr>
      <w:bookmarkStart w:id="163" w:name="_bookmark140"/>
      <w:bookmarkEnd w:id="163"/>
      <w:r>
        <w:rPr>
          <w:position w:val="7"/>
          <w:sz w:val="13"/>
        </w:rPr>
        <w:t xml:space="preserve">17 </w:t>
      </w:r>
      <w:r>
        <w:rPr>
          <w:sz w:val="20"/>
        </w:rPr>
        <w:t>5 U.S.C. § 603(c)(1) – (c)(4).</w:t>
      </w:r>
    </w:p>
    <w:p w14:paraId="70FFC423" w14:textId="77777777" w:rsidR="00FC6D7C" w:rsidRDefault="00FC6D7C">
      <w:pPr>
        <w:rPr>
          <w:sz w:val="20"/>
        </w:rPr>
        <w:sectPr w:rsidR="00FC6D7C">
          <w:pgSz w:w="12240" w:h="15840"/>
          <w:pgMar w:top="980" w:right="1320" w:bottom="960" w:left="1320" w:header="727" w:footer="712" w:gutter="0"/>
          <w:cols w:space="720"/>
        </w:sectPr>
      </w:pPr>
    </w:p>
    <w:p w14:paraId="1F146462" w14:textId="77777777" w:rsidR="00FC6D7C" w:rsidRDefault="00FC6D7C">
      <w:pPr>
        <w:pStyle w:val="BodyText"/>
        <w:rPr>
          <w:sz w:val="20"/>
        </w:rPr>
      </w:pPr>
    </w:p>
    <w:p w14:paraId="6C5BCC34" w14:textId="77777777" w:rsidR="00FC6D7C" w:rsidRDefault="00FC6D7C">
      <w:pPr>
        <w:pStyle w:val="BodyText"/>
        <w:spacing w:before="4"/>
      </w:pPr>
    </w:p>
    <w:p w14:paraId="18B5E778" w14:textId="77777777" w:rsidR="00FC6D7C" w:rsidRDefault="002032AD">
      <w:pPr>
        <w:pStyle w:val="BodyText"/>
        <w:ind w:left="119" w:right="424"/>
      </w:pPr>
      <w:r>
        <w:t>devices with international standards, which could save cost to small entities who would now be able to avoid having to create region-specific product designs.</w:t>
      </w:r>
    </w:p>
    <w:p w14:paraId="157DB4BF" w14:textId="77777777" w:rsidR="00FC6D7C" w:rsidRDefault="00FC6D7C">
      <w:pPr>
        <w:pStyle w:val="BodyText"/>
        <w:rPr>
          <w:sz w:val="20"/>
        </w:rPr>
      </w:pPr>
    </w:p>
    <w:p w14:paraId="128BC82D" w14:textId="77777777" w:rsidR="00FC6D7C" w:rsidRDefault="00FC6D7C">
      <w:pPr>
        <w:pStyle w:val="BodyText"/>
        <w:spacing w:before="10"/>
      </w:pPr>
    </w:p>
    <w:p w14:paraId="178B1016" w14:textId="77777777" w:rsidR="00FC6D7C" w:rsidRDefault="002032AD">
      <w:pPr>
        <w:pStyle w:val="Heading1"/>
        <w:numPr>
          <w:ilvl w:val="1"/>
          <w:numId w:val="1"/>
        </w:numPr>
        <w:tabs>
          <w:tab w:val="left" w:pos="1559"/>
          <w:tab w:val="left" w:pos="1560"/>
        </w:tabs>
        <w:ind w:left="1559"/>
      </w:pPr>
      <w:bookmarkStart w:id="164" w:name="F._Federal_Rules_that_May_Duplicate,_Ove"/>
      <w:bookmarkEnd w:id="164"/>
      <w:r>
        <w:t>Federal Rules that May Duplicate, Overlap, or Conflict with the Proposed</w:t>
      </w:r>
      <w:r>
        <w:rPr>
          <w:spacing w:val="-20"/>
        </w:rPr>
        <w:t xml:space="preserve"> </w:t>
      </w:r>
      <w:r>
        <w:t>Rules</w:t>
      </w:r>
    </w:p>
    <w:p w14:paraId="4CF4D623" w14:textId="77777777" w:rsidR="00FC6D7C" w:rsidRDefault="002032AD">
      <w:pPr>
        <w:pStyle w:val="BodyText"/>
        <w:spacing w:before="121"/>
        <w:ind w:left="119"/>
      </w:pPr>
      <w:r>
        <w:t>None.</w:t>
      </w:r>
    </w:p>
    <w:sectPr w:rsidR="00FC6D7C">
      <w:pgSz w:w="12240" w:h="15840"/>
      <w:pgMar w:top="980" w:right="1320" w:bottom="960" w:left="1320" w:header="727"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4F1F" w14:textId="77777777" w:rsidR="0023630A" w:rsidRDefault="0023630A">
      <w:r>
        <w:separator/>
      </w:r>
    </w:p>
  </w:endnote>
  <w:endnote w:type="continuationSeparator" w:id="0">
    <w:p w14:paraId="1D18AA2C" w14:textId="77777777" w:rsidR="0023630A" w:rsidRDefault="0023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AE0B" w14:textId="77777777" w:rsidR="00FC6D7C" w:rsidRDefault="0023630A">
    <w:pPr>
      <w:pStyle w:val="BodyText"/>
      <w:spacing w:line="14" w:lineRule="auto"/>
      <w:rPr>
        <w:sz w:val="20"/>
      </w:rPr>
    </w:pPr>
    <w:r>
      <w:pict w14:anchorId="095E95A3">
        <v:shapetype id="_x0000_t202" coordsize="21600,21600" o:spt="202" path="m,l,21600r21600,l21600,xe">
          <v:stroke joinstyle="miter"/>
          <v:path gradientshapeok="t" o:connecttype="rect"/>
        </v:shapetype>
        <v:shape id="_x0000_s2053" type="#_x0000_t202" style="position:absolute;margin-left:301.25pt;margin-top:742.75pt;width:9.55pt;height:14.25pt;z-index:-25888;mso-position-horizontal-relative:page;mso-position-vertical-relative:page" filled="f" stroked="f">
          <v:textbox inset="0,0,0,0">
            <w:txbxContent>
              <w:p w14:paraId="7B9B4FE7" w14:textId="77777777" w:rsidR="00FC6D7C" w:rsidRDefault="002032AD">
                <w:pPr>
                  <w:pStyle w:val="BodyText"/>
                  <w:spacing w:before="11"/>
                  <w:ind w:left="40"/>
                </w:pPr>
                <w:r>
                  <w:fldChar w:fldCharType="begin"/>
                </w:r>
                <w: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460A" w14:textId="77777777" w:rsidR="00FC6D7C" w:rsidRDefault="0023630A">
    <w:pPr>
      <w:pStyle w:val="BodyText"/>
      <w:spacing w:line="14" w:lineRule="auto"/>
      <w:rPr>
        <w:sz w:val="20"/>
      </w:rPr>
    </w:pPr>
    <w:r>
      <w:pict w14:anchorId="0C9F3C26">
        <v:shapetype id="_x0000_t202" coordsize="21600,21600" o:spt="202" path="m,l,21600r21600,l21600,xe">
          <v:stroke joinstyle="miter"/>
          <v:path gradientshapeok="t" o:connecttype="rect"/>
        </v:shapetype>
        <v:shape id="_x0000_s2052" type="#_x0000_t202" style="position:absolute;margin-left:299.5pt;margin-top:742.75pt;width:13.05pt;height:14.25pt;z-index:-25864;mso-position-horizontal-relative:page;mso-position-vertical-relative:page" filled="f" stroked="f">
          <v:textbox inset="0,0,0,0">
            <w:txbxContent>
              <w:p w14:paraId="30FC87B4" w14:textId="77777777" w:rsidR="00FC6D7C" w:rsidRDefault="002032AD">
                <w:pPr>
                  <w:pStyle w:val="BodyText"/>
                  <w:spacing w:before="11"/>
                  <w:ind w:left="20"/>
                </w:pPr>
                <w: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8410" w14:textId="77777777" w:rsidR="00FC6D7C" w:rsidRDefault="0023630A">
    <w:pPr>
      <w:pStyle w:val="BodyText"/>
      <w:spacing w:line="14" w:lineRule="auto"/>
      <w:rPr>
        <w:sz w:val="20"/>
      </w:rPr>
    </w:pPr>
    <w:r>
      <w:pict w14:anchorId="53D33E8B">
        <v:shapetype id="_x0000_t202" coordsize="21600,21600" o:spt="202" path="m,l,21600r21600,l21600,xe">
          <v:stroke joinstyle="miter"/>
          <v:path gradientshapeok="t" o:connecttype="rect"/>
        </v:shapetype>
        <v:shape id="_x0000_s2051" type="#_x0000_t202" style="position:absolute;margin-left:298.5pt;margin-top:742.75pt;width:15.05pt;height:14.25pt;z-index:-25840;mso-position-horizontal-relative:page;mso-position-vertical-relative:page" filled="f" stroked="f">
          <v:textbox inset="0,0,0,0">
            <w:txbxContent>
              <w:p w14:paraId="7FC4FB21" w14:textId="77777777" w:rsidR="00FC6D7C" w:rsidRDefault="002032AD">
                <w:pPr>
                  <w:pStyle w:val="BodyText"/>
                  <w:spacing w:before="11"/>
                  <w:ind w:left="40"/>
                </w:pPr>
                <w:r>
                  <w:fldChar w:fldCharType="begin"/>
                </w:r>
                <w:r>
                  <w:instrText xml:space="preserve"> PAGE </w:instrText>
                </w:r>
                <w:r>
                  <w:fldChar w:fldCharType="separate"/>
                </w:r>
                <w:r>
                  <w:t>11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8072" w14:textId="77777777" w:rsidR="00FC6D7C" w:rsidRDefault="0023630A">
    <w:pPr>
      <w:pStyle w:val="BodyText"/>
      <w:spacing w:line="14" w:lineRule="auto"/>
      <w:rPr>
        <w:sz w:val="20"/>
      </w:rPr>
    </w:pPr>
    <w:r>
      <w:pict w14:anchorId="6A1331EF">
        <v:shapetype id="_x0000_t202" coordsize="21600,21600" o:spt="202" path="m,l,21600r21600,l21600,xe">
          <v:stroke joinstyle="miter"/>
          <v:path gradientshapeok="t" o:connecttype="rect"/>
        </v:shapetype>
        <v:shape id="_x0000_s2050" type="#_x0000_t202" style="position:absolute;margin-left:299.5pt;margin-top:742.75pt;width:13.05pt;height:14.25pt;z-index:-25816;mso-position-horizontal-relative:page;mso-position-vertical-relative:page" filled="f" stroked="f">
          <v:textbox inset="0,0,0,0">
            <w:txbxContent>
              <w:p w14:paraId="1E5D87E6" w14:textId="77777777" w:rsidR="00FC6D7C" w:rsidRDefault="002032AD">
                <w:pPr>
                  <w:pStyle w:val="BodyText"/>
                  <w:spacing w:before="11"/>
                  <w:ind w:left="20"/>
                </w:pPr>
                <w:r>
                  <w:t>20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8208" w14:textId="77777777" w:rsidR="00FC6D7C" w:rsidRDefault="0023630A">
    <w:pPr>
      <w:pStyle w:val="BodyText"/>
      <w:spacing w:line="14" w:lineRule="auto"/>
      <w:rPr>
        <w:sz w:val="19"/>
      </w:rPr>
    </w:pPr>
    <w:r>
      <w:pict w14:anchorId="7D6F9D0D">
        <v:shapetype id="_x0000_t202" coordsize="21600,21600" o:spt="202" path="m,l,21600r21600,l21600,xe">
          <v:stroke joinstyle="miter"/>
          <v:path gradientshapeok="t" o:connecttype="rect"/>
        </v:shapetype>
        <v:shape id="_x0000_s2049" type="#_x0000_t202" style="position:absolute;margin-left:298.5pt;margin-top:742.75pt;width:15.05pt;height:14.25pt;z-index:-25792;mso-position-horizontal-relative:page;mso-position-vertical-relative:page" filled="f" stroked="f">
          <v:textbox inset="0,0,0,0">
            <w:txbxContent>
              <w:p w14:paraId="19A6B754" w14:textId="77777777" w:rsidR="00FC6D7C" w:rsidRDefault="002032AD">
                <w:pPr>
                  <w:pStyle w:val="BodyText"/>
                  <w:spacing w:before="11"/>
                  <w:ind w:left="40"/>
                </w:pPr>
                <w:r>
                  <w:fldChar w:fldCharType="begin"/>
                </w:r>
                <w:r>
                  <w:instrText xml:space="preserve"> PAGE </w:instrText>
                </w:r>
                <w:r>
                  <w:fldChar w:fldCharType="separate"/>
                </w:r>
                <w:r>
                  <w:t>26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DCDD" w14:textId="77777777" w:rsidR="0023630A" w:rsidRDefault="0023630A">
      <w:r>
        <w:separator/>
      </w:r>
    </w:p>
  </w:footnote>
  <w:footnote w:type="continuationSeparator" w:id="0">
    <w:p w14:paraId="6CC25DA3" w14:textId="77777777" w:rsidR="0023630A" w:rsidRDefault="0023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4BD4" w14:textId="77777777" w:rsidR="00FC6D7C" w:rsidRDefault="0023630A">
    <w:pPr>
      <w:pStyle w:val="BodyText"/>
      <w:spacing w:line="14" w:lineRule="auto"/>
      <w:rPr>
        <w:sz w:val="20"/>
      </w:rPr>
    </w:pPr>
    <w:r>
      <w:pict w14:anchorId="745BEC4A">
        <v:line id="_x0000_s2056" style="position:absolute;z-index:-25960;mso-position-horizontal-relative:page;mso-position-vertical-relative:page" from="72.6pt,49.1pt" to="540.6pt,49.1pt" strokeweight=".95pt">
          <w10:wrap anchorx="page" anchory="page"/>
        </v:line>
      </w:pict>
    </w:r>
    <w:r>
      <w:pict w14:anchorId="0584BE1C">
        <v:shapetype id="_x0000_t202" coordsize="21600,21600" o:spt="202" path="m,l,21600r21600,l21600,xe">
          <v:stroke joinstyle="miter"/>
          <v:path gradientshapeok="t" o:connecttype="rect"/>
        </v:shapetype>
        <v:shape id="_x0000_s2055" type="#_x0000_t202" style="position:absolute;margin-left:215.25pt;margin-top:35.35pt;width:181.8pt;height:14.25pt;z-index:-25936;mso-position-horizontal-relative:page;mso-position-vertical-relative:page" filled="f" stroked="f">
          <v:textbox inset="0,0,0,0">
            <w:txbxContent>
              <w:p w14:paraId="3DE8E5E6" w14:textId="77777777" w:rsidR="00FC6D7C" w:rsidRDefault="002032AD">
                <w:pPr>
                  <w:spacing w:before="11"/>
                  <w:ind w:left="20"/>
                  <w:rPr>
                    <w:b/>
                  </w:rPr>
                </w:pPr>
                <w:r>
                  <w:rPr>
                    <w:b/>
                  </w:rPr>
                  <w:t>Federal Communications Commission</w:t>
                </w:r>
              </w:p>
            </w:txbxContent>
          </v:textbox>
          <w10:wrap anchorx="page" anchory="page"/>
        </v:shape>
      </w:pict>
    </w:r>
    <w:r>
      <w:pict w14:anchorId="507DE8F3">
        <v:shape id="_x0000_s2054" type="#_x0000_t202" style="position:absolute;margin-left:447.9pt;margin-top:35.35pt;width:93.2pt;height:14.25pt;z-index:-25912;mso-position-horizontal-relative:page;mso-position-vertical-relative:page" filled="f" stroked="f">
          <v:textbox inset="0,0,0,0">
            <w:txbxContent>
              <w:p w14:paraId="65B896F8" w14:textId="77777777" w:rsidR="00FC6D7C" w:rsidRDefault="002032AD">
                <w:pPr>
                  <w:spacing w:before="11"/>
                  <w:ind w:left="20"/>
                  <w:rPr>
                    <w:b/>
                  </w:rPr>
                </w:pPr>
                <w:r>
                  <w:rPr>
                    <w:b/>
                  </w:rPr>
                  <w:t>FCC-CIRC2107-02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FB0"/>
    <w:multiLevelType w:val="hybridMultilevel"/>
    <w:tmpl w:val="EF8A1344"/>
    <w:lvl w:ilvl="0" w:tplc="8946DC4A">
      <w:numFmt w:val="bullet"/>
      <w:lvlText w:val="*"/>
      <w:lvlJc w:val="left"/>
      <w:pPr>
        <w:ind w:left="119" w:hanging="116"/>
      </w:pPr>
      <w:rPr>
        <w:rFonts w:ascii="Times New Roman" w:eastAsia="Times New Roman" w:hAnsi="Times New Roman" w:cs="Times New Roman" w:hint="default"/>
        <w:w w:val="99"/>
        <w:position w:val="7"/>
        <w:sz w:val="13"/>
        <w:szCs w:val="13"/>
      </w:rPr>
    </w:lvl>
    <w:lvl w:ilvl="1" w:tplc="C65099F0">
      <w:start w:val="1"/>
      <w:numFmt w:val="upperRoman"/>
      <w:lvlText w:val="%2."/>
      <w:lvlJc w:val="left"/>
      <w:pPr>
        <w:ind w:left="1020" w:hanging="721"/>
        <w:jc w:val="right"/>
      </w:pPr>
      <w:rPr>
        <w:rFonts w:ascii="Times New Roman" w:eastAsia="Times New Roman" w:hAnsi="Times New Roman" w:cs="Times New Roman" w:hint="default"/>
        <w:b/>
        <w:bCs/>
        <w:w w:val="100"/>
        <w:sz w:val="22"/>
        <w:szCs w:val="22"/>
      </w:rPr>
    </w:lvl>
    <w:lvl w:ilvl="2" w:tplc="19D2E860">
      <w:start w:val="1"/>
      <w:numFmt w:val="decimal"/>
      <w:lvlText w:val="%3."/>
      <w:lvlJc w:val="left"/>
      <w:pPr>
        <w:ind w:left="300" w:hanging="721"/>
        <w:jc w:val="left"/>
      </w:pPr>
      <w:rPr>
        <w:rFonts w:ascii="Times New Roman" w:eastAsia="Times New Roman" w:hAnsi="Times New Roman" w:cs="Times New Roman" w:hint="default"/>
        <w:w w:val="100"/>
        <w:sz w:val="22"/>
        <w:szCs w:val="22"/>
      </w:rPr>
    </w:lvl>
    <w:lvl w:ilvl="3" w:tplc="48DEFC08">
      <w:numFmt w:val="bullet"/>
      <w:lvlText w:val="•"/>
      <w:lvlJc w:val="left"/>
      <w:pPr>
        <w:ind w:left="2092" w:hanging="721"/>
      </w:pPr>
      <w:rPr>
        <w:rFonts w:hint="default"/>
      </w:rPr>
    </w:lvl>
    <w:lvl w:ilvl="4" w:tplc="76F032D6">
      <w:numFmt w:val="bullet"/>
      <w:lvlText w:val="•"/>
      <w:lvlJc w:val="left"/>
      <w:pPr>
        <w:ind w:left="3165" w:hanging="721"/>
      </w:pPr>
      <w:rPr>
        <w:rFonts w:hint="default"/>
      </w:rPr>
    </w:lvl>
    <w:lvl w:ilvl="5" w:tplc="B0CC14EA">
      <w:numFmt w:val="bullet"/>
      <w:lvlText w:val="•"/>
      <w:lvlJc w:val="left"/>
      <w:pPr>
        <w:ind w:left="4237" w:hanging="721"/>
      </w:pPr>
      <w:rPr>
        <w:rFonts w:hint="default"/>
      </w:rPr>
    </w:lvl>
    <w:lvl w:ilvl="6" w:tplc="9168F09C">
      <w:numFmt w:val="bullet"/>
      <w:lvlText w:val="•"/>
      <w:lvlJc w:val="left"/>
      <w:pPr>
        <w:ind w:left="5310" w:hanging="721"/>
      </w:pPr>
      <w:rPr>
        <w:rFonts w:hint="default"/>
      </w:rPr>
    </w:lvl>
    <w:lvl w:ilvl="7" w:tplc="1E68C614">
      <w:numFmt w:val="bullet"/>
      <w:lvlText w:val="•"/>
      <w:lvlJc w:val="left"/>
      <w:pPr>
        <w:ind w:left="6382" w:hanging="721"/>
      </w:pPr>
      <w:rPr>
        <w:rFonts w:hint="default"/>
      </w:rPr>
    </w:lvl>
    <w:lvl w:ilvl="8" w:tplc="6054D650">
      <w:numFmt w:val="bullet"/>
      <w:lvlText w:val="•"/>
      <w:lvlJc w:val="left"/>
      <w:pPr>
        <w:ind w:left="7455" w:hanging="721"/>
      </w:pPr>
      <w:rPr>
        <w:rFonts w:hint="default"/>
      </w:rPr>
    </w:lvl>
  </w:abstractNum>
  <w:abstractNum w:abstractNumId="1" w15:restartNumberingAfterBreak="0">
    <w:nsid w:val="0A521084"/>
    <w:multiLevelType w:val="hybridMultilevel"/>
    <w:tmpl w:val="7194C93C"/>
    <w:lvl w:ilvl="0" w:tplc="9DE4D6E8">
      <w:start w:val="39"/>
      <w:numFmt w:val="decimal"/>
      <w:lvlText w:val="%1."/>
      <w:lvlJc w:val="left"/>
      <w:pPr>
        <w:ind w:left="119" w:hanging="721"/>
        <w:jc w:val="left"/>
      </w:pPr>
      <w:rPr>
        <w:rFonts w:ascii="Times New Roman" w:eastAsia="Times New Roman" w:hAnsi="Times New Roman" w:cs="Times New Roman" w:hint="default"/>
        <w:w w:val="100"/>
        <w:sz w:val="22"/>
        <w:szCs w:val="22"/>
      </w:rPr>
    </w:lvl>
    <w:lvl w:ilvl="1" w:tplc="F93275AE">
      <w:numFmt w:val="bullet"/>
      <w:lvlText w:val="•"/>
      <w:lvlJc w:val="left"/>
      <w:pPr>
        <w:ind w:left="2280" w:hanging="721"/>
      </w:pPr>
      <w:rPr>
        <w:rFonts w:hint="default"/>
      </w:rPr>
    </w:lvl>
    <w:lvl w:ilvl="2" w:tplc="369C6BC2">
      <w:numFmt w:val="bullet"/>
      <w:lvlText w:val="•"/>
      <w:lvlJc w:val="left"/>
      <w:pPr>
        <w:ind w:left="3093" w:hanging="721"/>
      </w:pPr>
      <w:rPr>
        <w:rFonts w:hint="default"/>
      </w:rPr>
    </w:lvl>
    <w:lvl w:ilvl="3" w:tplc="57D2773A">
      <w:numFmt w:val="bullet"/>
      <w:lvlText w:val="•"/>
      <w:lvlJc w:val="left"/>
      <w:pPr>
        <w:ind w:left="3906" w:hanging="721"/>
      </w:pPr>
      <w:rPr>
        <w:rFonts w:hint="default"/>
      </w:rPr>
    </w:lvl>
    <w:lvl w:ilvl="4" w:tplc="86B68ED6">
      <w:numFmt w:val="bullet"/>
      <w:lvlText w:val="•"/>
      <w:lvlJc w:val="left"/>
      <w:pPr>
        <w:ind w:left="4720" w:hanging="721"/>
      </w:pPr>
      <w:rPr>
        <w:rFonts w:hint="default"/>
      </w:rPr>
    </w:lvl>
    <w:lvl w:ilvl="5" w:tplc="2BC22BF6">
      <w:numFmt w:val="bullet"/>
      <w:lvlText w:val="•"/>
      <w:lvlJc w:val="left"/>
      <w:pPr>
        <w:ind w:left="5533" w:hanging="721"/>
      </w:pPr>
      <w:rPr>
        <w:rFonts w:hint="default"/>
      </w:rPr>
    </w:lvl>
    <w:lvl w:ilvl="6" w:tplc="FD204496">
      <w:numFmt w:val="bullet"/>
      <w:lvlText w:val="•"/>
      <w:lvlJc w:val="left"/>
      <w:pPr>
        <w:ind w:left="6346" w:hanging="721"/>
      </w:pPr>
      <w:rPr>
        <w:rFonts w:hint="default"/>
      </w:rPr>
    </w:lvl>
    <w:lvl w:ilvl="7" w:tplc="AFC819E6">
      <w:numFmt w:val="bullet"/>
      <w:lvlText w:val="•"/>
      <w:lvlJc w:val="left"/>
      <w:pPr>
        <w:ind w:left="7160" w:hanging="721"/>
      </w:pPr>
      <w:rPr>
        <w:rFonts w:hint="default"/>
      </w:rPr>
    </w:lvl>
    <w:lvl w:ilvl="8" w:tplc="CE3EE08E">
      <w:numFmt w:val="bullet"/>
      <w:lvlText w:val="•"/>
      <w:lvlJc w:val="left"/>
      <w:pPr>
        <w:ind w:left="7973" w:hanging="721"/>
      </w:pPr>
      <w:rPr>
        <w:rFonts w:hint="default"/>
      </w:rPr>
    </w:lvl>
  </w:abstractNum>
  <w:abstractNum w:abstractNumId="2" w15:restartNumberingAfterBreak="0">
    <w:nsid w:val="0FA44CAA"/>
    <w:multiLevelType w:val="hybridMultilevel"/>
    <w:tmpl w:val="CBF4FD0E"/>
    <w:lvl w:ilvl="0" w:tplc="90EAC47A">
      <w:start w:val="3"/>
      <w:numFmt w:val="decimal"/>
      <w:lvlText w:val="%1."/>
      <w:lvlJc w:val="left"/>
      <w:pPr>
        <w:ind w:left="119" w:hanging="721"/>
        <w:jc w:val="left"/>
      </w:pPr>
      <w:rPr>
        <w:rFonts w:ascii="Times New Roman" w:eastAsia="Times New Roman" w:hAnsi="Times New Roman" w:cs="Times New Roman" w:hint="default"/>
        <w:w w:val="100"/>
        <w:sz w:val="22"/>
        <w:szCs w:val="22"/>
      </w:rPr>
    </w:lvl>
    <w:lvl w:ilvl="1" w:tplc="FC5A92CA">
      <w:numFmt w:val="bullet"/>
      <w:lvlText w:val="•"/>
      <w:lvlJc w:val="left"/>
      <w:pPr>
        <w:ind w:left="1068" w:hanging="721"/>
      </w:pPr>
      <w:rPr>
        <w:rFonts w:hint="default"/>
      </w:rPr>
    </w:lvl>
    <w:lvl w:ilvl="2" w:tplc="E5BCE1D0">
      <w:numFmt w:val="bullet"/>
      <w:lvlText w:val="•"/>
      <w:lvlJc w:val="left"/>
      <w:pPr>
        <w:ind w:left="2016" w:hanging="721"/>
      </w:pPr>
      <w:rPr>
        <w:rFonts w:hint="default"/>
      </w:rPr>
    </w:lvl>
    <w:lvl w:ilvl="3" w:tplc="AB8CC34E">
      <w:numFmt w:val="bullet"/>
      <w:lvlText w:val="•"/>
      <w:lvlJc w:val="left"/>
      <w:pPr>
        <w:ind w:left="2964" w:hanging="721"/>
      </w:pPr>
      <w:rPr>
        <w:rFonts w:hint="default"/>
      </w:rPr>
    </w:lvl>
    <w:lvl w:ilvl="4" w:tplc="15443166">
      <w:numFmt w:val="bullet"/>
      <w:lvlText w:val="•"/>
      <w:lvlJc w:val="left"/>
      <w:pPr>
        <w:ind w:left="3912" w:hanging="721"/>
      </w:pPr>
      <w:rPr>
        <w:rFonts w:hint="default"/>
      </w:rPr>
    </w:lvl>
    <w:lvl w:ilvl="5" w:tplc="A55C22EE">
      <w:numFmt w:val="bullet"/>
      <w:lvlText w:val="•"/>
      <w:lvlJc w:val="left"/>
      <w:pPr>
        <w:ind w:left="4860" w:hanging="721"/>
      </w:pPr>
      <w:rPr>
        <w:rFonts w:hint="default"/>
      </w:rPr>
    </w:lvl>
    <w:lvl w:ilvl="6" w:tplc="82A0ACF6">
      <w:numFmt w:val="bullet"/>
      <w:lvlText w:val="•"/>
      <w:lvlJc w:val="left"/>
      <w:pPr>
        <w:ind w:left="5808" w:hanging="721"/>
      </w:pPr>
      <w:rPr>
        <w:rFonts w:hint="default"/>
      </w:rPr>
    </w:lvl>
    <w:lvl w:ilvl="7" w:tplc="E822DCBE">
      <w:numFmt w:val="bullet"/>
      <w:lvlText w:val="•"/>
      <w:lvlJc w:val="left"/>
      <w:pPr>
        <w:ind w:left="6756" w:hanging="721"/>
      </w:pPr>
      <w:rPr>
        <w:rFonts w:hint="default"/>
      </w:rPr>
    </w:lvl>
    <w:lvl w:ilvl="8" w:tplc="EE6AFE94">
      <w:numFmt w:val="bullet"/>
      <w:lvlText w:val="•"/>
      <w:lvlJc w:val="left"/>
      <w:pPr>
        <w:ind w:left="7704" w:hanging="721"/>
      </w:pPr>
      <w:rPr>
        <w:rFonts w:hint="default"/>
      </w:rPr>
    </w:lvl>
  </w:abstractNum>
  <w:abstractNum w:abstractNumId="3" w15:restartNumberingAfterBreak="0">
    <w:nsid w:val="19616482"/>
    <w:multiLevelType w:val="hybridMultilevel"/>
    <w:tmpl w:val="38B84344"/>
    <w:lvl w:ilvl="0" w:tplc="08F88B48">
      <w:start w:val="19"/>
      <w:numFmt w:val="decimal"/>
      <w:lvlText w:val="%1."/>
      <w:lvlJc w:val="left"/>
      <w:pPr>
        <w:ind w:left="119" w:hanging="721"/>
        <w:jc w:val="left"/>
      </w:pPr>
      <w:rPr>
        <w:rFonts w:ascii="Times New Roman" w:eastAsia="Times New Roman" w:hAnsi="Times New Roman" w:cs="Times New Roman" w:hint="default"/>
        <w:w w:val="100"/>
        <w:sz w:val="22"/>
        <w:szCs w:val="22"/>
      </w:rPr>
    </w:lvl>
    <w:lvl w:ilvl="1" w:tplc="D99A8EF2">
      <w:start w:val="1"/>
      <w:numFmt w:val="decimal"/>
      <w:lvlText w:val="%2."/>
      <w:lvlJc w:val="left"/>
      <w:pPr>
        <w:ind w:left="2279" w:hanging="721"/>
        <w:jc w:val="left"/>
      </w:pPr>
      <w:rPr>
        <w:rFonts w:ascii="Times New Roman" w:eastAsia="Times New Roman" w:hAnsi="Times New Roman" w:cs="Times New Roman" w:hint="default"/>
        <w:b/>
        <w:bCs/>
        <w:w w:val="100"/>
        <w:sz w:val="22"/>
        <w:szCs w:val="22"/>
      </w:rPr>
    </w:lvl>
    <w:lvl w:ilvl="2" w:tplc="74926E8C">
      <w:numFmt w:val="bullet"/>
      <w:lvlText w:val="•"/>
      <w:lvlJc w:val="left"/>
      <w:pPr>
        <w:ind w:left="3093" w:hanging="721"/>
      </w:pPr>
      <w:rPr>
        <w:rFonts w:hint="default"/>
      </w:rPr>
    </w:lvl>
    <w:lvl w:ilvl="3" w:tplc="93F22CBC">
      <w:numFmt w:val="bullet"/>
      <w:lvlText w:val="•"/>
      <w:lvlJc w:val="left"/>
      <w:pPr>
        <w:ind w:left="3906" w:hanging="721"/>
      </w:pPr>
      <w:rPr>
        <w:rFonts w:hint="default"/>
      </w:rPr>
    </w:lvl>
    <w:lvl w:ilvl="4" w:tplc="737AB220">
      <w:numFmt w:val="bullet"/>
      <w:lvlText w:val="•"/>
      <w:lvlJc w:val="left"/>
      <w:pPr>
        <w:ind w:left="4720" w:hanging="721"/>
      </w:pPr>
      <w:rPr>
        <w:rFonts w:hint="default"/>
      </w:rPr>
    </w:lvl>
    <w:lvl w:ilvl="5" w:tplc="066A690C">
      <w:numFmt w:val="bullet"/>
      <w:lvlText w:val="•"/>
      <w:lvlJc w:val="left"/>
      <w:pPr>
        <w:ind w:left="5533" w:hanging="721"/>
      </w:pPr>
      <w:rPr>
        <w:rFonts w:hint="default"/>
      </w:rPr>
    </w:lvl>
    <w:lvl w:ilvl="6" w:tplc="72FCA4F8">
      <w:numFmt w:val="bullet"/>
      <w:lvlText w:val="•"/>
      <w:lvlJc w:val="left"/>
      <w:pPr>
        <w:ind w:left="6346" w:hanging="721"/>
      </w:pPr>
      <w:rPr>
        <w:rFonts w:hint="default"/>
      </w:rPr>
    </w:lvl>
    <w:lvl w:ilvl="7" w:tplc="56E4DFCE">
      <w:numFmt w:val="bullet"/>
      <w:lvlText w:val="•"/>
      <w:lvlJc w:val="left"/>
      <w:pPr>
        <w:ind w:left="7160" w:hanging="721"/>
      </w:pPr>
      <w:rPr>
        <w:rFonts w:hint="default"/>
      </w:rPr>
    </w:lvl>
    <w:lvl w:ilvl="8" w:tplc="A0740EAE">
      <w:numFmt w:val="bullet"/>
      <w:lvlText w:val="•"/>
      <w:lvlJc w:val="left"/>
      <w:pPr>
        <w:ind w:left="7973" w:hanging="721"/>
      </w:pPr>
      <w:rPr>
        <w:rFonts w:hint="default"/>
      </w:rPr>
    </w:lvl>
  </w:abstractNum>
  <w:abstractNum w:abstractNumId="4" w15:restartNumberingAfterBreak="0">
    <w:nsid w:val="23761B5D"/>
    <w:multiLevelType w:val="hybridMultilevel"/>
    <w:tmpl w:val="FEB87D20"/>
    <w:lvl w:ilvl="0" w:tplc="D228BDE0">
      <w:start w:val="3"/>
      <w:numFmt w:val="decimal"/>
      <w:lvlText w:val="(%1)"/>
      <w:lvlJc w:val="left"/>
      <w:pPr>
        <w:ind w:left="120" w:hanging="315"/>
        <w:jc w:val="left"/>
      </w:pPr>
      <w:rPr>
        <w:rFonts w:ascii="Times New Roman" w:eastAsia="Times New Roman" w:hAnsi="Times New Roman" w:cs="Times New Roman" w:hint="default"/>
        <w:w w:val="100"/>
        <w:sz w:val="22"/>
        <w:szCs w:val="22"/>
      </w:rPr>
    </w:lvl>
    <w:lvl w:ilvl="1" w:tplc="E2A20916">
      <w:start w:val="1"/>
      <w:numFmt w:val="lowerRoman"/>
      <w:lvlText w:val="(%2)"/>
      <w:lvlJc w:val="left"/>
      <w:pPr>
        <w:ind w:left="120" w:hanging="264"/>
        <w:jc w:val="left"/>
      </w:pPr>
      <w:rPr>
        <w:rFonts w:ascii="Times New Roman" w:eastAsia="Times New Roman" w:hAnsi="Times New Roman" w:cs="Times New Roman" w:hint="default"/>
        <w:w w:val="100"/>
        <w:sz w:val="22"/>
        <w:szCs w:val="22"/>
      </w:rPr>
    </w:lvl>
    <w:lvl w:ilvl="2" w:tplc="DE3E7F02">
      <w:numFmt w:val="bullet"/>
      <w:lvlText w:val="•"/>
      <w:lvlJc w:val="left"/>
      <w:pPr>
        <w:ind w:left="2016" w:hanging="264"/>
      </w:pPr>
      <w:rPr>
        <w:rFonts w:hint="default"/>
      </w:rPr>
    </w:lvl>
    <w:lvl w:ilvl="3" w:tplc="CC3811B8">
      <w:numFmt w:val="bullet"/>
      <w:lvlText w:val="•"/>
      <w:lvlJc w:val="left"/>
      <w:pPr>
        <w:ind w:left="2964" w:hanging="264"/>
      </w:pPr>
      <w:rPr>
        <w:rFonts w:hint="default"/>
      </w:rPr>
    </w:lvl>
    <w:lvl w:ilvl="4" w:tplc="1DBAEE6C">
      <w:numFmt w:val="bullet"/>
      <w:lvlText w:val="•"/>
      <w:lvlJc w:val="left"/>
      <w:pPr>
        <w:ind w:left="3912" w:hanging="264"/>
      </w:pPr>
      <w:rPr>
        <w:rFonts w:hint="default"/>
      </w:rPr>
    </w:lvl>
    <w:lvl w:ilvl="5" w:tplc="3F1EADB6">
      <w:numFmt w:val="bullet"/>
      <w:lvlText w:val="•"/>
      <w:lvlJc w:val="left"/>
      <w:pPr>
        <w:ind w:left="4860" w:hanging="264"/>
      </w:pPr>
      <w:rPr>
        <w:rFonts w:hint="default"/>
      </w:rPr>
    </w:lvl>
    <w:lvl w:ilvl="6" w:tplc="8BE0AD72">
      <w:numFmt w:val="bullet"/>
      <w:lvlText w:val="•"/>
      <w:lvlJc w:val="left"/>
      <w:pPr>
        <w:ind w:left="5808" w:hanging="264"/>
      </w:pPr>
      <w:rPr>
        <w:rFonts w:hint="default"/>
      </w:rPr>
    </w:lvl>
    <w:lvl w:ilvl="7" w:tplc="8CB69D4E">
      <w:numFmt w:val="bullet"/>
      <w:lvlText w:val="•"/>
      <w:lvlJc w:val="left"/>
      <w:pPr>
        <w:ind w:left="6756" w:hanging="264"/>
      </w:pPr>
      <w:rPr>
        <w:rFonts w:hint="default"/>
      </w:rPr>
    </w:lvl>
    <w:lvl w:ilvl="8" w:tplc="55C87616">
      <w:numFmt w:val="bullet"/>
      <w:lvlText w:val="•"/>
      <w:lvlJc w:val="left"/>
      <w:pPr>
        <w:ind w:left="7704" w:hanging="264"/>
      </w:pPr>
      <w:rPr>
        <w:rFonts w:hint="default"/>
      </w:rPr>
    </w:lvl>
  </w:abstractNum>
  <w:abstractNum w:abstractNumId="5" w15:restartNumberingAfterBreak="0">
    <w:nsid w:val="2CB005A0"/>
    <w:multiLevelType w:val="hybridMultilevel"/>
    <w:tmpl w:val="E1A88618"/>
    <w:lvl w:ilvl="0" w:tplc="AF1069D4">
      <w:numFmt w:val="bullet"/>
      <w:lvlText w:val=""/>
      <w:lvlJc w:val="left"/>
      <w:pPr>
        <w:ind w:left="840" w:hanging="361"/>
      </w:pPr>
      <w:rPr>
        <w:rFonts w:ascii="Symbol" w:eastAsia="Symbol" w:hAnsi="Symbol" w:cs="Symbol" w:hint="default"/>
        <w:w w:val="100"/>
        <w:sz w:val="22"/>
        <w:szCs w:val="22"/>
      </w:rPr>
    </w:lvl>
    <w:lvl w:ilvl="1" w:tplc="793A3C44">
      <w:numFmt w:val="bullet"/>
      <w:lvlText w:val="•"/>
      <w:lvlJc w:val="left"/>
      <w:pPr>
        <w:ind w:left="1716" w:hanging="361"/>
      </w:pPr>
      <w:rPr>
        <w:rFonts w:hint="default"/>
      </w:rPr>
    </w:lvl>
    <w:lvl w:ilvl="2" w:tplc="45E003EE">
      <w:numFmt w:val="bullet"/>
      <w:lvlText w:val="•"/>
      <w:lvlJc w:val="left"/>
      <w:pPr>
        <w:ind w:left="2592" w:hanging="361"/>
      </w:pPr>
      <w:rPr>
        <w:rFonts w:hint="default"/>
      </w:rPr>
    </w:lvl>
    <w:lvl w:ilvl="3" w:tplc="2FA055B2">
      <w:numFmt w:val="bullet"/>
      <w:lvlText w:val="•"/>
      <w:lvlJc w:val="left"/>
      <w:pPr>
        <w:ind w:left="3468" w:hanging="361"/>
      </w:pPr>
      <w:rPr>
        <w:rFonts w:hint="default"/>
      </w:rPr>
    </w:lvl>
    <w:lvl w:ilvl="4" w:tplc="E6AAA0CC">
      <w:numFmt w:val="bullet"/>
      <w:lvlText w:val="•"/>
      <w:lvlJc w:val="left"/>
      <w:pPr>
        <w:ind w:left="4344" w:hanging="361"/>
      </w:pPr>
      <w:rPr>
        <w:rFonts w:hint="default"/>
      </w:rPr>
    </w:lvl>
    <w:lvl w:ilvl="5" w:tplc="2110D88C">
      <w:numFmt w:val="bullet"/>
      <w:lvlText w:val="•"/>
      <w:lvlJc w:val="left"/>
      <w:pPr>
        <w:ind w:left="5220" w:hanging="361"/>
      </w:pPr>
      <w:rPr>
        <w:rFonts w:hint="default"/>
      </w:rPr>
    </w:lvl>
    <w:lvl w:ilvl="6" w:tplc="FE60322C">
      <w:numFmt w:val="bullet"/>
      <w:lvlText w:val="•"/>
      <w:lvlJc w:val="left"/>
      <w:pPr>
        <w:ind w:left="6096" w:hanging="361"/>
      </w:pPr>
      <w:rPr>
        <w:rFonts w:hint="default"/>
      </w:rPr>
    </w:lvl>
    <w:lvl w:ilvl="7" w:tplc="52FAAC30">
      <w:numFmt w:val="bullet"/>
      <w:lvlText w:val="•"/>
      <w:lvlJc w:val="left"/>
      <w:pPr>
        <w:ind w:left="6972" w:hanging="361"/>
      </w:pPr>
      <w:rPr>
        <w:rFonts w:hint="default"/>
      </w:rPr>
    </w:lvl>
    <w:lvl w:ilvl="8" w:tplc="2B467BCE">
      <w:numFmt w:val="bullet"/>
      <w:lvlText w:val="•"/>
      <w:lvlJc w:val="left"/>
      <w:pPr>
        <w:ind w:left="7848" w:hanging="361"/>
      </w:pPr>
      <w:rPr>
        <w:rFonts w:hint="default"/>
      </w:rPr>
    </w:lvl>
  </w:abstractNum>
  <w:abstractNum w:abstractNumId="6" w15:restartNumberingAfterBreak="0">
    <w:nsid w:val="42E10007"/>
    <w:multiLevelType w:val="hybridMultilevel"/>
    <w:tmpl w:val="66F08402"/>
    <w:lvl w:ilvl="0" w:tplc="DC901B26">
      <w:start w:val="21"/>
      <w:numFmt w:val="decimal"/>
      <w:lvlText w:val="%1."/>
      <w:lvlJc w:val="left"/>
      <w:pPr>
        <w:ind w:left="120" w:hanging="353"/>
        <w:jc w:val="left"/>
      </w:pPr>
      <w:rPr>
        <w:rFonts w:ascii="Times New Roman" w:eastAsia="Times New Roman" w:hAnsi="Times New Roman" w:cs="Times New Roman" w:hint="default"/>
        <w:spacing w:val="0"/>
        <w:w w:val="99"/>
        <w:sz w:val="20"/>
        <w:szCs w:val="20"/>
      </w:rPr>
    </w:lvl>
    <w:lvl w:ilvl="1" w:tplc="F5185494">
      <w:start w:val="1"/>
      <w:numFmt w:val="upperLetter"/>
      <w:lvlText w:val="%2."/>
      <w:lvlJc w:val="left"/>
      <w:pPr>
        <w:ind w:left="1559" w:hanging="720"/>
        <w:jc w:val="left"/>
      </w:pPr>
      <w:rPr>
        <w:rFonts w:ascii="Times New Roman" w:eastAsia="Times New Roman" w:hAnsi="Times New Roman" w:cs="Times New Roman" w:hint="default"/>
        <w:b/>
        <w:bCs/>
        <w:spacing w:val="-2"/>
        <w:w w:val="100"/>
        <w:sz w:val="22"/>
        <w:szCs w:val="22"/>
      </w:rPr>
    </w:lvl>
    <w:lvl w:ilvl="2" w:tplc="1DDA7888">
      <w:start w:val="1"/>
      <w:numFmt w:val="decimal"/>
      <w:lvlText w:val="%3."/>
      <w:lvlJc w:val="left"/>
      <w:pPr>
        <w:ind w:left="2279" w:hanging="721"/>
        <w:jc w:val="left"/>
      </w:pPr>
      <w:rPr>
        <w:rFonts w:ascii="Times New Roman" w:eastAsia="Times New Roman" w:hAnsi="Times New Roman" w:cs="Times New Roman" w:hint="default"/>
        <w:b/>
        <w:bCs/>
        <w:w w:val="100"/>
        <w:sz w:val="22"/>
        <w:szCs w:val="22"/>
      </w:rPr>
    </w:lvl>
    <w:lvl w:ilvl="3" w:tplc="88E0796E">
      <w:numFmt w:val="bullet"/>
      <w:lvlText w:val="•"/>
      <w:lvlJc w:val="left"/>
      <w:pPr>
        <w:ind w:left="3195" w:hanging="721"/>
      </w:pPr>
      <w:rPr>
        <w:rFonts w:hint="default"/>
      </w:rPr>
    </w:lvl>
    <w:lvl w:ilvl="4" w:tplc="D064251E">
      <w:numFmt w:val="bullet"/>
      <w:lvlText w:val="•"/>
      <w:lvlJc w:val="left"/>
      <w:pPr>
        <w:ind w:left="4110" w:hanging="721"/>
      </w:pPr>
      <w:rPr>
        <w:rFonts w:hint="default"/>
      </w:rPr>
    </w:lvl>
    <w:lvl w:ilvl="5" w:tplc="6952EDCE">
      <w:numFmt w:val="bullet"/>
      <w:lvlText w:val="•"/>
      <w:lvlJc w:val="left"/>
      <w:pPr>
        <w:ind w:left="5025" w:hanging="721"/>
      </w:pPr>
      <w:rPr>
        <w:rFonts w:hint="default"/>
      </w:rPr>
    </w:lvl>
    <w:lvl w:ilvl="6" w:tplc="B9A0BC00">
      <w:numFmt w:val="bullet"/>
      <w:lvlText w:val="•"/>
      <w:lvlJc w:val="left"/>
      <w:pPr>
        <w:ind w:left="5940" w:hanging="721"/>
      </w:pPr>
      <w:rPr>
        <w:rFonts w:hint="default"/>
      </w:rPr>
    </w:lvl>
    <w:lvl w:ilvl="7" w:tplc="EACC4714">
      <w:numFmt w:val="bullet"/>
      <w:lvlText w:val="•"/>
      <w:lvlJc w:val="left"/>
      <w:pPr>
        <w:ind w:left="6855" w:hanging="721"/>
      </w:pPr>
      <w:rPr>
        <w:rFonts w:hint="default"/>
      </w:rPr>
    </w:lvl>
    <w:lvl w:ilvl="8" w:tplc="1C6C9CC0">
      <w:numFmt w:val="bullet"/>
      <w:lvlText w:val="•"/>
      <w:lvlJc w:val="left"/>
      <w:pPr>
        <w:ind w:left="7770" w:hanging="721"/>
      </w:pPr>
      <w:rPr>
        <w:rFonts w:hint="default"/>
      </w:rPr>
    </w:lvl>
  </w:abstractNum>
  <w:abstractNum w:abstractNumId="7" w15:restartNumberingAfterBreak="0">
    <w:nsid w:val="5C7B1AA2"/>
    <w:multiLevelType w:val="hybridMultilevel"/>
    <w:tmpl w:val="CAEAFB48"/>
    <w:lvl w:ilvl="0" w:tplc="B6C2C9FE">
      <w:numFmt w:val="bullet"/>
      <w:lvlText w:val=""/>
      <w:lvlJc w:val="left"/>
      <w:pPr>
        <w:ind w:left="1200" w:hanging="361"/>
      </w:pPr>
      <w:rPr>
        <w:rFonts w:ascii="Symbol" w:eastAsia="Symbol" w:hAnsi="Symbol" w:cs="Symbol" w:hint="default"/>
        <w:w w:val="100"/>
        <w:sz w:val="22"/>
        <w:szCs w:val="22"/>
      </w:rPr>
    </w:lvl>
    <w:lvl w:ilvl="1" w:tplc="9EE40F54">
      <w:numFmt w:val="bullet"/>
      <w:lvlText w:val="o"/>
      <w:lvlJc w:val="left"/>
      <w:pPr>
        <w:ind w:left="1560" w:hanging="361"/>
      </w:pPr>
      <w:rPr>
        <w:rFonts w:ascii="Courier New" w:eastAsia="Courier New" w:hAnsi="Courier New" w:cs="Courier New" w:hint="default"/>
        <w:w w:val="100"/>
        <w:sz w:val="22"/>
        <w:szCs w:val="22"/>
      </w:rPr>
    </w:lvl>
    <w:lvl w:ilvl="2" w:tplc="50704366">
      <w:numFmt w:val="bullet"/>
      <w:lvlText w:val="•"/>
      <w:lvlJc w:val="left"/>
      <w:pPr>
        <w:ind w:left="2453" w:hanging="361"/>
      </w:pPr>
      <w:rPr>
        <w:rFonts w:hint="default"/>
      </w:rPr>
    </w:lvl>
    <w:lvl w:ilvl="3" w:tplc="3502F3E4">
      <w:numFmt w:val="bullet"/>
      <w:lvlText w:val="•"/>
      <w:lvlJc w:val="left"/>
      <w:pPr>
        <w:ind w:left="3346" w:hanging="361"/>
      </w:pPr>
      <w:rPr>
        <w:rFonts w:hint="default"/>
      </w:rPr>
    </w:lvl>
    <w:lvl w:ilvl="4" w:tplc="35A8E572">
      <w:numFmt w:val="bullet"/>
      <w:lvlText w:val="•"/>
      <w:lvlJc w:val="left"/>
      <w:pPr>
        <w:ind w:left="4240" w:hanging="361"/>
      </w:pPr>
      <w:rPr>
        <w:rFonts w:hint="default"/>
      </w:rPr>
    </w:lvl>
    <w:lvl w:ilvl="5" w:tplc="DB725996">
      <w:numFmt w:val="bullet"/>
      <w:lvlText w:val="•"/>
      <w:lvlJc w:val="left"/>
      <w:pPr>
        <w:ind w:left="5133" w:hanging="361"/>
      </w:pPr>
      <w:rPr>
        <w:rFonts w:hint="default"/>
      </w:rPr>
    </w:lvl>
    <w:lvl w:ilvl="6" w:tplc="6A26B97A">
      <w:numFmt w:val="bullet"/>
      <w:lvlText w:val="•"/>
      <w:lvlJc w:val="left"/>
      <w:pPr>
        <w:ind w:left="6026" w:hanging="361"/>
      </w:pPr>
      <w:rPr>
        <w:rFonts w:hint="default"/>
      </w:rPr>
    </w:lvl>
    <w:lvl w:ilvl="7" w:tplc="02FCE840">
      <w:numFmt w:val="bullet"/>
      <w:lvlText w:val="•"/>
      <w:lvlJc w:val="left"/>
      <w:pPr>
        <w:ind w:left="6920" w:hanging="361"/>
      </w:pPr>
      <w:rPr>
        <w:rFonts w:hint="default"/>
      </w:rPr>
    </w:lvl>
    <w:lvl w:ilvl="8" w:tplc="6D0C05FC">
      <w:numFmt w:val="bullet"/>
      <w:lvlText w:val="•"/>
      <w:lvlJc w:val="left"/>
      <w:pPr>
        <w:ind w:left="7813" w:hanging="361"/>
      </w:pPr>
      <w:rPr>
        <w:rFonts w:hint="default"/>
      </w:rPr>
    </w:lvl>
  </w:abstractNum>
  <w:abstractNum w:abstractNumId="8" w15:restartNumberingAfterBreak="0">
    <w:nsid w:val="65A400CE"/>
    <w:multiLevelType w:val="hybridMultilevel"/>
    <w:tmpl w:val="342CEE60"/>
    <w:lvl w:ilvl="0" w:tplc="5BDC709A">
      <w:start w:val="3"/>
      <w:numFmt w:val="lowerLetter"/>
      <w:lvlText w:val="(%1)"/>
      <w:lvlJc w:val="left"/>
      <w:pPr>
        <w:ind w:left="120" w:hanging="303"/>
        <w:jc w:val="left"/>
      </w:pPr>
      <w:rPr>
        <w:rFonts w:ascii="Times New Roman" w:eastAsia="Times New Roman" w:hAnsi="Times New Roman" w:cs="Times New Roman" w:hint="default"/>
        <w:w w:val="100"/>
        <w:sz w:val="22"/>
        <w:szCs w:val="22"/>
      </w:rPr>
    </w:lvl>
    <w:lvl w:ilvl="1" w:tplc="4FFC0586">
      <w:start w:val="1"/>
      <w:numFmt w:val="decimal"/>
      <w:lvlText w:val="(%2)"/>
      <w:lvlJc w:val="left"/>
      <w:pPr>
        <w:ind w:left="120" w:hanging="315"/>
        <w:jc w:val="left"/>
      </w:pPr>
      <w:rPr>
        <w:rFonts w:ascii="Times New Roman" w:eastAsia="Times New Roman" w:hAnsi="Times New Roman" w:cs="Times New Roman" w:hint="default"/>
        <w:w w:val="100"/>
        <w:sz w:val="22"/>
        <w:szCs w:val="22"/>
      </w:rPr>
    </w:lvl>
    <w:lvl w:ilvl="2" w:tplc="586456AA">
      <w:numFmt w:val="bullet"/>
      <w:lvlText w:val="•"/>
      <w:lvlJc w:val="left"/>
      <w:pPr>
        <w:ind w:left="2016" w:hanging="315"/>
      </w:pPr>
      <w:rPr>
        <w:rFonts w:hint="default"/>
      </w:rPr>
    </w:lvl>
    <w:lvl w:ilvl="3" w:tplc="4B8823FE">
      <w:numFmt w:val="bullet"/>
      <w:lvlText w:val="•"/>
      <w:lvlJc w:val="left"/>
      <w:pPr>
        <w:ind w:left="2964" w:hanging="315"/>
      </w:pPr>
      <w:rPr>
        <w:rFonts w:hint="default"/>
      </w:rPr>
    </w:lvl>
    <w:lvl w:ilvl="4" w:tplc="1ED2AC78">
      <w:numFmt w:val="bullet"/>
      <w:lvlText w:val="•"/>
      <w:lvlJc w:val="left"/>
      <w:pPr>
        <w:ind w:left="3912" w:hanging="315"/>
      </w:pPr>
      <w:rPr>
        <w:rFonts w:hint="default"/>
      </w:rPr>
    </w:lvl>
    <w:lvl w:ilvl="5" w:tplc="00F2BB06">
      <w:numFmt w:val="bullet"/>
      <w:lvlText w:val="•"/>
      <w:lvlJc w:val="left"/>
      <w:pPr>
        <w:ind w:left="4860" w:hanging="315"/>
      </w:pPr>
      <w:rPr>
        <w:rFonts w:hint="default"/>
      </w:rPr>
    </w:lvl>
    <w:lvl w:ilvl="6" w:tplc="8D42A428">
      <w:numFmt w:val="bullet"/>
      <w:lvlText w:val="•"/>
      <w:lvlJc w:val="left"/>
      <w:pPr>
        <w:ind w:left="5808" w:hanging="315"/>
      </w:pPr>
      <w:rPr>
        <w:rFonts w:hint="default"/>
      </w:rPr>
    </w:lvl>
    <w:lvl w:ilvl="7" w:tplc="117C25C4">
      <w:numFmt w:val="bullet"/>
      <w:lvlText w:val="•"/>
      <w:lvlJc w:val="left"/>
      <w:pPr>
        <w:ind w:left="6756" w:hanging="315"/>
      </w:pPr>
      <w:rPr>
        <w:rFonts w:hint="default"/>
      </w:rPr>
    </w:lvl>
    <w:lvl w:ilvl="8" w:tplc="1DBAD826">
      <w:numFmt w:val="bullet"/>
      <w:lvlText w:val="•"/>
      <w:lvlJc w:val="left"/>
      <w:pPr>
        <w:ind w:left="7704" w:hanging="315"/>
      </w:pPr>
      <w:rPr>
        <w:rFonts w:hint="default"/>
      </w:rPr>
    </w:lvl>
  </w:abstractNum>
  <w:abstractNum w:abstractNumId="9" w15:restartNumberingAfterBreak="0">
    <w:nsid w:val="73380215"/>
    <w:multiLevelType w:val="hybridMultilevel"/>
    <w:tmpl w:val="370C4494"/>
    <w:lvl w:ilvl="0" w:tplc="324A9D2E">
      <w:start w:val="2"/>
      <w:numFmt w:val="decimal"/>
      <w:lvlText w:val="(%1)"/>
      <w:lvlJc w:val="left"/>
      <w:pPr>
        <w:ind w:left="120" w:hanging="315"/>
        <w:jc w:val="left"/>
      </w:pPr>
      <w:rPr>
        <w:rFonts w:ascii="Times New Roman" w:eastAsia="Times New Roman" w:hAnsi="Times New Roman" w:cs="Times New Roman" w:hint="default"/>
        <w:w w:val="100"/>
        <w:sz w:val="22"/>
        <w:szCs w:val="22"/>
      </w:rPr>
    </w:lvl>
    <w:lvl w:ilvl="1" w:tplc="887EC946">
      <w:start w:val="1"/>
      <w:numFmt w:val="lowerRoman"/>
      <w:lvlText w:val="(%2)"/>
      <w:lvlJc w:val="left"/>
      <w:pPr>
        <w:ind w:left="120" w:hanging="264"/>
        <w:jc w:val="left"/>
      </w:pPr>
      <w:rPr>
        <w:rFonts w:ascii="Times New Roman" w:eastAsia="Times New Roman" w:hAnsi="Times New Roman" w:cs="Times New Roman" w:hint="default"/>
        <w:w w:val="100"/>
        <w:sz w:val="22"/>
        <w:szCs w:val="22"/>
      </w:rPr>
    </w:lvl>
    <w:lvl w:ilvl="2" w:tplc="39CCB520">
      <w:numFmt w:val="bullet"/>
      <w:lvlText w:val="•"/>
      <w:lvlJc w:val="left"/>
      <w:pPr>
        <w:ind w:left="2016" w:hanging="264"/>
      </w:pPr>
      <w:rPr>
        <w:rFonts w:hint="default"/>
      </w:rPr>
    </w:lvl>
    <w:lvl w:ilvl="3" w:tplc="2F02CDB6">
      <w:numFmt w:val="bullet"/>
      <w:lvlText w:val="•"/>
      <w:lvlJc w:val="left"/>
      <w:pPr>
        <w:ind w:left="2964" w:hanging="264"/>
      </w:pPr>
      <w:rPr>
        <w:rFonts w:hint="default"/>
      </w:rPr>
    </w:lvl>
    <w:lvl w:ilvl="4" w:tplc="502C1956">
      <w:numFmt w:val="bullet"/>
      <w:lvlText w:val="•"/>
      <w:lvlJc w:val="left"/>
      <w:pPr>
        <w:ind w:left="3912" w:hanging="264"/>
      </w:pPr>
      <w:rPr>
        <w:rFonts w:hint="default"/>
      </w:rPr>
    </w:lvl>
    <w:lvl w:ilvl="5" w:tplc="375C1DEE">
      <w:numFmt w:val="bullet"/>
      <w:lvlText w:val="•"/>
      <w:lvlJc w:val="left"/>
      <w:pPr>
        <w:ind w:left="4860" w:hanging="264"/>
      </w:pPr>
      <w:rPr>
        <w:rFonts w:hint="default"/>
      </w:rPr>
    </w:lvl>
    <w:lvl w:ilvl="6" w:tplc="9ADEBCC0">
      <w:numFmt w:val="bullet"/>
      <w:lvlText w:val="•"/>
      <w:lvlJc w:val="left"/>
      <w:pPr>
        <w:ind w:left="5808" w:hanging="264"/>
      </w:pPr>
      <w:rPr>
        <w:rFonts w:hint="default"/>
      </w:rPr>
    </w:lvl>
    <w:lvl w:ilvl="7" w:tplc="B5AE798E">
      <w:numFmt w:val="bullet"/>
      <w:lvlText w:val="•"/>
      <w:lvlJc w:val="left"/>
      <w:pPr>
        <w:ind w:left="6756" w:hanging="264"/>
      </w:pPr>
      <w:rPr>
        <w:rFonts w:hint="default"/>
      </w:rPr>
    </w:lvl>
    <w:lvl w:ilvl="8" w:tplc="CE38D880">
      <w:numFmt w:val="bullet"/>
      <w:lvlText w:val="•"/>
      <w:lvlJc w:val="left"/>
      <w:pPr>
        <w:ind w:left="7704" w:hanging="264"/>
      </w:pPr>
      <w:rPr>
        <w:rFonts w:hint="default"/>
      </w:rPr>
    </w:lvl>
  </w:abstractNum>
  <w:abstractNum w:abstractNumId="10" w15:restartNumberingAfterBreak="0">
    <w:nsid w:val="7A5563CC"/>
    <w:multiLevelType w:val="hybridMultilevel"/>
    <w:tmpl w:val="B94C15D4"/>
    <w:lvl w:ilvl="0" w:tplc="CD920DF4">
      <w:start w:val="4"/>
      <w:numFmt w:val="decimal"/>
      <w:lvlText w:val="(%1)"/>
      <w:lvlJc w:val="left"/>
      <w:pPr>
        <w:ind w:left="120" w:hanging="315"/>
        <w:jc w:val="left"/>
      </w:pPr>
      <w:rPr>
        <w:rFonts w:ascii="Times New Roman" w:eastAsia="Times New Roman" w:hAnsi="Times New Roman" w:cs="Times New Roman" w:hint="default"/>
        <w:w w:val="100"/>
        <w:sz w:val="22"/>
        <w:szCs w:val="22"/>
      </w:rPr>
    </w:lvl>
    <w:lvl w:ilvl="1" w:tplc="918E96BE">
      <w:start w:val="1"/>
      <w:numFmt w:val="upperLetter"/>
      <w:lvlText w:val="%2."/>
      <w:lvlJc w:val="left"/>
      <w:pPr>
        <w:ind w:left="1560" w:hanging="720"/>
        <w:jc w:val="left"/>
      </w:pPr>
      <w:rPr>
        <w:rFonts w:hint="default"/>
        <w:spacing w:val="-2"/>
        <w:w w:val="100"/>
      </w:rPr>
    </w:lvl>
    <w:lvl w:ilvl="2" w:tplc="5FF81172">
      <w:numFmt w:val="bullet"/>
      <w:lvlText w:val="•"/>
      <w:lvlJc w:val="left"/>
      <w:pPr>
        <w:ind w:left="2453" w:hanging="720"/>
      </w:pPr>
      <w:rPr>
        <w:rFonts w:hint="default"/>
      </w:rPr>
    </w:lvl>
    <w:lvl w:ilvl="3" w:tplc="8F22A800">
      <w:numFmt w:val="bullet"/>
      <w:lvlText w:val="•"/>
      <w:lvlJc w:val="left"/>
      <w:pPr>
        <w:ind w:left="3346" w:hanging="720"/>
      </w:pPr>
      <w:rPr>
        <w:rFonts w:hint="default"/>
      </w:rPr>
    </w:lvl>
    <w:lvl w:ilvl="4" w:tplc="7B70E2FC">
      <w:numFmt w:val="bullet"/>
      <w:lvlText w:val="•"/>
      <w:lvlJc w:val="left"/>
      <w:pPr>
        <w:ind w:left="4240" w:hanging="720"/>
      </w:pPr>
      <w:rPr>
        <w:rFonts w:hint="default"/>
      </w:rPr>
    </w:lvl>
    <w:lvl w:ilvl="5" w:tplc="90743ECA">
      <w:numFmt w:val="bullet"/>
      <w:lvlText w:val="•"/>
      <w:lvlJc w:val="left"/>
      <w:pPr>
        <w:ind w:left="5133" w:hanging="720"/>
      </w:pPr>
      <w:rPr>
        <w:rFonts w:hint="default"/>
      </w:rPr>
    </w:lvl>
    <w:lvl w:ilvl="6" w:tplc="32A8E7B2">
      <w:numFmt w:val="bullet"/>
      <w:lvlText w:val="•"/>
      <w:lvlJc w:val="left"/>
      <w:pPr>
        <w:ind w:left="6026" w:hanging="720"/>
      </w:pPr>
      <w:rPr>
        <w:rFonts w:hint="default"/>
      </w:rPr>
    </w:lvl>
    <w:lvl w:ilvl="7" w:tplc="1D3E5D08">
      <w:numFmt w:val="bullet"/>
      <w:lvlText w:val="•"/>
      <w:lvlJc w:val="left"/>
      <w:pPr>
        <w:ind w:left="6920" w:hanging="720"/>
      </w:pPr>
      <w:rPr>
        <w:rFonts w:hint="default"/>
      </w:rPr>
    </w:lvl>
    <w:lvl w:ilvl="8" w:tplc="7048FBE4">
      <w:numFmt w:val="bullet"/>
      <w:lvlText w:val="•"/>
      <w:lvlJc w:val="left"/>
      <w:pPr>
        <w:ind w:left="7813" w:hanging="720"/>
      </w:pPr>
      <w:rPr>
        <w:rFonts w:hint="default"/>
      </w:rPr>
    </w:lvl>
  </w:abstractNum>
  <w:num w:numId="1">
    <w:abstractNumId w:val="10"/>
  </w:num>
  <w:num w:numId="2">
    <w:abstractNumId w:val="9"/>
  </w:num>
  <w:num w:numId="3">
    <w:abstractNumId w:val="4"/>
  </w:num>
  <w:num w:numId="4">
    <w:abstractNumId w:val="8"/>
  </w:num>
  <w:num w:numId="5">
    <w:abstractNumId w:val="7"/>
  </w:num>
  <w:num w:numId="6">
    <w:abstractNumId w:val="1"/>
  </w:num>
  <w:num w:numId="7">
    <w:abstractNumId w:val="3"/>
  </w:num>
  <w:num w:numId="8">
    <w:abstractNumId w:val="6"/>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C6D7C"/>
    <w:rsid w:val="002032AD"/>
    <w:rsid w:val="0023630A"/>
    <w:rsid w:val="00264B52"/>
    <w:rsid w:val="008147F8"/>
    <w:rsid w:val="00FC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5A3976C"/>
  <w15:docId w15:val="{38291569-8543-4BA3-91BB-94BCBCA3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 w:firstLine="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airlinx.com/" TargetMode="External"/><Relationship Id="rId18" Type="http://schemas.openxmlformats.org/officeDocument/2006/relationships/hyperlink" Target="http://www.fcc.gov/document/fcc-permits-hot-car-sensors-save-children" TargetMode="External"/><Relationship Id="rId26" Type="http://schemas.openxmlformats.org/officeDocument/2006/relationships/hyperlink" Target="http://www.etsi.org/deliver/etsi_en/305500_305599/30555001/01.02.01_60/en_30555001v010201p.pdf" TargetMode="External"/><Relationship Id="rId39" Type="http://schemas.openxmlformats.org/officeDocument/2006/relationships/hyperlink" Target="http://www.etsi.org/deliver/etsi_en/305500_305599/305550/02.01.00_20/en_305550v020100a.pdf" TargetMode="External"/><Relationship Id="rId21" Type="http://schemas.openxmlformats.org/officeDocument/2006/relationships/hyperlink" Target="https://www.etsi.org/technologies/short-range-devices" TargetMode="External"/><Relationship Id="rId34" Type="http://schemas.openxmlformats.org/officeDocument/2006/relationships/hyperlink" Target="https://www.fcc.gov/general/technological-advisory-council" TargetMode="External"/><Relationship Id="rId42" Type="http://schemas.openxmlformats.org/officeDocument/2006/relationships/hyperlink" Target="https://en.wikipedia.org/wiki/Pulse-Doppler_radar" TargetMode="External"/><Relationship Id="rId47" Type="http://schemas.openxmlformats.org/officeDocument/2006/relationships/hyperlink" Target="https://www.fcc.gov/document/fcc-closes-headquarters-open-window-and-changes-hand-delivery-policy" TargetMode="External"/><Relationship Id="rId50" Type="http://schemas.openxmlformats.org/officeDocument/2006/relationships/hyperlink" Target="mailto:anh.wride@fcc.gov" TargetMode="External"/><Relationship Id="rId55" Type="http://schemas.openxmlformats.org/officeDocument/2006/relationships/fontTable" Target="fontTable.xml"/><Relationship Id="rId7" Type="http://schemas.openxmlformats.org/officeDocument/2006/relationships/hyperlink" Target="http://www.fcc.gov/ecfs/)" TargetMode="External"/><Relationship Id="rId12" Type="http://schemas.openxmlformats.org/officeDocument/2006/relationships/hyperlink" Target="http://www.wi-fi.org/discover-wi-fi/wigig-certified" TargetMode="External"/><Relationship Id="rId17" Type="http://schemas.openxmlformats.org/officeDocument/2006/relationships/hyperlink" Target="http://www.fcc.gov/document/fcc-permits-hot-car-sensors-save-children" TargetMode="External"/><Relationship Id="rId25" Type="http://schemas.openxmlformats.org/officeDocument/2006/relationships/hyperlink" Target="http://www.etsi.org/deliver/etsi_en/305500_305599/30555001/01.02.01_60/en_30555001v010201p.pdf" TargetMode="External"/><Relationship Id="rId33" Type="http://schemas.openxmlformats.org/officeDocument/2006/relationships/hyperlink" Target="https://www.fcc.gov/encyclopedia/technological-advisory-council-members" TargetMode="External"/><Relationship Id="rId38" Type="http://schemas.openxmlformats.org/officeDocument/2006/relationships/hyperlink" Target="https://en.wikipedia.org/wiki/Radio" TargetMode="External"/><Relationship Id="rId46" Type="http://schemas.openxmlformats.org/officeDocument/2006/relationships/hyperlink" Target="https://www.fcc.gov/ecfs" TargetMode="External"/><Relationship Id="rId2" Type="http://schemas.openxmlformats.org/officeDocument/2006/relationships/styles" Target="styles.xml"/><Relationship Id="rId16" Type="http://schemas.openxmlformats.org/officeDocument/2006/relationships/hyperlink" Target="https://atap.google.com/soli" TargetMode="External"/><Relationship Id="rId20" Type="http://schemas.openxmlformats.org/officeDocument/2006/relationships/hyperlink" Target="https://e2e.ti.com/blogs_/b/behind_the_wheel/posts/3-ways-radar-technology-is-changing-the-in-cabin-sensing-market" TargetMode="External"/><Relationship Id="rId29" Type="http://schemas.openxmlformats.org/officeDocument/2006/relationships/hyperlink" Target="https://urldefense.proofpoint.com/v2/url?u=https-3A__mentor.ieee.org_802.11_dcn_18_11-2D18-2D2095-2D01-2D00ay-2Dwlan-2Dradar-2Dannex.docx&amp;amp;d=DwMFAg&amp;amp;c=y0h0omCe0jAUGr4gAQ02Fw&amp;amp;r=v4f4uELhwdkytzLDgEf35GYtXsOsC2ZdqMp_fRAxcPQ&amp;amp;m=zodPPswAk5YnlIAICz7AaYNzlqmdV4LSRodLw6aySec&amp;amp;s=tOndGwbQFnxhOz7HEkofq3VFt5fqJVL_rSdhfNXJDac&amp;amp;e" TargetMode="External"/><Relationship Id="rId41" Type="http://schemas.openxmlformats.org/officeDocument/2006/relationships/hyperlink" Target="http://user.engineering.uiowa.edu/%7Eece195/2006/docs/Doppler.pdf" TargetMode="External"/><Relationship Id="rId54" Type="http://schemas.openxmlformats.org/officeDocument/2006/relationships/hyperlink" Target="https://data.census.gov/cedsci/table?text=EC1231SG2&amp;amp;n=334220&amp;amp;tid=ECNSIZE2012.EC1231SG2&amp;amp;hidePreview=fal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fi.org/discover-wi-fi/wigig-certified" TargetMode="External"/><Relationship Id="rId24" Type="http://schemas.openxmlformats.org/officeDocument/2006/relationships/hyperlink" Target="https://www.etsi.org/deliver/etsi_en/305500_305599/305550/02.01.00_20/en_305550v020100a.pdf" TargetMode="External"/><Relationship Id="rId32" Type="http://schemas.openxmlformats.org/officeDocument/2006/relationships/hyperlink" Target="http://www.gsa.gov/portal/content/100916" TargetMode="External"/><Relationship Id="rId37" Type="http://schemas.openxmlformats.org/officeDocument/2006/relationships/footer" Target="footer3.xml"/><Relationship Id="rId40" Type="http://schemas.openxmlformats.org/officeDocument/2006/relationships/hyperlink" Target="https://en.wikipedia.org/wiki/Turn_(geometry)" TargetMode="External"/><Relationship Id="rId45" Type="http://schemas.openxmlformats.org/officeDocument/2006/relationships/footer" Target="footer5.xml"/><Relationship Id="rId53" Type="http://schemas.openxmlformats.org/officeDocument/2006/relationships/hyperlink" Target="https://data.census.gov/cedsci/table?text=EC1231SG2&amp;amp;n=334220&amp;amp;tid=ECNSIZE2012.EC1231SG2&amp;amp;hidePreview=false"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etsi.org/deliver/etsi_en/305500_305599/30555001/01.02.01_60/en_30555001v010201p.pdf" TargetMode="External"/><Relationship Id="rId28" Type="http://schemas.openxmlformats.org/officeDocument/2006/relationships/hyperlink" Target="https://www.wi-fi.org/news-events/newsroom/wi-fi-alliance-and-wireless-gigabit-alliance-to-unify" TargetMode="External"/><Relationship Id="rId36" Type="http://schemas.openxmlformats.org/officeDocument/2006/relationships/footer" Target="footer2.xml"/><Relationship Id="rId49" Type="http://schemas.openxmlformats.org/officeDocument/2006/relationships/hyperlink" Target="mailto:fcc504@fcc.gov" TargetMode="External"/><Relationship Id="rId10" Type="http://schemas.openxmlformats.org/officeDocument/2006/relationships/hyperlink" Target="https://www.wi-fi.org/discover-wi-fi/wi-fi-certified-wigig" TargetMode="External"/><Relationship Id="rId19" Type="http://schemas.openxmlformats.org/officeDocument/2006/relationships/hyperlink" Target="https://e2e.ti.com/blogs_/b/behind_the_wheel/posts/3-ways-radar-technology-is-changing-the-in-cabin-sensing-market" TargetMode="External"/><Relationship Id="rId31" Type="http://schemas.openxmlformats.org/officeDocument/2006/relationships/hyperlink" Target="http://www.gsa.gov/portal/content/100916" TargetMode="External"/><Relationship Id="rId44" Type="http://schemas.openxmlformats.org/officeDocument/2006/relationships/footer" Target="footer4.xml"/><Relationship Id="rId52" Type="http://schemas.openxmlformats.org/officeDocument/2006/relationships/hyperlink" Target="https://www.census.gov/naics/?input=334220&amp;amp;year=2017&amp;amp;details=33422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ignitenet.com/technology/metrolinq/" TargetMode="External"/><Relationship Id="rId22" Type="http://schemas.openxmlformats.org/officeDocument/2006/relationships/hyperlink" Target="https://www.etsi.org/technologies/short-range-devices" TargetMode="External"/><Relationship Id="rId27" Type="http://schemas.openxmlformats.org/officeDocument/2006/relationships/hyperlink" Target="https://www.wi-fi.org/news-events/newsroom/wi-fi-alliance-and-wireless-gigabit-alliance-to-unify" TargetMode="External"/><Relationship Id="rId30" Type="http://schemas.openxmlformats.org/officeDocument/2006/relationships/hyperlink" Target="https://urldefense.proofpoint.com/v2/url?u=https-3A__mentor.ieee.org_802.11_dcn_18_11-2D18-2D2095-2D01-2D00ay-2Dwlan-2Dradar-2Dannex.docx&amp;amp;d=DwMFAg&amp;amp;c=y0h0omCe0jAUGr4gAQ02Fw&amp;amp;r=v4f4uELhwdkytzLDgEf35GYtXsOsC2ZdqMp_fRAxcPQ&amp;amp;m=zodPPswAk5YnlIAICz7AaYNzlqmdV4LSRodLw6aySec&amp;amp;s=tOndGwbQFnxhOz7HEkofq3VFt5fqJVL_rSdhfNXJDac&amp;amp;e" TargetMode="External"/><Relationship Id="rId35" Type="http://schemas.openxmlformats.org/officeDocument/2006/relationships/hyperlink" Target="https://www.fcc.gov/sites/default/files/tac-presentations-1-14-21.pdf" TargetMode="External"/><Relationship Id="rId43" Type="http://schemas.openxmlformats.org/officeDocument/2006/relationships/hyperlink" Target="http://www.faa.gov/news/fact_sheets/news_story.cfm?newsId=15255" TargetMode="External"/><Relationship Id="rId48" Type="http://schemas.openxmlformats.org/officeDocument/2006/relationships/hyperlink" Target="https://www.fcc.gov/document/fcc-closes-headquarters-open-window-and-changes-hand-delivery-policy" TargetMode="External"/><Relationship Id="rId56" Type="http://schemas.openxmlformats.org/officeDocument/2006/relationships/theme" Target="theme/theme1.xml"/><Relationship Id="rId8" Type="http://schemas.openxmlformats.org/officeDocument/2006/relationships/hyperlink" Target="http://www.fcc.gov/ecfs/)" TargetMode="External"/><Relationship Id="rId51" Type="http://schemas.openxmlformats.org/officeDocument/2006/relationships/hyperlink" Target="mailto:Thomas.Struble@fcc.go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18496</Words>
  <Characters>105430</Characters>
  <Application>Microsoft Office Word</Application>
  <DocSecurity>0</DocSecurity>
  <Lines>878</Lines>
  <Paragraphs>247</Paragraphs>
  <ScaleCrop>false</ScaleCrop>
  <Company/>
  <LinksUpToDate>false</LinksUpToDate>
  <CharactersWithSpaces>123679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Prime/OET</dc:creator>
  <cp:lastModifiedBy>Holcomb, Jay</cp:lastModifiedBy>
  <cp:revision>3</cp:revision>
  <dcterms:created xsi:type="dcterms:W3CDTF">2021-06-23T06:50:00Z</dcterms:created>
  <dcterms:modified xsi:type="dcterms:W3CDTF">2021-06-23T13:54:00Z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Acrobat PDFMaker 11 for Word</vt:lpwstr>
  </property>
  <property fmtid="{D5CDD505-2E9C-101B-9397-08002B2CF9AE}" pid="4" name="LastSaved">
    <vt:filetime>2021-06-23T00:00:00Z</vt:filetime>
  </property>
</Properties>
</file>