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5EABD2" w14:textId="47FBB8DD" w:rsidR="00E42DB1" w:rsidRDefault="00E42DB1" w:rsidP="00E42DB1">
      <w:pPr>
        <w:pStyle w:val="Reporttitle"/>
      </w:pPr>
      <w:r w:rsidRPr="00E42DB1">
        <w:t>Exploring RLAN use in the 5</w:t>
      </w:r>
      <w:r>
        <w:t xml:space="preserve"> </w:t>
      </w:r>
      <w:r w:rsidRPr="00E42DB1">
        <w:t>GHz and 6</w:t>
      </w:r>
      <w:r>
        <w:t> </w:t>
      </w:r>
      <w:r w:rsidRPr="00E42DB1">
        <w:t>GHz bands</w:t>
      </w:r>
    </w:p>
    <w:p w14:paraId="60FCA123" w14:textId="2B2F65BC" w:rsidR="00F06E14" w:rsidRDefault="00706EF7" w:rsidP="00D00879">
      <w:pPr>
        <w:pStyle w:val="Reporttitle"/>
        <w:spacing w:after="200"/>
      </w:pPr>
      <w:r w:rsidRPr="002D2EF3">
        <w:rPr>
          <w:b w:val="0"/>
          <w:bCs/>
        </w:rPr>
        <w:t xml:space="preserve">Discussion </w:t>
      </w:r>
      <w:r w:rsidR="00A21468">
        <w:rPr>
          <w:b w:val="0"/>
          <w:bCs/>
        </w:rPr>
        <w:t xml:space="preserve">and </w:t>
      </w:r>
      <w:r w:rsidR="00CF4B0A">
        <w:rPr>
          <w:b w:val="0"/>
          <w:bCs/>
        </w:rPr>
        <w:t>o</w:t>
      </w:r>
      <w:r w:rsidR="00A21468">
        <w:rPr>
          <w:b w:val="0"/>
          <w:bCs/>
        </w:rPr>
        <w:t xml:space="preserve">ptions </w:t>
      </w:r>
      <w:r w:rsidRPr="002D2EF3">
        <w:rPr>
          <w:b w:val="0"/>
          <w:bCs/>
        </w:rPr>
        <w:t>paper</w:t>
      </w:r>
    </w:p>
    <w:p w14:paraId="56BEA3B7" w14:textId="1A94AFB2" w:rsidR="00C97736" w:rsidRPr="000D76E0" w:rsidRDefault="00EA0D1B" w:rsidP="00EC2B68">
      <w:pPr>
        <w:pStyle w:val="Reportdate"/>
        <w:spacing w:after="720"/>
        <w:rPr>
          <w:rFonts w:cs="Arial"/>
        </w:rPr>
        <w:sectPr w:rsidR="00C97736" w:rsidRPr="000D76E0" w:rsidSect="0021426C">
          <w:headerReference w:type="default" r:id="rId8"/>
          <w:footerReference w:type="default" r:id="rId9"/>
          <w:headerReference w:type="first" r:id="rId10"/>
          <w:pgSz w:w="11906" w:h="16838" w:code="9"/>
          <w:pgMar w:top="3924" w:right="992" w:bottom="1440" w:left="1134" w:header="709" w:footer="454" w:gutter="0"/>
          <w:cols w:space="708"/>
          <w:docGrid w:linePitch="360"/>
        </w:sectPr>
      </w:pPr>
      <w:r w:rsidRPr="00402CA3">
        <w:t>APRIL</w:t>
      </w:r>
      <w:r w:rsidR="00BD4421" w:rsidRPr="00402CA3">
        <w:t xml:space="preserve"> 20</w:t>
      </w:r>
      <w:r w:rsidR="008E0428" w:rsidRPr="00402CA3">
        <w:t>2</w:t>
      </w:r>
      <w:r w:rsidR="007C3AE1" w:rsidRPr="00402CA3">
        <w:t>1</w:t>
      </w:r>
    </w:p>
    <w:p w14:paraId="6A9B81D0" w14:textId="77777777" w:rsidR="0005011A" w:rsidRPr="00F44F3A" w:rsidRDefault="0005011A" w:rsidP="00FC07B9">
      <w:pPr>
        <w:pStyle w:val="ACMACorporateAddressHeader"/>
      </w:pPr>
      <w:r w:rsidRPr="00F44F3A">
        <w:lastRenderedPageBreak/>
        <w:t>Canberra</w:t>
      </w:r>
    </w:p>
    <w:p w14:paraId="6ACFFCB3" w14:textId="77777777" w:rsidR="0005011A" w:rsidRPr="00FC07B9" w:rsidRDefault="0005011A" w:rsidP="00FC07B9">
      <w:pPr>
        <w:pStyle w:val="ACMACorporateAddresses"/>
      </w:pPr>
      <w:r w:rsidRPr="00FC07B9">
        <w:t xml:space="preserve">Red Building </w:t>
      </w:r>
      <w:r w:rsidRPr="00FC07B9">
        <w:br/>
        <w:t>Benjamin Offices</w:t>
      </w:r>
      <w:r w:rsidRPr="00FC07B9">
        <w:br/>
        <w:t xml:space="preserve">Chan Street </w:t>
      </w:r>
      <w:r w:rsidRPr="00FC07B9">
        <w:br/>
        <w:t>Belconnen ACT</w:t>
      </w:r>
    </w:p>
    <w:p w14:paraId="481E4DB2" w14:textId="77777777" w:rsidR="0005011A" w:rsidRPr="00FC07B9" w:rsidRDefault="0005011A" w:rsidP="00FC07B9">
      <w:pPr>
        <w:pStyle w:val="ACMACorporateAddresses"/>
      </w:pPr>
      <w:r w:rsidRPr="00FC07B9">
        <w:t>PO Box 78</w:t>
      </w:r>
      <w:r w:rsidRPr="00FC07B9">
        <w:br/>
        <w:t>Belconnen ACT 2616</w:t>
      </w:r>
    </w:p>
    <w:p w14:paraId="4D978A71" w14:textId="77777777" w:rsidR="00FE1823" w:rsidRPr="00FC07B9" w:rsidRDefault="0005011A" w:rsidP="00FC07B9">
      <w:pPr>
        <w:pStyle w:val="ACMACorporateAddresses"/>
      </w:pPr>
      <w:r w:rsidRPr="00FC07B9">
        <w:t>T</w:t>
      </w:r>
      <w:r w:rsidR="00537604" w:rsidRPr="00FC07B9">
        <w:tab/>
      </w:r>
      <w:r w:rsidRPr="00FC07B9">
        <w:t>+61 2 6219 5555</w:t>
      </w:r>
      <w:r w:rsidRPr="00FC07B9">
        <w:br/>
        <w:t>F</w:t>
      </w:r>
      <w:r w:rsidR="00537604" w:rsidRPr="00FC07B9">
        <w:tab/>
      </w:r>
      <w:r w:rsidRPr="00FC07B9">
        <w:t>+61 2 6219 5353</w:t>
      </w:r>
    </w:p>
    <w:p w14:paraId="49A6F6A7" w14:textId="77777777" w:rsidR="0005011A" w:rsidRPr="00F44F3A" w:rsidRDefault="0005011A" w:rsidP="00FC07B9">
      <w:pPr>
        <w:pStyle w:val="ACMACorporateAddressHeader"/>
      </w:pPr>
      <w:r w:rsidRPr="00F44F3A">
        <w:t>Melbourne</w:t>
      </w:r>
    </w:p>
    <w:p w14:paraId="25514A33" w14:textId="77777777" w:rsidR="0005011A" w:rsidRPr="00F44F3A" w:rsidRDefault="0005011A" w:rsidP="00FC07B9">
      <w:pPr>
        <w:pStyle w:val="ACMACorporateAddresses"/>
      </w:pPr>
      <w:r w:rsidRPr="00F44F3A">
        <w:t xml:space="preserve">Level 32 </w:t>
      </w:r>
      <w:r w:rsidRPr="00F44F3A">
        <w:br/>
        <w:t>Melbourne Central Tower</w:t>
      </w:r>
      <w:r w:rsidRPr="00F44F3A">
        <w:br/>
        <w:t xml:space="preserve">360 Elizabeth Street </w:t>
      </w:r>
      <w:r w:rsidR="008C10F4" w:rsidRPr="00F44F3A">
        <w:br/>
      </w:r>
      <w:r w:rsidRPr="00F44F3A">
        <w:t>Melbourne VIC</w:t>
      </w:r>
    </w:p>
    <w:p w14:paraId="3A983EB9" w14:textId="77777777" w:rsidR="0005011A" w:rsidRPr="00F44F3A" w:rsidRDefault="0005011A" w:rsidP="00FC07B9">
      <w:pPr>
        <w:pStyle w:val="ACMACorporateAddresses"/>
      </w:pPr>
      <w:r w:rsidRPr="00F44F3A">
        <w:t>PO Box 13112</w:t>
      </w:r>
      <w:r w:rsidRPr="00F44F3A">
        <w:br/>
        <w:t xml:space="preserve">Law Courts </w:t>
      </w:r>
      <w:r w:rsidRPr="00F44F3A">
        <w:br/>
        <w:t>Melbourne VIC 8010</w:t>
      </w:r>
    </w:p>
    <w:p w14:paraId="7DAB21E2" w14:textId="77777777" w:rsidR="0005011A" w:rsidRPr="00F44F3A" w:rsidRDefault="0005011A" w:rsidP="00FC07B9">
      <w:pPr>
        <w:pStyle w:val="ACMACorporateAddresses"/>
      </w:pPr>
      <w:r w:rsidRPr="00F44F3A">
        <w:t>T</w:t>
      </w:r>
      <w:r w:rsidR="00140318" w:rsidRPr="00F44F3A">
        <w:tab/>
      </w:r>
      <w:r w:rsidRPr="00F44F3A">
        <w:t>+61 3 9963 6800</w:t>
      </w:r>
      <w:r w:rsidRPr="00F44F3A">
        <w:br/>
        <w:t>F</w:t>
      </w:r>
      <w:r w:rsidR="00140318" w:rsidRPr="00F44F3A">
        <w:tab/>
      </w:r>
      <w:r w:rsidRPr="00F44F3A">
        <w:t>+61 3 9963 6899</w:t>
      </w:r>
    </w:p>
    <w:p w14:paraId="293FE3C6" w14:textId="77777777" w:rsidR="0005011A" w:rsidRPr="00F44F3A" w:rsidRDefault="0005011A" w:rsidP="00FC07B9">
      <w:pPr>
        <w:pStyle w:val="ACMACorporateAddressHeader"/>
      </w:pPr>
      <w:r w:rsidRPr="00F44F3A">
        <w:t>Sydney</w:t>
      </w:r>
    </w:p>
    <w:p w14:paraId="1311E266" w14:textId="77777777" w:rsidR="0005011A" w:rsidRPr="00F44F3A" w:rsidRDefault="0005011A" w:rsidP="00FC07B9">
      <w:pPr>
        <w:pStyle w:val="ACMACorporateAddresses"/>
      </w:pPr>
      <w:r w:rsidRPr="00F44F3A">
        <w:t xml:space="preserve">Level 5 </w:t>
      </w:r>
      <w:r w:rsidRPr="00F44F3A">
        <w:br/>
        <w:t>The Bay Centre</w:t>
      </w:r>
      <w:r w:rsidRPr="00F44F3A">
        <w:br/>
        <w:t xml:space="preserve">65 Pirrama Road </w:t>
      </w:r>
      <w:r w:rsidRPr="00F44F3A">
        <w:br/>
        <w:t>Pyrmont NSW</w:t>
      </w:r>
    </w:p>
    <w:p w14:paraId="302710C3" w14:textId="77777777" w:rsidR="0005011A" w:rsidRPr="00F44F3A" w:rsidRDefault="0005011A" w:rsidP="00FC07B9">
      <w:pPr>
        <w:pStyle w:val="ACMACorporateAddresses"/>
      </w:pPr>
      <w:r w:rsidRPr="00F44F3A">
        <w:t>PO Box Q500</w:t>
      </w:r>
      <w:r w:rsidRPr="00F44F3A">
        <w:br/>
        <w:t xml:space="preserve">Queen Victoria Building </w:t>
      </w:r>
      <w:r w:rsidRPr="00F44F3A">
        <w:br/>
        <w:t>NSW 1230</w:t>
      </w:r>
    </w:p>
    <w:p w14:paraId="65BADB09" w14:textId="77777777" w:rsidR="0005011A" w:rsidRPr="00F44F3A" w:rsidRDefault="0005011A" w:rsidP="00FC07B9">
      <w:pPr>
        <w:pStyle w:val="ACMACorporateAddresses"/>
      </w:pPr>
      <w:r w:rsidRPr="00F44F3A">
        <w:t>T</w:t>
      </w:r>
      <w:r w:rsidR="00140318" w:rsidRPr="00F44F3A">
        <w:tab/>
      </w:r>
      <w:r w:rsidRPr="00F44F3A">
        <w:t>+61 2 9334 7700</w:t>
      </w:r>
      <w:r w:rsidR="00140318" w:rsidRPr="00F44F3A">
        <w:t xml:space="preserve"> or</w:t>
      </w:r>
      <w:r w:rsidRPr="00F44F3A">
        <w:t xml:space="preserve"> 1800 226 667</w:t>
      </w:r>
      <w:r w:rsidRPr="00F44F3A">
        <w:br/>
        <w:t>F</w:t>
      </w:r>
      <w:r w:rsidR="00140318" w:rsidRPr="00F44F3A">
        <w:tab/>
      </w:r>
      <w:r w:rsidRPr="00F44F3A">
        <w:t>+61 2 9334 7799</w:t>
      </w:r>
    </w:p>
    <w:p w14:paraId="4C71CC13" w14:textId="77777777" w:rsidR="00140318" w:rsidRPr="006D46E5" w:rsidRDefault="00140318" w:rsidP="00FC07B9">
      <w:pPr>
        <w:pStyle w:val="ACMACopyrightHeader"/>
      </w:pPr>
      <w:r w:rsidRPr="00140318">
        <w:t>Copyright notice</w:t>
      </w:r>
    </w:p>
    <w:p w14:paraId="44AECCA5" w14:textId="77777777" w:rsidR="00140318" w:rsidRPr="006D46E5" w:rsidRDefault="00623FF9" w:rsidP="00623FF9">
      <w:pPr>
        <w:pStyle w:val="ACMACClogo"/>
      </w:pPr>
      <w:r w:rsidRPr="00623FF9">
        <w:rPr>
          <w:noProof/>
        </w:rPr>
        <w:drawing>
          <wp:inline distT="0" distB="0" distL="0" distR="0" wp14:anchorId="267B5659" wp14:editId="64AC6AA6">
            <wp:extent cx="838200" cy="295275"/>
            <wp:effectExtent l="0" t="0" r="0" b="0"/>
            <wp:docPr id="1" name="Picture 1" title="Creative Commons logo">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y">
                      <a:hlinkClick r:id="rId11"/>
                    </pic:cNvPr>
                    <pic:cNvPicPr>
                      <a:picLocks noChangeAspect="1" noChangeArrowheads="1"/>
                    </pic:cNvPicPr>
                  </pic:nvPicPr>
                  <pic:blipFill>
                    <a:blip r:embed="rId12" cstate="print"/>
                    <a:srcRect/>
                    <a:stretch>
                      <a:fillRect/>
                    </a:stretch>
                  </pic:blipFill>
                  <pic:spPr bwMode="auto">
                    <a:xfrm>
                      <a:off x="0" y="0"/>
                      <a:ext cx="838200" cy="295275"/>
                    </a:xfrm>
                    <a:prstGeom prst="rect">
                      <a:avLst/>
                    </a:prstGeom>
                    <a:noFill/>
                  </pic:spPr>
                </pic:pic>
              </a:graphicData>
            </a:graphic>
          </wp:inline>
        </w:drawing>
      </w:r>
    </w:p>
    <w:p w14:paraId="00EDA452" w14:textId="77777777" w:rsidR="00AA2DE5" w:rsidRDefault="00EF1348" w:rsidP="00AA2DE5">
      <w:pPr>
        <w:pStyle w:val="ACMACorporateAddresses"/>
        <w:rPr>
          <w:rStyle w:val="Hyperlink"/>
        </w:rPr>
      </w:pPr>
      <w:hyperlink r:id="rId13" w:history="1">
        <w:r w:rsidR="00AA2DE5">
          <w:rPr>
            <w:rStyle w:val="Hyperlink"/>
          </w:rPr>
          <w:t>https://creativecommons.org/licenses/by/4.0/</w:t>
        </w:r>
      </w:hyperlink>
    </w:p>
    <w:p w14:paraId="37C5911E" w14:textId="77777777" w:rsidR="00AA2DE5" w:rsidRDefault="00AA2DE5" w:rsidP="00AA2DE5">
      <w:pPr>
        <w:pStyle w:val="ACMACorporateAddresses"/>
      </w:pPr>
      <w:r>
        <w:t xml:space="preserve">With the exception of coats of arms, logos, emblems, images, other third-party material or devices protected by a trademark, this content is made available under the terms of the Creative Commons Attribution 4.0 International (CC BY 4.0) licence. </w:t>
      </w:r>
    </w:p>
    <w:p w14:paraId="315CEFA3" w14:textId="504D8DAF" w:rsidR="00AA2DE5" w:rsidRDefault="00AA2DE5" w:rsidP="00AA2DE5">
      <w:pPr>
        <w:pStyle w:val="ACMACorporateAddresses"/>
      </w:pPr>
      <w:r>
        <w:t>We request attribution as © Commonwealth of Australia (Australian Communications and Media Authority) 20</w:t>
      </w:r>
      <w:r w:rsidR="00C41F21">
        <w:t>2</w:t>
      </w:r>
      <w:r w:rsidR="00CD084F">
        <w:t>1</w:t>
      </w:r>
      <w:r>
        <w:t>.</w:t>
      </w:r>
    </w:p>
    <w:p w14:paraId="556206F2" w14:textId="77777777" w:rsidR="00AA2DE5" w:rsidRDefault="00AA2DE5" w:rsidP="00AA2DE5">
      <w:pPr>
        <w:pStyle w:val="ACMACorporateAddresses"/>
      </w:pPr>
      <w:r>
        <w:t>All other rights are reserved.</w:t>
      </w:r>
    </w:p>
    <w:p w14:paraId="2CB15DBD" w14:textId="77777777" w:rsidR="00AA2DE5" w:rsidRDefault="00AA2DE5" w:rsidP="00AA2DE5">
      <w:pPr>
        <w:pStyle w:val="ACMACorporateAddresses"/>
      </w:pPr>
      <w:r>
        <w:t xml:space="preserve">The Australian Communications and Media Authority has undertaken reasonable enquiries to identify material owned by third parties and secure permission for its reproduction. Permission may need to be obtained from third parties to re-use their material. </w:t>
      </w:r>
    </w:p>
    <w:p w14:paraId="2B65DDC0" w14:textId="77777777" w:rsidR="00AA2DE5" w:rsidRDefault="00AA2DE5" w:rsidP="00AA2DE5">
      <w:pPr>
        <w:pStyle w:val="ACMACorporateAddresses"/>
      </w:pPr>
      <w:r>
        <w:t>Written enquiries may be sent to:</w:t>
      </w:r>
    </w:p>
    <w:p w14:paraId="7DF8CA2A" w14:textId="77777777" w:rsidR="00AA2DE5" w:rsidRDefault="00AA2DE5" w:rsidP="00AA2DE5">
      <w:pPr>
        <w:pStyle w:val="ACMACorporateAddresses"/>
        <w:rPr>
          <w:rStyle w:val="Hyperlink"/>
        </w:rPr>
      </w:pPr>
      <w:r>
        <w:t xml:space="preserve">Manager, Editorial </w:t>
      </w:r>
      <w:r w:rsidR="000245E5">
        <w:t>Services</w:t>
      </w:r>
      <w:r>
        <w:br/>
        <w:t>PO Box 13112</w:t>
      </w:r>
      <w:r>
        <w:br/>
        <w:t>Law Courts</w:t>
      </w:r>
      <w:r>
        <w:br/>
        <w:t>Melbourne VIC 8010</w:t>
      </w:r>
      <w:r>
        <w:br/>
        <w:t xml:space="preserve">Email: </w:t>
      </w:r>
      <w:hyperlink r:id="rId14" w:history="1">
        <w:r>
          <w:rPr>
            <w:rStyle w:val="Hyperlink"/>
          </w:rPr>
          <w:t>info@acma.gov.au</w:t>
        </w:r>
      </w:hyperlink>
    </w:p>
    <w:p w14:paraId="4C70AF08" w14:textId="77777777" w:rsidR="00D16FE3" w:rsidRDefault="00D16FE3" w:rsidP="00D16FE3">
      <w:pPr>
        <w:pStyle w:val="ACMACorporateAddresses"/>
        <w:rPr>
          <w:rStyle w:val="Hyperlink"/>
        </w:rPr>
      </w:pPr>
    </w:p>
    <w:p w14:paraId="19F7B6D3" w14:textId="77777777" w:rsidR="00D16FE3" w:rsidRPr="00D16FE3" w:rsidRDefault="00D16FE3" w:rsidP="00D16FE3">
      <w:pPr>
        <w:pStyle w:val="ACMACorporateAddresses"/>
        <w:sectPr w:rsidR="00D16FE3" w:rsidRPr="00D16FE3">
          <w:headerReference w:type="even" r:id="rId15"/>
          <w:headerReference w:type="default" r:id="rId16"/>
          <w:footerReference w:type="even" r:id="rId17"/>
          <w:footerReference w:type="default" r:id="rId18"/>
          <w:pgSz w:w="11906" w:h="16838" w:code="9"/>
          <w:pgMar w:top="3924" w:right="1797" w:bottom="697" w:left="1134" w:header="709" w:footer="119" w:gutter="0"/>
          <w:cols w:space="708"/>
          <w:docGrid w:linePitch="360"/>
        </w:sectPr>
      </w:pPr>
    </w:p>
    <w:p w14:paraId="0EE5EA61" w14:textId="0DD64E9E" w:rsidR="00D8039D" w:rsidRDefault="00D86F93">
      <w:pPr>
        <w:pStyle w:val="TOC1"/>
        <w:rPr>
          <w:rFonts w:asciiTheme="minorHAnsi" w:eastAsiaTheme="minorEastAsia" w:hAnsiTheme="minorHAnsi" w:cstheme="minorBidi"/>
          <w:b w:val="0"/>
          <w:spacing w:val="0"/>
          <w:sz w:val="22"/>
          <w:szCs w:val="22"/>
        </w:rPr>
      </w:pPr>
      <w:r>
        <w:rPr>
          <w:rFonts w:cs="Arial"/>
          <w:b w:val="0"/>
        </w:rPr>
        <w:lastRenderedPageBreak/>
        <w:fldChar w:fldCharType="begin"/>
      </w:r>
      <w:r>
        <w:rPr>
          <w:rFonts w:cs="Arial"/>
          <w:b w:val="0"/>
        </w:rPr>
        <w:instrText xml:space="preserve"> TOC \o "1-3" \h \z \u </w:instrText>
      </w:r>
      <w:r>
        <w:rPr>
          <w:rFonts w:cs="Arial"/>
          <w:b w:val="0"/>
        </w:rPr>
        <w:fldChar w:fldCharType="separate"/>
      </w:r>
      <w:hyperlink w:anchor="_Toc68612220" w:history="1">
        <w:r w:rsidR="00D8039D" w:rsidRPr="005C5DEE">
          <w:rPr>
            <w:rStyle w:val="Hyperlink"/>
          </w:rPr>
          <w:t>Issues for comment</w:t>
        </w:r>
        <w:r w:rsidR="00D8039D">
          <w:rPr>
            <w:webHidden/>
          </w:rPr>
          <w:tab/>
        </w:r>
        <w:r w:rsidR="00D8039D">
          <w:rPr>
            <w:webHidden/>
          </w:rPr>
          <w:fldChar w:fldCharType="begin"/>
        </w:r>
        <w:r w:rsidR="00D8039D">
          <w:rPr>
            <w:webHidden/>
          </w:rPr>
          <w:instrText xml:space="preserve"> PAGEREF _Toc68612220 \h </w:instrText>
        </w:r>
        <w:r w:rsidR="00D8039D">
          <w:rPr>
            <w:webHidden/>
          </w:rPr>
        </w:r>
        <w:r w:rsidR="00D8039D">
          <w:rPr>
            <w:webHidden/>
          </w:rPr>
          <w:fldChar w:fldCharType="separate"/>
        </w:r>
        <w:r w:rsidR="007B622C">
          <w:rPr>
            <w:webHidden/>
          </w:rPr>
          <w:t>3</w:t>
        </w:r>
        <w:r w:rsidR="00D8039D">
          <w:rPr>
            <w:webHidden/>
          </w:rPr>
          <w:fldChar w:fldCharType="end"/>
        </w:r>
      </w:hyperlink>
    </w:p>
    <w:p w14:paraId="255D5532" w14:textId="00781C78" w:rsidR="00D8039D" w:rsidRDefault="00EF1348">
      <w:pPr>
        <w:pStyle w:val="TOC1"/>
        <w:rPr>
          <w:rFonts w:asciiTheme="minorHAnsi" w:eastAsiaTheme="minorEastAsia" w:hAnsiTheme="minorHAnsi" w:cstheme="minorBidi"/>
          <w:b w:val="0"/>
          <w:spacing w:val="0"/>
          <w:sz w:val="22"/>
          <w:szCs w:val="22"/>
        </w:rPr>
      </w:pPr>
      <w:hyperlink w:anchor="_Toc68612221" w:history="1">
        <w:r w:rsidR="00D8039D" w:rsidRPr="005C5DEE">
          <w:rPr>
            <w:rStyle w:val="Hyperlink"/>
          </w:rPr>
          <w:t>Introduction</w:t>
        </w:r>
        <w:r w:rsidR="00D8039D">
          <w:rPr>
            <w:webHidden/>
          </w:rPr>
          <w:tab/>
        </w:r>
        <w:r w:rsidR="00D8039D">
          <w:rPr>
            <w:webHidden/>
          </w:rPr>
          <w:fldChar w:fldCharType="begin"/>
        </w:r>
        <w:r w:rsidR="00D8039D">
          <w:rPr>
            <w:webHidden/>
          </w:rPr>
          <w:instrText xml:space="preserve"> PAGEREF _Toc68612221 \h </w:instrText>
        </w:r>
        <w:r w:rsidR="00D8039D">
          <w:rPr>
            <w:webHidden/>
          </w:rPr>
        </w:r>
        <w:r w:rsidR="00D8039D">
          <w:rPr>
            <w:webHidden/>
          </w:rPr>
          <w:fldChar w:fldCharType="separate"/>
        </w:r>
        <w:r w:rsidR="007B622C">
          <w:rPr>
            <w:webHidden/>
          </w:rPr>
          <w:t>4</w:t>
        </w:r>
        <w:r w:rsidR="00D8039D">
          <w:rPr>
            <w:webHidden/>
          </w:rPr>
          <w:fldChar w:fldCharType="end"/>
        </w:r>
      </w:hyperlink>
    </w:p>
    <w:p w14:paraId="089A1D5C" w14:textId="480EEDF0" w:rsidR="00D8039D" w:rsidRDefault="00EF1348">
      <w:pPr>
        <w:pStyle w:val="TOC2"/>
        <w:rPr>
          <w:rFonts w:asciiTheme="minorHAnsi" w:eastAsiaTheme="minorEastAsia" w:hAnsiTheme="minorHAnsi" w:cstheme="minorBidi"/>
          <w:spacing w:val="0"/>
          <w:sz w:val="22"/>
          <w:szCs w:val="22"/>
        </w:rPr>
      </w:pPr>
      <w:hyperlink w:anchor="_Toc68612222" w:history="1">
        <w:r w:rsidR="00D8039D" w:rsidRPr="005C5DEE">
          <w:rPr>
            <w:rStyle w:val="Hyperlink"/>
          </w:rPr>
          <w:t>Scope</w:t>
        </w:r>
        <w:r w:rsidR="00D8039D">
          <w:rPr>
            <w:webHidden/>
          </w:rPr>
          <w:tab/>
        </w:r>
        <w:r w:rsidR="00D8039D">
          <w:rPr>
            <w:webHidden/>
          </w:rPr>
          <w:tab/>
        </w:r>
        <w:r w:rsidR="00D8039D">
          <w:rPr>
            <w:webHidden/>
          </w:rPr>
          <w:fldChar w:fldCharType="begin"/>
        </w:r>
        <w:r w:rsidR="00D8039D">
          <w:rPr>
            <w:webHidden/>
          </w:rPr>
          <w:instrText xml:space="preserve"> PAGEREF _Toc68612222 \h </w:instrText>
        </w:r>
        <w:r w:rsidR="00D8039D">
          <w:rPr>
            <w:webHidden/>
          </w:rPr>
        </w:r>
        <w:r w:rsidR="00D8039D">
          <w:rPr>
            <w:webHidden/>
          </w:rPr>
          <w:fldChar w:fldCharType="separate"/>
        </w:r>
        <w:r w:rsidR="007B622C">
          <w:rPr>
            <w:webHidden/>
          </w:rPr>
          <w:t>4</w:t>
        </w:r>
        <w:r w:rsidR="00D8039D">
          <w:rPr>
            <w:webHidden/>
          </w:rPr>
          <w:fldChar w:fldCharType="end"/>
        </w:r>
      </w:hyperlink>
    </w:p>
    <w:p w14:paraId="1B64FCC2" w14:textId="50F21124" w:rsidR="00D8039D" w:rsidRDefault="00EF1348">
      <w:pPr>
        <w:pStyle w:val="TOC2"/>
        <w:rPr>
          <w:rFonts w:asciiTheme="minorHAnsi" w:eastAsiaTheme="minorEastAsia" w:hAnsiTheme="minorHAnsi" w:cstheme="minorBidi"/>
          <w:spacing w:val="0"/>
          <w:sz w:val="22"/>
          <w:szCs w:val="22"/>
        </w:rPr>
      </w:pPr>
      <w:hyperlink w:anchor="_Toc68612223" w:history="1">
        <w:r w:rsidR="00D8039D" w:rsidRPr="005C5DEE">
          <w:rPr>
            <w:rStyle w:val="Hyperlink"/>
          </w:rPr>
          <w:t>Case for action</w:t>
        </w:r>
        <w:r w:rsidR="00D8039D">
          <w:rPr>
            <w:webHidden/>
          </w:rPr>
          <w:tab/>
        </w:r>
        <w:r w:rsidR="00D8039D">
          <w:rPr>
            <w:webHidden/>
          </w:rPr>
          <w:fldChar w:fldCharType="begin"/>
        </w:r>
        <w:r w:rsidR="00D8039D">
          <w:rPr>
            <w:webHidden/>
          </w:rPr>
          <w:instrText xml:space="preserve"> PAGEREF _Toc68612223 \h </w:instrText>
        </w:r>
        <w:r w:rsidR="00D8039D">
          <w:rPr>
            <w:webHidden/>
          </w:rPr>
        </w:r>
        <w:r w:rsidR="00D8039D">
          <w:rPr>
            <w:webHidden/>
          </w:rPr>
          <w:fldChar w:fldCharType="separate"/>
        </w:r>
        <w:r w:rsidR="007B622C">
          <w:rPr>
            <w:webHidden/>
          </w:rPr>
          <w:t>4</w:t>
        </w:r>
        <w:r w:rsidR="00D8039D">
          <w:rPr>
            <w:webHidden/>
          </w:rPr>
          <w:fldChar w:fldCharType="end"/>
        </w:r>
      </w:hyperlink>
    </w:p>
    <w:p w14:paraId="0C416A02" w14:textId="2B476233" w:rsidR="00D8039D" w:rsidRDefault="00EF1348">
      <w:pPr>
        <w:pStyle w:val="TOC1"/>
        <w:rPr>
          <w:rFonts w:asciiTheme="minorHAnsi" w:eastAsiaTheme="minorEastAsia" w:hAnsiTheme="minorHAnsi" w:cstheme="minorBidi"/>
          <w:b w:val="0"/>
          <w:spacing w:val="0"/>
          <w:sz w:val="22"/>
          <w:szCs w:val="22"/>
        </w:rPr>
      </w:pPr>
      <w:hyperlink w:anchor="_Toc68612224" w:history="1">
        <w:r w:rsidR="00D8039D" w:rsidRPr="005C5DEE">
          <w:rPr>
            <w:rStyle w:val="Hyperlink"/>
          </w:rPr>
          <w:t>Current Australian arrangements</w:t>
        </w:r>
        <w:r w:rsidR="00D8039D">
          <w:rPr>
            <w:webHidden/>
          </w:rPr>
          <w:tab/>
        </w:r>
        <w:r w:rsidR="00D8039D">
          <w:rPr>
            <w:webHidden/>
          </w:rPr>
          <w:fldChar w:fldCharType="begin"/>
        </w:r>
        <w:r w:rsidR="00D8039D">
          <w:rPr>
            <w:webHidden/>
          </w:rPr>
          <w:instrText xml:space="preserve"> PAGEREF _Toc68612224 \h </w:instrText>
        </w:r>
        <w:r w:rsidR="00D8039D">
          <w:rPr>
            <w:webHidden/>
          </w:rPr>
        </w:r>
        <w:r w:rsidR="00D8039D">
          <w:rPr>
            <w:webHidden/>
          </w:rPr>
          <w:fldChar w:fldCharType="separate"/>
        </w:r>
        <w:r w:rsidR="007B622C">
          <w:rPr>
            <w:webHidden/>
          </w:rPr>
          <w:t>6</w:t>
        </w:r>
        <w:r w:rsidR="00D8039D">
          <w:rPr>
            <w:webHidden/>
          </w:rPr>
          <w:fldChar w:fldCharType="end"/>
        </w:r>
      </w:hyperlink>
    </w:p>
    <w:p w14:paraId="448C85CD" w14:textId="5113AD34" w:rsidR="00D8039D" w:rsidRDefault="00EF1348">
      <w:pPr>
        <w:pStyle w:val="TOC1"/>
        <w:rPr>
          <w:rFonts w:asciiTheme="minorHAnsi" w:eastAsiaTheme="minorEastAsia" w:hAnsiTheme="minorHAnsi" w:cstheme="minorBidi"/>
          <w:b w:val="0"/>
          <w:spacing w:val="0"/>
          <w:sz w:val="22"/>
          <w:szCs w:val="22"/>
        </w:rPr>
      </w:pPr>
      <w:hyperlink w:anchor="_Toc68612225" w:history="1">
        <w:r w:rsidR="00D8039D" w:rsidRPr="005C5DEE">
          <w:rPr>
            <w:rStyle w:val="Hyperlink"/>
          </w:rPr>
          <w:t>Discussion, preliminary views and options</w:t>
        </w:r>
        <w:r w:rsidR="00D8039D">
          <w:rPr>
            <w:webHidden/>
          </w:rPr>
          <w:tab/>
        </w:r>
        <w:r w:rsidR="00D8039D">
          <w:rPr>
            <w:webHidden/>
          </w:rPr>
          <w:fldChar w:fldCharType="begin"/>
        </w:r>
        <w:r w:rsidR="00D8039D">
          <w:rPr>
            <w:webHidden/>
          </w:rPr>
          <w:instrText xml:space="preserve"> PAGEREF _Toc68612225 \h </w:instrText>
        </w:r>
        <w:r w:rsidR="00D8039D">
          <w:rPr>
            <w:webHidden/>
          </w:rPr>
        </w:r>
        <w:r w:rsidR="00D8039D">
          <w:rPr>
            <w:webHidden/>
          </w:rPr>
          <w:fldChar w:fldCharType="separate"/>
        </w:r>
        <w:r w:rsidR="007B622C">
          <w:rPr>
            <w:webHidden/>
          </w:rPr>
          <w:t>10</w:t>
        </w:r>
        <w:r w:rsidR="00D8039D">
          <w:rPr>
            <w:webHidden/>
          </w:rPr>
          <w:fldChar w:fldCharType="end"/>
        </w:r>
      </w:hyperlink>
    </w:p>
    <w:p w14:paraId="5DF5D05A" w14:textId="355970D4" w:rsidR="00D8039D" w:rsidRDefault="00EF1348">
      <w:pPr>
        <w:pStyle w:val="TOC2"/>
        <w:rPr>
          <w:rFonts w:asciiTheme="minorHAnsi" w:eastAsiaTheme="minorEastAsia" w:hAnsiTheme="minorHAnsi" w:cstheme="minorBidi"/>
          <w:spacing w:val="0"/>
          <w:sz w:val="22"/>
          <w:szCs w:val="22"/>
        </w:rPr>
      </w:pPr>
      <w:hyperlink w:anchor="_Toc68612226" w:history="1">
        <w:r w:rsidR="00D8039D" w:rsidRPr="005C5DEE">
          <w:rPr>
            <w:rStyle w:val="Hyperlink"/>
          </w:rPr>
          <w:t>6 GHz band</w:t>
        </w:r>
        <w:r w:rsidR="00D8039D">
          <w:rPr>
            <w:webHidden/>
          </w:rPr>
          <w:tab/>
        </w:r>
        <w:r w:rsidR="00D8039D">
          <w:rPr>
            <w:webHidden/>
          </w:rPr>
          <w:fldChar w:fldCharType="begin"/>
        </w:r>
        <w:r w:rsidR="00D8039D">
          <w:rPr>
            <w:webHidden/>
          </w:rPr>
          <w:instrText xml:space="preserve"> PAGEREF _Toc68612226 \h </w:instrText>
        </w:r>
        <w:r w:rsidR="00D8039D">
          <w:rPr>
            <w:webHidden/>
          </w:rPr>
        </w:r>
        <w:r w:rsidR="00D8039D">
          <w:rPr>
            <w:webHidden/>
          </w:rPr>
          <w:fldChar w:fldCharType="separate"/>
        </w:r>
        <w:r w:rsidR="007B622C">
          <w:rPr>
            <w:webHidden/>
          </w:rPr>
          <w:t>10</w:t>
        </w:r>
        <w:r w:rsidR="00D8039D">
          <w:rPr>
            <w:webHidden/>
          </w:rPr>
          <w:fldChar w:fldCharType="end"/>
        </w:r>
      </w:hyperlink>
    </w:p>
    <w:p w14:paraId="3A470674" w14:textId="2C3E81D4" w:rsidR="00D8039D" w:rsidRDefault="00EF1348">
      <w:pPr>
        <w:pStyle w:val="TOC3"/>
        <w:rPr>
          <w:rFonts w:asciiTheme="minorHAnsi" w:eastAsiaTheme="minorEastAsia" w:hAnsiTheme="minorHAnsi" w:cstheme="minorBidi"/>
        </w:rPr>
      </w:pPr>
      <w:hyperlink w:anchor="_Toc68612227" w:history="1">
        <w:r w:rsidR="00D8039D" w:rsidRPr="005C5DEE">
          <w:rPr>
            <w:rStyle w:val="Hyperlink"/>
          </w:rPr>
          <w:t>Preliminary view</w:t>
        </w:r>
        <w:r w:rsidR="00D8039D">
          <w:rPr>
            <w:webHidden/>
          </w:rPr>
          <w:tab/>
        </w:r>
        <w:r w:rsidR="00D8039D">
          <w:rPr>
            <w:webHidden/>
          </w:rPr>
          <w:fldChar w:fldCharType="begin"/>
        </w:r>
        <w:r w:rsidR="00D8039D">
          <w:rPr>
            <w:webHidden/>
          </w:rPr>
          <w:instrText xml:space="preserve"> PAGEREF _Toc68612227 \h </w:instrText>
        </w:r>
        <w:r w:rsidR="00D8039D">
          <w:rPr>
            <w:webHidden/>
          </w:rPr>
        </w:r>
        <w:r w:rsidR="00D8039D">
          <w:rPr>
            <w:webHidden/>
          </w:rPr>
          <w:fldChar w:fldCharType="separate"/>
        </w:r>
        <w:r w:rsidR="007B622C">
          <w:rPr>
            <w:webHidden/>
          </w:rPr>
          <w:t>11</w:t>
        </w:r>
        <w:r w:rsidR="00D8039D">
          <w:rPr>
            <w:webHidden/>
          </w:rPr>
          <w:fldChar w:fldCharType="end"/>
        </w:r>
      </w:hyperlink>
    </w:p>
    <w:p w14:paraId="51CF7059" w14:textId="7AAE81D8" w:rsidR="00D8039D" w:rsidRDefault="00EF1348">
      <w:pPr>
        <w:pStyle w:val="TOC3"/>
        <w:rPr>
          <w:rFonts w:asciiTheme="minorHAnsi" w:eastAsiaTheme="minorEastAsia" w:hAnsiTheme="minorHAnsi" w:cstheme="minorBidi"/>
        </w:rPr>
      </w:pPr>
      <w:hyperlink w:anchor="_Toc68612228" w:history="1">
        <w:r w:rsidR="00D8039D" w:rsidRPr="005C5DEE">
          <w:rPr>
            <w:rStyle w:val="Hyperlink"/>
          </w:rPr>
          <w:t>Options</w:t>
        </w:r>
        <w:r w:rsidR="00D8039D">
          <w:rPr>
            <w:webHidden/>
          </w:rPr>
          <w:tab/>
        </w:r>
        <w:r w:rsidR="00D8039D">
          <w:rPr>
            <w:webHidden/>
          </w:rPr>
          <w:fldChar w:fldCharType="begin"/>
        </w:r>
        <w:r w:rsidR="00D8039D">
          <w:rPr>
            <w:webHidden/>
          </w:rPr>
          <w:instrText xml:space="preserve"> PAGEREF _Toc68612228 \h </w:instrText>
        </w:r>
        <w:r w:rsidR="00D8039D">
          <w:rPr>
            <w:webHidden/>
          </w:rPr>
        </w:r>
        <w:r w:rsidR="00D8039D">
          <w:rPr>
            <w:webHidden/>
          </w:rPr>
          <w:fldChar w:fldCharType="separate"/>
        </w:r>
        <w:r w:rsidR="007B622C">
          <w:rPr>
            <w:webHidden/>
          </w:rPr>
          <w:t>11</w:t>
        </w:r>
        <w:r w:rsidR="00D8039D">
          <w:rPr>
            <w:webHidden/>
          </w:rPr>
          <w:fldChar w:fldCharType="end"/>
        </w:r>
      </w:hyperlink>
    </w:p>
    <w:p w14:paraId="1E15E8DD" w14:textId="489CB8C5" w:rsidR="00D8039D" w:rsidRDefault="00EF1348">
      <w:pPr>
        <w:pStyle w:val="TOC2"/>
        <w:rPr>
          <w:rFonts w:asciiTheme="minorHAnsi" w:eastAsiaTheme="minorEastAsia" w:hAnsiTheme="minorHAnsi" w:cstheme="minorBidi"/>
          <w:spacing w:val="0"/>
          <w:sz w:val="22"/>
          <w:szCs w:val="22"/>
        </w:rPr>
      </w:pPr>
      <w:hyperlink w:anchor="_Toc68612229" w:history="1">
        <w:r w:rsidR="00D8039D" w:rsidRPr="005C5DEE">
          <w:rPr>
            <w:rStyle w:val="Hyperlink"/>
          </w:rPr>
          <w:t>5 GHz band</w:t>
        </w:r>
        <w:r w:rsidR="00D8039D">
          <w:rPr>
            <w:webHidden/>
          </w:rPr>
          <w:tab/>
        </w:r>
        <w:r w:rsidR="00D8039D">
          <w:rPr>
            <w:webHidden/>
          </w:rPr>
          <w:fldChar w:fldCharType="begin"/>
        </w:r>
        <w:r w:rsidR="00D8039D">
          <w:rPr>
            <w:webHidden/>
          </w:rPr>
          <w:instrText xml:space="preserve"> PAGEREF _Toc68612229 \h </w:instrText>
        </w:r>
        <w:r w:rsidR="00D8039D">
          <w:rPr>
            <w:webHidden/>
          </w:rPr>
        </w:r>
        <w:r w:rsidR="00D8039D">
          <w:rPr>
            <w:webHidden/>
          </w:rPr>
          <w:fldChar w:fldCharType="separate"/>
        </w:r>
        <w:r w:rsidR="007B622C">
          <w:rPr>
            <w:webHidden/>
          </w:rPr>
          <w:t>12</w:t>
        </w:r>
        <w:r w:rsidR="00D8039D">
          <w:rPr>
            <w:webHidden/>
          </w:rPr>
          <w:fldChar w:fldCharType="end"/>
        </w:r>
      </w:hyperlink>
    </w:p>
    <w:p w14:paraId="49933AA7" w14:textId="6A80EF11" w:rsidR="00D8039D" w:rsidRDefault="00EF1348">
      <w:pPr>
        <w:pStyle w:val="TOC2"/>
        <w:rPr>
          <w:rFonts w:asciiTheme="minorHAnsi" w:eastAsiaTheme="minorEastAsia" w:hAnsiTheme="minorHAnsi" w:cstheme="minorBidi"/>
          <w:spacing w:val="0"/>
          <w:sz w:val="22"/>
          <w:szCs w:val="22"/>
        </w:rPr>
      </w:pPr>
      <w:hyperlink w:anchor="_Toc68612230" w:history="1">
        <w:r w:rsidR="00D8039D" w:rsidRPr="005C5DEE">
          <w:rPr>
            <w:rStyle w:val="Hyperlink"/>
          </w:rPr>
          <w:t>Next steps</w:t>
        </w:r>
        <w:r w:rsidR="00D8039D">
          <w:rPr>
            <w:webHidden/>
          </w:rPr>
          <w:tab/>
        </w:r>
        <w:r w:rsidR="00D8039D">
          <w:rPr>
            <w:webHidden/>
          </w:rPr>
          <w:fldChar w:fldCharType="begin"/>
        </w:r>
        <w:r w:rsidR="00D8039D">
          <w:rPr>
            <w:webHidden/>
          </w:rPr>
          <w:instrText xml:space="preserve"> PAGEREF _Toc68612230 \h </w:instrText>
        </w:r>
        <w:r w:rsidR="00D8039D">
          <w:rPr>
            <w:webHidden/>
          </w:rPr>
        </w:r>
        <w:r w:rsidR="00D8039D">
          <w:rPr>
            <w:webHidden/>
          </w:rPr>
          <w:fldChar w:fldCharType="separate"/>
        </w:r>
        <w:r w:rsidR="007B622C">
          <w:rPr>
            <w:webHidden/>
          </w:rPr>
          <w:t>12</w:t>
        </w:r>
        <w:r w:rsidR="00D8039D">
          <w:rPr>
            <w:webHidden/>
          </w:rPr>
          <w:fldChar w:fldCharType="end"/>
        </w:r>
      </w:hyperlink>
    </w:p>
    <w:p w14:paraId="303E06BD" w14:textId="57CFDFB8" w:rsidR="00D8039D" w:rsidRDefault="00EF1348">
      <w:pPr>
        <w:pStyle w:val="TOC1"/>
        <w:rPr>
          <w:rFonts w:asciiTheme="minorHAnsi" w:eastAsiaTheme="minorEastAsia" w:hAnsiTheme="minorHAnsi" w:cstheme="minorBidi"/>
          <w:b w:val="0"/>
          <w:spacing w:val="0"/>
          <w:sz w:val="22"/>
          <w:szCs w:val="22"/>
        </w:rPr>
      </w:pPr>
      <w:hyperlink w:anchor="_Toc68612231" w:history="1">
        <w:r w:rsidR="00D8039D" w:rsidRPr="005C5DEE">
          <w:rPr>
            <w:rStyle w:val="Hyperlink"/>
          </w:rPr>
          <w:t>Invitation to comment</w:t>
        </w:r>
        <w:r w:rsidR="00D8039D">
          <w:rPr>
            <w:webHidden/>
          </w:rPr>
          <w:tab/>
        </w:r>
        <w:r w:rsidR="00D8039D">
          <w:rPr>
            <w:webHidden/>
          </w:rPr>
          <w:fldChar w:fldCharType="begin"/>
        </w:r>
        <w:r w:rsidR="00D8039D">
          <w:rPr>
            <w:webHidden/>
          </w:rPr>
          <w:instrText xml:space="preserve"> PAGEREF _Toc68612231 \h </w:instrText>
        </w:r>
        <w:r w:rsidR="00D8039D">
          <w:rPr>
            <w:webHidden/>
          </w:rPr>
        </w:r>
        <w:r w:rsidR="00D8039D">
          <w:rPr>
            <w:webHidden/>
          </w:rPr>
          <w:fldChar w:fldCharType="separate"/>
        </w:r>
        <w:r w:rsidR="007B622C">
          <w:rPr>
            <w:webHidden/>
          </w:rPr>
          <w:t>13</w:t>
        </w:r>
        <w:r w:rsidR="00D8039D">
          <w:rPr>
            <w:webHidden/>
          </w:rPr>
          <w:fldChar w:fldCharType="end"/>
        </w:r>
      </w:hyperlink>
    </w:p>
    <w:p w14:paraId="569553FB" w14:textId="7C3BE81B" w:rsidR="00D8039D" w:rsidRDefault="00EF1348">
      <w:pPr>
        <w:pStyle w:val="TOC2"/>
        <w:rPr>
          <w:rFonts w:asciiTheme="minorHAnsi" w:eastAsiaTheme="minorEastAsia" w:hAnsiTheme="minorHAnsi" w:cstheme="minorBidi"/>
          <w:spacing w:val="0"/>
          <w:sz w:val="22"/>
          <w:szCs w:val="22"/>
        </w:rPr>
      </w:pPr>
      <w:hyperlink w:anchor="_Toc68612232" w:history="1">
        <w:r w:rsidR="00D8039D" w:rsidRPr="005C5DEE">
          <w:rPr>
            <w:rStyle w:val="Hyperlink"/>
          </w:rPr>
          <w:t>Making a submission</w:t>
        </w:r>
        <w:r w:rsidR="00D8039D">
          <w:rPr>
            <w:webHidden/>
          </w:rPr>
          <w:tab/>
        </w:r>
        <w:r w:rsidR="00D8039D">
          <w:rPr>
            <w:webHidden/>
          </w:rPr>
          <w:fldChar w:fldCharType="begin"/>
        </w:r>
        <w:r w:rsidR="00D8039D">
          <w:rPr>
            <w:webHidden/>
          </w:rPr>
          <w:instrText xml:space="preserve"> PAGEREF _Toc68612232 \h </w:instrText>
        </w:r>
        <w:r w:rsidR="00D8039D">
          <w:rPr>
            <w:webHidden/>
          </w:rPr>
        </w:r>
        <w:r w:rsidR="00D8039D">
          <w:rPr>
            <w:webHidden/>
          </w:rPr>
          <w:fldChar w:fldCharType="separate"/>
        </w:r>
        <w:r w:rsidR="007B622C">
          <w:rPr>
            <w:webHidden/>
          </w:rPr>
          <w:t>13</w:t>
        </w:r>
        <w:r w:rsidR="00D8039D">
          <w:rPr>
            <w:webHidden/>
          </w:rPr>
          <w:fldChar w:fldCharType="end"/>
        </w:r>
      </w:hyperlink>
    </w:p>
    <w:p w14:paraId="39C39D6D" w14:textId="20310C30" w:rsidR="00D8039D" w:rsidRDefault="00EF1348">
      <w:pPr>
        <w:pStyle w:val="TOC1"/>
        <w:rPr>
          <w:rFonts w:asciiTheme="minorHAnsi" w:eastAsiaTheme="minorEastAsia" w:hAnsiTheme="minorHAnsi" w:cstheme="minorBidi"/>
          <w:b w:val="0"/>
          <w:spacing w:val="0"/>
          <w:sz w:val="22"/>
          <w:szCs w:val="22"/>
        </w:rPr>
      </w:pPr>
      <w:hyperlink w:anchor="_Toc68612233" w:history="1">
        <w:r w:rsidR="00D8039D" w:rsidRPr="005C5DEE">
          <w:rPr>
            <w:rStyle w:val="Hyperlink"/>
          </w:rPr>
          <w:t>Appendix A: Technology overview</w:t>
        </w:r>
        <w:r w:rsidR="00D8039D">
          <w:rPr>
            <w:webHidden/>
          </w:rPr>
          <w:tab/>
        </w:r>
        <w:r w:rsidR="00D8039D">
          <w:rPr>
            <w:webHidden/>
          </w:rPr>
          <w:fldChar w:fldCharType="begin"/>
        </w:r>
        <w:r w:rsidR="00D8039D">
          <w:rPr>
            <w:webHidden/>
          </w:rPr>
          <w:instrText xml:space="preserve"> PAGEREF _Toc68612233 \h </w:instrText>
        </w:r>
        <w:r w:rsidR="00D8039D">
          <w:rPr>
            <w:webHidden/>
          </w:rPr>
        </w:r>
        <w:r w:rsidR="00D8039D">
          <w:rPr>
            <w:webHidden/>
          </w:rPr>
          <w:fldChar w:fldCharType="separate"/>
        </w:r>
        <w:r w:rsidR="007B622C">
          <w:rPr>
            <w:webHidden/>
          </w:rPr>
          <w:t>14</w:t>
        </w:r>
        <w:r w:rsidR="00D8039D">
          <w:rPr>
            <w:webHidden/>
          </w:rPr>
          <w:fldChar w:fldCharType="end"/>
        </w:r>
      </w:hyperlink>
    </w:p>
    <w:p w14:paraId="207B1EE3" w14:textId="1A49FC0D" w:rsidR="00D8039D" w:rsidRDefault="00EF1348">
      <w:pPr>
        <w:pStyle w:val="TOC2"/>
        <w:rPr>
          <w:rFonts w:asciiTheme="minorHAnsi" w:eastAsiaTheme="minorEastAsia" w:hAnsiTheme="minorHAnsi" w:cstheme="minorBidi"/>
          <w:spacing w:val="0"/>
          <w:sz w:val="22"/>
          <w:szCs w:val="22"/>
        </w:rPr>
      </w:pPr>
      <w:hyperlink w:anchor="_Toc68612234" w:history="1">
        <w:r w:rsidR="00D8039D" w:rsidRPr="005C5DEE">
          <w:rPr>
            <w:rStyle w:val="Hyperlink"/>
          </w:rPr>
          <w:t>Radio local area networks (RLANs)</w:t>
        </w:r>
        <w:r w:rsidR="00D8039D">
          <w:rPr>
            <w:webHidden/>
          </w:rPr>
          <w:tab/>
        </w:r>
        <w:r w:rsidR="00D8039D">
          <w:rPr>
            <w:webHidden/>
          </w:rPr>
          <w:fldChar w:fldCharType="begin"/>
        </w:r>
        <w:r w:rsidR="00D8039D">
          <w:rPr>
            <w:webHidden/>
          </w:rPr>
          <w:instrText xml:space="preserve"> PAGEREF _Toc68612234 \h </w:instrText>
        </w:r>
        <w:r w:rsidR="00D8039D">
          <w:rPr>
            <w:webHidden/>
          </w:rPr>
        </w:r>
        <w:r w:rsidR="00D8039D">
          <w:rPr>
            <w:webHidden/>
          </w:rPr>
          <w:fldChar w:fldCharType="separate"/>
        </w:r>
        <w:r w:rsidR="007B622C">
          <w:rPr>
            <w:webHidden/>
          </w:rPr>
          <w:t>14</w:t>
        </w:r>
        <w:r w:rsidR="00D8039D">
          <w:rPr>
            <w:webHidden/>
          </w:rPr>
          <w:fldChar w:fldCharType="end"/>
        </w:r>
      </w:hyperlink>
    </w:p>
    <w:p w14:paraId="2E5CBE76" w14:textId="24B37C13" w:rsidR="00D8039D" w:rsidRDefault="00EF1348">
      <w:pPr>
        <w:pStyle w:val="TOC3"/>
        <w:rPr>
          <w:rFonts w:asciiTheme="minorHAnsi" w:eastAsiaTheme="minorEastAsia" w:hAnsiTheme="minorHAnsi" w:cstheme="minorBidi"/>
        </w:rPr>
      </w:pPr>
      <w:hyperlink w:anchor="_Toc68612235" w:history="1">
        <w:r w:rsidR="00D8039D" w:rsidRPr="005C5DEE">
          <w:rPr>
            <w:rStyle w:val="Hyperlink"/>
          </w:rPr>
          <w:t>Wi-Fi 5</w:t>
        </w:r>
        <w:r w:rsidR="00D8039D">
          <w:rPr>
            <w:webHidden/>
          </w:rPr>
          <w:tab/>
        </w:r>
        <w:r w:rsidR="00D8039D">
          <w:rPr>
            <w:webHidden/>
          </w:rPr>
          <w:fldChar w:fldCharType="begin"/>
        </w:r>
        <w:r w:rsidR="00D8039D">
          <w:rPr>
            <w:webHidden/>
          </w:rPr>
          <w:instrText xml:space="preserve"> PAGEREF _Toc68612235 \h </w:instrText>
        </w:r>
        <w:r w:rsidR="00D8039D">
          <w:rPr>
            <w:webHidden/>
          </w:rPr>
        </w:r>
        <w:r w:rsidR="00D8039D">
          <w:rPr>
            <w:webHidden/>
          </w:rPr>
          <w:fldChar w:fldCharType="separate"/>
        </w:r>
        <w:r w:rsidR="007B622C">
          <w:rPr>
            <w:webHidden/>
          </w:rPr>
          <w:t>14</w:t>
        </w:r>
        <w:r w:rsidR="00D8039D">
          <w:rPr>
            <w:webHidden/>
          </w:rPr>
          <w:fldChar w:fldCharType="end"/>
        </w:r>
      </w:hyperlink>
    </w:p>
    <w:p w14:paraId="37038019" w14:textId="17CBAFB4" w:rsidR="00D8039D" w:rsidRDefault="00EF1348">
      <w:pPr>
        <w:pStyle w:val="TOC3"/>
        <w:rPr>
          <w:rFonts w:asciiTheme="minorHAnsi" w:eastAsiaTheme="minorEastAsia" w:hAnsiTheme="minorHAnsi" w:cstheme="minorBidi"/>
        </w:rPr>
      </w:pPr>
      <w:hyperlink w:anchor="_Toc68612236" w:history="1">
        <w:r w:rsidR="00D8039D" w:rsidRPr="005C5DEE">
          <w:rPr>
            <w:rStyle w:val="Hyperlink"/>
          </w:rPr>
          <w:t>Wi-fi 6 and 6e</w:t>
        </w:r>
        <w:r w:rsidR="00D8039D">
          <w:rPr>
            <w:webHidden/>
          </w:rPr>
          <w:tab/>
        </w:r>
        <w:r w:rsidR="00D8039D">
          <w:rPr>
            <w:webHidden/>
          </w:rPr>
          <w:fldChar w:fldCharType="begin"/>
        </w:r>
        <w:r w:rsidR="00D8039D">
          <w:rPr>
            <w:webHidden/>
          </w:rPr>
          <w:instrText xml:space="preserve"> PAGEREF _Toc68612236 \h </w:instrText>
        </w:r>
        <w:r w:rsidR="00D8039D">
          <w:rPr>
            <w:webHidden/>
          </w:rPr>
        </w:r>
        <w:r w:rsidR="00D8039D">
          <w:rPr>
            <w:webHidden/>
          </w:rPr>
          <w:fldChar w:fldCharType="separate"/>
        </w:r>
        <w:r w:rsidR="007B622C">
          <w:rPr>
            <w:webHidden/>
          </w:rPr>
          <w:t>14</w:t>
        </w:r>
        <w:r w:rsidR="00D8039D">
          <w:rPr>
            <w:webHidden/>
          </w:rPr>
          <w:fldChar w:fldCharType="end"/>
        </w:r>
      </w:hyperlink>
    </w:p>
    <w:p w14:paraId="1C5600A6" w14:textId="047B5382" w:rsidR="00D8039D" w:rsidRDefault="00EF1348">
      <w:pPr>
        <w:pStyle w:val="TOC2"/>
        <w:rPr>
          <w:rFonts w:asciiTheme="minorHAnsi" w:eastAsiaTheme="minorEastAsia" w:hAnsiTheme="minorHAnsi" w:cstheme="minorBidi"/>
          <w:spacing w:val="0"/>
          <w:sz w:val="22"/>
          <w:szCs w:val="22"/>
        </w:rPr>
      </w:pPr>
      <w:hyperlink w:anchor="_Toc68612237" w:history="1">
        <w:r w:rsidR="00D8039D" w:rsidRPr="005C5DEE">
          <w:rPr>
            <w:rStyle w:val="Hyperlink"/>
          </w:rPr>
          <w:t>IMT 2020 and Fixed Wireless Access (FWA)</w:t>
        </w:r>
        <w:r w:rsidR="00D8039D">
          <w:rPr>
            <w:webHidden/>
          </w:rPr>
          <w:tab/>
        </w:r>
        <w:r w:rsidR="00D8039D">
          <w:rPr>
            <w:webHidden/>
          </w:rPr>
          <w:fldChar w:fldCharType="begin"/>
        </w:r>
        <w:r w:rsidR="00D8039D">
          <w:rPr>
            <w:webHidden/>
          </w:rPr>
          <w:instrText xml:space="preserve"> PAGEREF _Toc68612237 \h </w:instrText>
        </w:r>
        <w:r w:rsidR="00D8039D">
          <w:rPr>
            <w:webHidden/>
          </w:rPr>
        </w:r>
        <w:r w:rsidR="00D8039D">
          <w:rPr>
            <w:webHidden/>
          </w:rPr>
          <w:fldChar w:fldCharType="separate"/>
        </w:r>
        <w:r w:rsidR="007B622C">
          <w:rPr>
            <w:webHidden/>
          </w:rPr>
          <w:t>15</w:t>
        </w:r>
        <w:r w:rsidR="00D8039D">
          <w:rPr>
            <w:webHidden/>
          </w:rPr>
          <w:fldChar w:fldCharType="end"/>
        </w:r>
      </w:hyperlink>
    </w:p>
    <w:p w14:paraId="2A63914F" w14:textId="5637AC4F" w:rsidR="00D8039D" w:rsidRDefault="00EF1348">
      <w:pPr>
        <w:pStyle w:val="TOC2"/>
        <w:rPr>
          <w:rFonts w:asciiTheme="minorHAnsi" w:eastAsiaTheme="minorEastAsia" w:hAnsiTheme="minorHAnsi" w:cstheme="minorBidi"/>
          <w:spacing w:val="0"/>
          <w:sz w:val="22"/>
          <w:szCs w:val="22"/>
        </w:rPr>
      </w:pPr>
      <w:hyperlink w:anchor="_Toc68612238" w:history="1">
        <w:r w:rsidR="00D8039D" w:rsidRPr="005C5DEE">
          <w:rPr>
            <w:rStyle w:val="Hyperlink"/>
          </w:rPr>
          <w:t>Technology features</w:t>
        </w:r>
        <w:r w:rsidR="00D8039D">
          <w:rPr>
            <w:webHidden/>
          </w:rPr>
          <w:tab/>
        </w:r>
        <w:r w:rsidR="00D8039D">
          <w:rPr>
            <w:webHidden/>
          </w:rPr>
          <w:fldChar w:fldCharType="begin"/>
        </w:r>
        <w:r w:rsidR="00D8039D">
          <w:rPr>
            <w:webHidden/>
          </w:rPr>
          <w:instrText xml:space="preserve"> PAGEREF _Toc68612238 \h </w:instrText>
        </w:r>
        <w:r w:rsidR="00D8039D">
          <w:rPr>
            <w:webHidden/>
          </w:rPr>
        </w:r>
        <w:r w:rsidR="00D8039D">
          <w:rPr>
            <w:webHidden/>
          </w:rPr>
          <w:fldChar w:fldCharType="separate"/>
        </w:r>
        <w:r w:rsidR="007B622C">
          <w:rPr>
            <w:webHidden/>
          </w:rPr>
          <w:t>15</w:t>
        </w:r>
        <w:r w:rsidR="00D8039D">
          <w:rPr>
            <w:webHidden/>
          </w:rPr>
          <w:fldChar w:fldCharType="end"/>
        </w:r>
      </w:hyperlink>
    </w:p>
    <w:p w14:paraId="48CA5598" w14:textId="48296F50" w:rsidR="00D8039D" w:rsidRDefault="00EF1348">
      <w:pPr>
        <w:pStyle w:val="TOC3"/>
        <w:rPr>
          <w:rFonts w:asciiTheme="minorHAnsi" w:eastAsiaTheme="minorEastAsia" w:hAnsiTheme="minorHAnsi" w:cstheme="minorBidi"/>
        </w:rPr>
      </w:pPr>
      <w:hyperlink w:anchor="_Toc68612239" w:history="1">
        <w:r w:rsidR="00D8039D" w:rsidRPr="005C5DEE">
          <w:rPr>
            <w:rStyle w:val="Hyperlink"/>
          </w:rPr>
          <w:t>Transmit power control (TPC) and dynamic frequency selection (DFS)</w:t>
        </w:r>
        <w:r w:rsidR="00D8039D">
          <w:rPr>
            <w:webHidden/>
          </w:rPr>
          <w:tab/>
        </w:r>
        <w:r w:rsidR="00D8039D">
          <w:rPr>
            <w:webHidden/>
          </w:rPr>
          <w:fldChar w:fldCharType="begin"/>
        </w:r>
        <w:r w:rsidR="00D8039D">
          <w:rPr>
            <w:webHidden/>
          </w:rPr>
          <w:instrText xml:space="preserve"> PAGEREF _Toc68612239 \h </w:instrText>
        </w:r>
        <w:r w:rsidR="00D8039D">
          <w:rPr>
            <w:webHidden/>
          </w:rPr>
        </w:r>
        <w:r w:rsidR="00D8039D">
          <w:rPr>
            <w:webHidden/>
          </w:rPr>
          <w:fldChar w:fldCharType="separate"/>
        </w:r>
        <w:r w:rsidR="007B622C">
          <w:rPr>
            <w:webHidden/>
          </w:rPr>
          <w:t>15</w:t>
        </w:r>
        <w:r w:rsidR="00D8039D">
          <w:rPr>
            <w:webHidden/>
          </w:rPr>
          <w:fldChar w:fldCharType="end"/>
        </w:r>
      </w:hyperlink>
    </w:p>
    <w:p w14:paraId="15429684" w14:textId="26847997" w:rsidR="00D8039D" w:rsidRDefault="00EF1348">
      <w:pPr>
        <w:pStyle w:val="TOC3"/>
        <w:rPr>
          <w:rFonts w:asciiTheme="minorHAnsi" w:eastAsiaTheme="minorEastAsia" w:hAnsiTheme="minorHAnsi" w:cstheme="minorBidi"/>
        </w:rPr>
      </w:pPr>
      <w:hyperlink w:anchor="_Toc68612240" w:history="1">
        <w:r w:rsidR="00D8039D" w:rsidRPr="005C5DEE">
          <w:rPr>
            <w:rStyle w:val="Hyperlink"/>
          </w:rPr>
          <w:t>Automatic Frequency Coordination (AFC)</w:t>
        </w:r>
        <w:r w:rsidR="00D8039D">
          <w:rPr>
            <w:webHidden/>
          </w:rPr>
          <w:tab/>
        </w:r>
        <w:r w:rsidR="00D8039D">
          <w:rPr>
            <w:webHidden/>
          </w:rPr>
          <w:fldChar w:fldCharType="begin"/>
        </w:r>
        <w:r w:rsidR="00D8039D">
          <w:rPr>
            <w:webHidden/>
          </w:rPr>
          <w:instrText xml:space="preserve"> PAGEREF _Toc68612240 \h </w:instrText>
        </w:r>
        <w:r w:rsidR="00D8039D">
          <w:rPr>
            <w:webHidden/>
          </w:rPr>
        </w:r>
        <w:r w:rsidR="00D8039D">
          <w:rPr>
            <w:webHidden/>
          </w:rPr>
          <w:fldChar w:fldCharType="separate"/>
        </w:r>
        <w:r w:rsidR="007B622C">
          <w:rPr>
            <w:webHidden/>
          </w:rPr>
          <w:t>15</w:t>
        </w:r>
        <w:r w:rsidR="00D8039D">
          <w:rPr>
            <w:webHidden/>
          </w:rPr>
          <w:fldChar w:fldCharType="end"/>
        </w:r>
      </w:hyperlink>
    </w:p>
    <w:p w14:paraId="369507D1" w14:textId="7CCFF54C" w:rsidR="00D8039D" w:rsidRDefault="00EF1348">
      <w:pPr>
        <w:pStyle w:val="TOC3"/>
        <w:rPr>
          <w:rFonts w:asciiTheme="minorHAnsi" w:eastAsiaTheme="minorEastAsia" w:hAnsiTheme="minorHAnsi" w:cstheme="minorBidi"/>
        </w:rPr>
      </w:pPr>
      <w:hyperlink w:anchor="_Toc68612241" w:history="1">
        <w:r w:rsidR="00D8039D" w:rsidRPr="005C5DEE">
          <w:rPr>
            <w:rStyle w:val="Hyperlink"/>
          </w:rPr>
          <w:t>Advanced antenna systems (AAS)</w:t>
        </w:r>
        <w:r w:rsidR="00D8039D">
          <w:rPr>
            <w:webHidden/>
          </w:rPr>
          <w:tab/>
        </w:r>
        <w:r w:rsidR="00D8039D">
          <w:rPr>
            <w:webHidden/>
          </w:rPr>
          <w:fldChar w:fldCharType="begin"/>
        </w:r>
        <w:r w:rsidR="00D8039D">
          <w:rPr>
            <w:webHidden/>
          </w:rPr>
          <w:instrText xml:space="preserve"> PAGEREF _Toc68612241 \h </w:instrText>
        </w:r>
        <w:r w:rsidR="00D8039D">
          <w:rPr>
            <w:webHidden/>
          </w:rPr>
        </w:r>
        <w:r w:rsidR="00D8039D">
          <w:rPr>
            <w:webHidden/>
          </w:rPr>
          <w:fldChar w:fldCharType="separate"/>
        </w:r>
        <w:r w:rsidR="007B622C">
          <w:rPr>
            <w:webHidden/>
          </w:rPr>
          <w:t>16</w:t>
        </w:r>
        <w:r w:rsidR="00D8039D">
          <w:rPr>
            <w:webHidden/>
          </w:rPr>
          <w:fldChar w:fldCharType="end"/>
        </w:r>
      </w:hyperlink>
    </w:p>
    <w:p w14:paraId="0E59A9CE" w14:textId="0A9F495D" w:rsidR="00D8039D" w:rsidRDefault="00EF1348">
      <w:pPr>
        <w:pStyle w:val="TOC1"/>
        <w:rPr>
          <w:rFonts w:asciiTheme="minorHAnsi" w:eastAsiaTheme="minorEastAsia" w:hAnsiTheme="minorHAnsi" w:cstheme="minorBidi"/>
          <w:b w:val="0"/>
          <w:spacing w:val="0"/>
          <w:sz w:val="22"/>
          <w:szCs w:val="22"/>
        </w:rPr>
      </w:pPr>
      <w:hyperlink w:anchor="_Toc68612242" w:history="1">
        <w:r w:rsidR="00D8039D" w:rsidRPr="005C5DEE">
          <w:rPr>
            <w:rStyle w:val="Hyperlink"/>
          </w:rPr>
          <w:t>Appendix B: International arrangements</w:t>
        </w:r>
        <w:r w:rsidR="00D8039D">
          <w:rPr>
            <w:webHidden/>
          </w:rPr>
          <w:tab/>
        </w:r>
        <w:r w:rsidR="00D8039D">
          <w:rPr>
            <w:webHidden/>
          </w:rPr>
          <w:fldChar w:fldCharType="begin"/>
        </w:r>
        <w:r w:rsidR="00D8039D">
          <w:rPr>
            <w:webHidden/>
          </w:rPr>
          <w:instrText xml:space="preserve"> PAGEREF _Toc68612242 \h </w:instrText>
        </w:r>
        <w:r w:rsidR="00D8039D">
          <w:rPr>
            <w:webHidden/>
          </w:rPr>
        </w:r>
        <w:r w:rsidR="00D8039D">
          <w:rPr>
            <w:webHidden/>
          </w:rPr>
          <w:fldChar w:fldCharType="separate"/>
        </w:r>
        <w:r w:rsidR="007B622C">
          <w:rPr>
            <w:webHidden/>
          </w:rPr>
          <w:t>17</w:t>
        </w:r>
        <w:r w:rsidR="00D8039D">
          <w:rPr>
            <w:webHidden/>
          </w:rPr>
          <w:fldChar w:fldCharType="end"/>
        </w:r>
      </w:hyperlink>
    </w:p>
    <w:p w14:paraId="20D40540" w14:textId="2F8ED603" w:rsidR="00D8039D" w:rsidRDefault="00EF1348">
      <w:pPr>
        <w:pStyle w:val="TOC2"/>
        <w:rPr>
          <w:rFonts w:asciiTheme="minorHAnsi" w:eastAsiaTheme="minorEastAsia" w:hAnsiTheme="minorHAnsi" w:cstheme="minorBidi"/>
          <w:spacing w:val="0"/>
          <w:sz w:val="22"/>
          <w:szCs w:val="22"/>
        </w:rPr>
      </w:pPr>
      <w:hyperlink w:anchor="_Toc68612243" w:history="1">
        <w:r w:rsidR="00D8039D" w:rsidRPr="005C5DEE">
          <w:rPr>
            <w:rStyle w:val="Hyperlink"/>
          </w:rPr>
          <w:t>ITU developments</w:t>
        </w:r>
        <w:r w:rsidR="00D8039D">
          <w:rPr>
            <w:webHidden/>
          </w:rPr>
          <w:tab/>
        </w:r>
        <w:r w:rsidR="00D8039D">
          <w:rPr>
            <w:webHidden/>
          </w:rPr>
          <w:fldChar w:fldCharType="begin"/>
        </w:r>
        <w:r w:rsidR="00D8039D">
          <w:rPr>
            <w:webHidden/>
          </w:rPr>
          <w:instrText xml:space="preserve"> PAGEREF _Toc68612243 \h </w:instrText>
        </w:r>
        <w:r w:rsidR="00D8039D">
          <w:rPr>
            <w:webHidden/>
          </w:rPr>
        </w:r>
        <w:r w:rsidR="00D8039D">
          <w:rPr>
            <w:webHidden/>
          </w:rPr>
          <w:fldChar w:fldCharType="separate"/>
        </w:r>
        <w:r w:rsidR="007B622C">
          <w:rPr>
            <w:webHidden/>
          </w:rPr>
          <w:t>19</w:t>
        </w:r>
        <w:r w:rsidR="00D8039D">
          <w:rPr>
            <w:webHidden/>
          </w:rPr>
          <w:fldChar w:fldCharType="end"/>
        </w:r>
      </w:hyperlink>
    </w:p>
    <w:p w14:paraId="00DA31AF" w14:textId="6BBAC657" w:rsidR="00D8039D" w:rsidRDefault="00EF1348">
      <w:pPr>
        <w:pStyle w:val="TOC3"/>
        <w:rPr>
          <w:rFonts w:asciiTheme="minorHAnsi" w:eastAsiaTheme="minorEastAsia" w:hAnsiTheme="minorHAnsi" w:cstheme="minorBidi"/>
        </w:rPr>
      </w:pPr>
      <w:hyperlink w:anchor="_Toc68612244" w:history="1">
        <w:r w:rsidR="00D8039D" w:rsidRPr="005C5DEE">
          <w:rPr>
            <w:rStyle w:val="Hyperlink"/>
          </w:rPr>
          <w:t>5 GHz band</w:t>
        </w:r>
        <w:r w:rsidR="00D8039D">
          <w:rPr>
            <w:webHidden/>
          </w:rPr>
          <w:tab/>
        </w:r>
        <w:r w:rsidR="00D8039D">
          <w:rPr>
            <w:webHidden/>
          </w:rPr>
          <w:fldChar w:fldCharType="begin"/>
        </w:r>
        <w:r w:rsidR="00D8039D">
          <w:rPr>
            <w:webHidden/>
          </w:rPr>
          <w:instrText xml:space="preserve"> PAGEREF _Toc68612244 \h </w:instrText>
        </w:r>
        <w:r w:rsidR="00D8039D">
          <w:rPr>
            <w:webHidden/>
          </w:rPr>
        </w:r>
        <w:r w:rsidR="00D8039D">
          <w:rPr>
            <w:webHidden/>
          </w:rPr>
          <w:fldChar w:fldCharType="separate"/>
        </w:r>
        <w:r w:rsidR="007B622C">
          <w:rPr>
            <w:webHidden/>
          </w:rPr>
          <w:t>19</w:t>
        </w:r>
        <w:r w:rsidR="00D8039D">
          <w:rPr>
            <w:webHidden/>
          </w:rPr>
          <w:fldChar w:fldCharType="end"/>
        </w:r>
      </w:hyperlink>
    </w:p>
    <w:p w14:paraId="4DB0BA59" w14:textId="23E3ED57" w:rsidR="00D8039D" w:rsidRDefault="00EF1348">
      <w:pPr>
        <w:pStyle w:val="TOC3"/>
        <w:rPr>
          <w:rFonts w:asciiTheme="minorHAnsi" w:eastAsiaTheme="minorEastAsia" w:hAnsiTheme="minorHAnsi" w:cstheme="minorBidi"/>
        </w:rPr>
      </w:pPr>
      <w:hyperlink w:anchor="_Toc68612245" w:history="1">
        <w:r w:rsidR="00D8039D" w:rsidRPr="005C5DEE">
          <w:rPr>
            <w:rStyle w:val="Hyperlink"/>
          </w:rPr>
          <w:t>6 GHz band</w:t>
        </w:r>
        <w:r w:rsidR="00D8039D">
          <w:rPr>
            <w:webHidden/>
          </w:rPr>
          <w:tab/>
        </w:r>
        <w:r w:rsidR="00D8039D">
          <w:rPr>
            <w:webHidden/>
          </w:rPr>
          <w:fldChar w:fldCharType="begin"/>
        </w:r>
        <w:r w:rsidR="00D8039D">
          <w:rPr>
            <w:webHidden/>
          </w:rPr>
          <w:instrText xml:space="preserve"> PAGEREF _Toc68612245 \h </w:instrText>
        </w:r>
        <w:r w:rsidR="00D8039D">
          <w:rPr>
            <w:webHidden/>
          </w:rPr>
        </w:r>
        <w:r w:rsidR="00D8039D">
          <w:rPr>
            <w:webHidden/>
          </w:rPr>
          <w:fldChar w:fldCharType="separate"/>
        </w:r>
        <w:r w:rsidR="007B622C">
          <w:rPr>
            <w:webHidden/>
          </w:rPr>
          <w:t>20</w:t>
        </w:r>
        <w:r w:rsidR="00D8039D">
          <w:rPr>
            <w:webHidden/>
          </w:rPr>
          <w:fldChar w:fldCharType="end"/>
        </w:r>
      </w:hyperlink>
    </w:p>
    <w:p w14:paraId="0FE9D5E2" w14:textId="18971B77" w:rsidR="00D8039D" w:rsidRDefault="00EF1348">
      <w:pPr>
        <w:pStyle w:val="TOC2"/>
        <w:rPr>
          <w:rFonts w:asciiTheme="minorHAnsi" w:eastAsiaTheme="minorEastAsia" w:hAnsiTheme="minorHAnsi" w:cstheme="minorBidi"/>
          <w:spacing w:val="0"/>
          <w:sz w:val="22"/>
          <w:szCs w:val="22"/>
        </w:rPr>
      </w:pPr>
      <w:hyperlink w:anchor="_Toc68612246" w:history="1">
        <w:r w:rsidR="00D8039D" w:rsidRPr="005C5DEE">
          <w:rPr>
            <w:rStyle w:val="Hyperlink"/>
          </w:rPr>
          <w:t>US</w:t>
        </w:r>
        <w:r w:rsidR="00D8039D">
          <w:rPr>
            <w:webHidden/>
          </w:rPr>
          <w:tab/>
        </w:r>
        <w:r w:rsidR="00D8039D">
          <w:rPr>
            <w:webHidden/>
          </w:rPr>
          <w:tab/>
        </w:r>
        <w:r w:rsidR="00D8039D">
          <w:rPr>
            <w:webHidden/>
          </w:rPr>
          <w:fldChar w:fldCharType="begin"/>
        </w:r>
        <w:r w:rsidR="00D8039D">
          <w:rPr>
            <w:webHidden/>
          </w:rPr>
          <w:instrText xml:space="preserve"> PAGEREF _Toc68612246 \h </w:instrText>
        </w:r>
        <w:r w:rsidR="00D8039D">
          <w:rPr>
            <w:webHidden/>
          </w:rPr>
        </w:r>
        <w:r w:rsidR="00D8039D">
          <w:rPr>
            <w:webHidden/>
          </w:rPr>
          <w:fldChar w:fldCharType="separate"/>
        </w:r>
        <w:r w:rsidR="007B622C">
          <w:rPr>
            <w:webHidden/>
          </w:rPr>
          <w:t>20</w:t>
        </w:r>
        <w:r w:rsidR="00D8039D">
          <w:rPr>
            <w:webHidden/>
          </w:rPr>
          <w:fldChar w:fldCharType="end"/>
        </w:r>
      </w:hyperlink>
    </w:p>
    <w:p w14:paraId="18BEED1C" w14:textId="498C2CCC" w:rsidR="00D8039D" w:rsidRDefault="00EF1348">
      <w:pPr>
        <w:pStyle w:val="TOC3"/>
        <w:rPr>
          <w:rFonts w:asciiTheme="minorHAnsi" w:eastAsiaTheme="minorEastAsia" w:hAnsiTheme="minorHAnsi" w:cstheme="minorBidi"/>
        </w:rPr>
      </w:pPr>
      <w:hyperlink w:anchor="_Toc68612247" w:history="1">
        <w:r w:rsidR="00D8039D" w:rsidRPr="005C5DEE">
          <w:rPr>
            <w:rStyle w:val="Hyperlink"/>
          </w:rPr>
          <w:t>5 GHz band</w:t>
        </w:r>
        <w:r w:rsidR="00D8039D">
          <w:rPr>
            <w:webHidden/>
          </w:rPr>
          <w:tab/>
        </w:r>
        <w:r w:rsidR="00D8039D">
          <w:rPr>
            <w:webHidden/>
          </w:rPr>
          <w:fldChar w:fldCharType="begin"/>
        </w:r>
        <w:r w:rsidR="00D8039D">
          <w:rPr>
            <w:webHidden/>
          </w:rPr>
          <w:instrText xml:space="preserve"> PAGEREF _Toc68612247 \h </w:instrText>
        </w:r>
        <w:r w:rsidR="00D8039D">
          <w:rPr>
            <w:webHidden/>
          </w:rPr>
        </w:r>
        <w:r w:rsidR="00D8039D">
          <w:rPr>
            <w:webHidden/>
          </w:rPr>
          <w:fldChar w:fldCharType="separate"/>
        </w:r>
        <w:r w:rsidR="007B622C">
          <w:rPr>
            <w:webHidden/>
          </w:rPr>
          <w:t>20</w:t>
        </w:r>
        <w:r w:rsidR="00D8039D">
          <w:rPr>
            <w:webHidden/>
          </w:rPr>
          <w:fldChar w:fldCharType="end"/>
        </w:r>
      </w:hyperlink>
    </w:p>
    <w:p w14:paraId="6F9B12E0" w14:textId="05556158" w:rsidR="00D8039D" w:rsidRDefault="00EF1348">
      <w:pPr>
        <w:pStyle w:val="TOC3"/>
        <w:rPr>
          <w:rFonts w:asciiTheme="minorHAnsi" w:eastAsiaTheme="minorEastAsia" w:hAnsiTheme="minorHAnsi" w:cstheme="minorBidi"/>
        </w:rPr>
      </w:pPr>
      <w:hyperlink w:anchor="_Toc68612248" w:history="1">
        <w:r w:rsidR="00D8039D" w:rsidRPr="005C5DEE">
          <w:rPr>
            <w:rStyle w:val="Hyperlink"/>
          </w:rPr>
          <w:t>6 GHz band</w:t>
        </w:r>
        <w:r w:rsidR="00D8039D">
          <w:rPr>
            <w:webHidden/>
          </w:rPr>
          <w:tab/>
        </w:r>
        <w:r w:rsidR="00D8039D">
          <w:rPr>
            <w:webHidden/>
          </w:rPr>
          <w:fldChar w:fldCharType="begin"/>
        </w:r>
        <w:r w:rsidR="00D8039D">
          <w:rPr>
            <w:webHidden/>
          </w:rPr>
          <w:instrText xml:space="preserve"> PAGEREF _Toc68612248 \h </w:instrText>
        </w:r>
        <w:r w:rsidR="00D8039D">
          <w:rPr>
            <w:webHidden/>
          </w:rPr>
        </w:r>
        <w:r w:rsidR="00D8039D">
          <w:rPr>
            <w:webHidden/>
          </w:rPr>
          <w:fldChar w:fldCharType="separate"/>
        </w:r>
        <w:r w:rsidR="007B622C">
          <w:rPr>
            <w:webHidden/>
          </w:rPr>
          <w:t>21</w:t>
        </w:r>
        <w:r w:rsidR="00D8039D">
          <w:rPr>
            <w:webHidden/>
          </w:rPr>
          <w:fldChar w:fldCharType="end"/>
        </w:r>
      </w:hyperlink>
    </w:p>
    <w:p w14:paraId="2B30150F" w14:textId="69F788DF" w:rsidR="00D8039D" w:rsidRDefault="00EF1348">
      <w:pPr>
        <w:pStyle w:val="TOC2"/>
        <w:rPr>
          <w:rFonts w:asciiTheme="minorHAnsi" w:eastAsiaTheme="minorEastAsia" w:hAnsiTheme="minorHAnsi" w:cstheme="minorBidi"/>
          <w:spacing w:val="0"/>
          <w:sz w:val="22"/>
          <w:szCs w:val="22"/>
        </w:rPr>
      </w:pPr>
      <w:hyperlink w:anchor="_Toc68612249" w:history="1">
        <w:r w:rsidR="00D8039D" w:rsidRPr="005C5DEE">
          <w:rPr>
            <w:rStyle w:val="Hyperlink"/>
          </w:rPr>
          <w:t>Europe</w:t>
        </w:r>
        <w:r w:rsidR="00D8039D">
          <w:rPr>
            <w:webHidden/>
          </w:rPr>
          <w:tab/>
        </w:r>
        <w:r w:rsidR="00D8039D">
          <w:rPr>
            <w:webHidden/>
          </w:rPr>
          <w:tab/>
        </w:r>
        <w:r w:rsidR="00D8039D">
          <w:rPr>
            <w:webHidden/>
          </w:rPr>
          <w:fldChar w:fldCharType="begin"/>
        </w:r>
        <w:r w:rsidR="00D8039D">
          <w:rPr>
            <w:webHidden/>
          </w:rPr>
          <w:instrText xml:space="preserve"> PAGEREF _Toc68612249 \h </w:instrText>
        </w:r>
        <w:r w:rsidR="00D8039D">
          <w:rPr>
            <w:webHidden/>
          </w:rPr>
        </w:r>
        <w:r w:rsidR="00D8039D">
          <w:rPr>
            <w:webHidden/>
          </w:rPr>
          <w:fldChar w:fldCharType="separate"/>
        </w:r>
        <w:r w:rsidR="007B622C">
          <w:rPr>
            <w:webHidden/>
          </w:rPr>
          <w:t>22</w:t>
        </w:r>
        <w:r w:rsidR="00D8039D">
          <w:rPr>
            <w:webHidden/>
          </w:rPr>
          <w:fldChar w:fldCharType="end"/>
        </w:r>
      </w:hyperlink>
    </w:p>
    <w:p w14:paraId="6EA4B9B0" w14:textId="70832B80" w:rsidR="00D8039D" w:rsidRDefault="00EF1348">
      <w:pPr>
        <w:pStyle w:val="TOC3"/>
        <w:rPr>
          <w:rFonts w:asciiTheme="minorHAnsi" w:eastAsiaTheme="minorEastAsia" w:hAnsiTheme="minorHAnsi" w:cstheme="minorBidi"/>
        </w:rPr>
      </w:pPr>
      <w:hyperlink w:anchor="_Toc68612250" w:history="1">
        <w:r w:rsidR="00D8039D" w:rsidRPr="005C5DEE">
          <w:rPr>
            <w:rStyle w:val="Hyperlink"/>
          </w:rPr>
          <w:t>5 GHz band</w:t>
        </w:r>
        <w:r w:rsidR="00D8039D">
          <w:rPr>
            <w:webHidden/>
          </w:rPr>
          <w:tab/>
        </w:r>
        <w:r w:rsidR="00D8039D">
          <w:rPr>
            <w:webHidden/>
          </w:rPr>
          <w:fldChar w:fldCharType="begin"/>
        </w:r>
        <w:r w:rsidR="00D8039D">
          <w:rPr>
            <w:webHidden/>
          </w:rPr>
          <w:instrText xml:space="preserve"> PAGEREF _Toc68612250 \h </w:instrText>
        </w:r>
        <w:r w:rsidR="00D8039D">
          <w:rPr>
            <w:webHidden/>
          </w:rPr>
        </w:r>
        <w:r w:rsidR="00D8039D">
          <w:rPr>
            <w:webHidden/>
          </w:rPr>
          <w:fldChar w:fldCharType="separate"/>
        </w:r>
        <w:r w:rsidR="007B622C">
          <w:rPr>
            <w:webHidden/>
          </w:rPr>
          <w:t>22</w:t>
        </w:r>
        <w:r w:rsidR="00D8039D">
          <w:rPr>
            <w:webHidden/>
          </w:rPr>
          <w:fldChar w:fldCharType="end"/>
        </w:r>
      </w:hyperlink>
    </w:p>
    <w:p w14:paraId="40747B97" w14:textId="17DF295B" w:rsidR="00D8039D" w:rsidRDefault="00EF1348">
      <w:pPr>
        <w:pStyle w:val="TOC3"/>
        <w:rPr>
          <w:rFonts w:asciiTheme="minorHAnsi" w:eastAsiaTheme="minorEastAsia" w:hAnsiTheme="minorHAnsi" w:cstheme="minorBidi"/>
        </w:rPr>
      </w:pPr>
      <w:hyperlink w:anchor="_Toc68612251" w:history="1">
        <w:r w:rsidR="00D8039D" w:rsidRPr="005C5DEE">
          <w:rPr>
            <w:rStyle w:val="Hyperlink"/>
          </w:rPr>
          <w:t>6 GHz band</w:t>
        </w:r>
        <w:r w:rsidR="00D8039D">
          <w:rPr>
            <w:webHidden/>
          </w:rPr>
          <w:tab/>
        </w:r>
        <w:r w:rsidR="00D8039D">
          <w:rPr>
            <w:webHidden/>
          </w:rPr>
          <w:fldChar w:fldCharType="begin"/>
        </w:r>
        <w:r w:rsidR="00D8039D">
          <w:rPr>
            <w:webHidden/>
          </w:rPr>
          <w:instrText xml:space="preserve"> PAGEREF _Toc68612251 \h </w:instrText>
        </w:r>
        <w:r w:rsidR="00D8039D">
          <w:rPr>
            <w:webHidden/>
          </w:rPr>
        </w:r>
        <w:r w:rsidR="00D8039D">
          <w:rPr>
            <w:webHidden/>
          </w:rPr>
          <w:fldChar w:fldCharType="separate"/>
        </w:r>
        <w:r w:rsidR="007B622C">
          <w:rPr>
            <w:webHidden/>
          </w:rPr>
          <w:t>22</w:t>
        </w:r>
        <w:r w:rsidR="00D8039D">
          <w:rPr>
            <w:webHidden/>
          </w:rPr>
          <w:fldChar w:fldCharType="end"/>
        </w:r>
      </w:hyperlink>
    </w:p>
    <w:p w14:paraId="4FB62400" w14:textId="438D4439" w:rsidR="00D8039D" w:rsidRDefault="00EF1348">
      <w:pPr>
        <w:pStyle w:val="TOC2"/>
        <w:rPr>
          <w:rFonts w:asciiTheme="minorHAnsi" w:eastAsiaTheme="minorEastAsia" w:hAnsiTheme="minorHAnsi" w:cstheme="minorBidi"/>
          <w:spacing w:val="0"/>
          <w:sz w:val="22"/>
          <w:szCs w:val="22"/>
        </w:rPr>
      </w:pPr>
      <w:hyperlink w:anchor="_Toc68612252" w:history="1">
        <w:r w:rsidR="00D8039D" w:rsidRPr="005C5DEE">
          <w:rPr>
            <w:rStyle w:val="Hyperlink"/>
          </w:rPr>
          <w:t>UK</w:t>
        </w:r>
        <w:r w:rsidR="00D8039D">
          <w:rPr>
            <w:webHidden/>
          </w:rPr>
          <w:tab/>
        </w:r>
        <w:r w:rsidR="00D8039D">
          <w:rPr>
            <w:webHidden/>
          </w:rPr>
          <w:tab/>
        </w:r>
        <w:r w:rsidR="00D8039D">
          <w:rPr>
            <w:webHidden/>
          </w:rPr>
          <w:fldChar w:fldCharType="begin"/>
        </w:r>
        <w:r w:rsidR="00D8039D">
          <w:rPr>
            <w:webHidden/>
          </w:rPr>
          <w:instrText xml:space="preserve"> PAGEREF _Toc68612252 \h </w:instrText>
        </w:r>
        <w:r w:rsidR="00D8039D">
          <w:rPr>
            <w:webHidden/>
          </w:rPr>
        </w:r>
        <w:r w:rsidR="00D8039D">
          <w:rPr>
            <w:webHidden/>
          </w:rPr>
          <w:fldChar w:fldCharType="separate"/>
        </w:r>
        <w:r w:rsidR="007B622C">
          <w:rPr>
            <w:webHidden/>
          </w:rPr>
          <w:t>23</w:t>
        </w:r>
        <w:r w:rsidR="00D8039D">
          <w:rPr>
            <w:webHidden/>
          </w:rPr>
          <w:fldChar w:fldCharType="end"/>
        </w:r>
      </w:hyperlink>
    </w:p>
    <w:p w14:paraId="198FED2B" w14:textId="58969E8A" w:rsidR="00D8039D" w:rsidRDefault="00EF1348">
      <w:pPr>
        <w:pStyle w:val="TOC3"/>
        <w:rPr>
          <w:rFonts w:asciiTheme="minorHAnsi" w:eastAsiaTheme="minorEastAsia" w:hAnsiTheme="minorHAnsi" w:cstheme="minorBidi"/>
        </w:rPr>
      </w:pPr>
      <w:hyperlink w:anchor="_Toc68612253" w:history="1">
        <w:r w:rsidR="00D8039D" w:rsidRPr="005C5DEE">
          <w:rPr>
            <w:rStyle w:val="Hyperlink"/>
          </w:rPr>
          <w:t>5 GHz band</w:t>
        </w:r>
        <w:r w:rsidR="00D8039D">
          <w:rPr>
            <w:webHidden/>
          </w:rPr>
          <w:tab/>
        </w:r>
        <w:r w:rsidR="00D8039D">
          <w:rPr>
            <w:webHidden/>
          </w:rPr>
          <w:fldChar w:fldCharType="begin"/>
        </w:r>
        <w:r w:rsidR="00D8039D">
          <w:rPr>
            <w:webHidden/>
          </w:rPr>
          <w:instrText xml:space="preserve"> PAGEREF _Toc68612253 \h </w:instrText>
        </w:r>
        <w:r w:rsidR="00D8039D">
          <w:rPr>
            <w:webHidden/>
          </w:rPr>
        </w:r>
        <w:r w:rsidR="00D8039D">
          <w:rPr>
            <w:webHidden/>
          </w:rPr>
          <w:fldChar w:fldCharType="separate"/>
        </w:r>
        <w:r w:rsidR="007B622C">
          <w:rPr>
            <w:webHidden/>
          </w:rPr>
          <w:t>23</w:t>
        </w:r>
        <w:r w:rsidR="00D8039D">
          <w:rPr>
            <w:webHidden/>
          </w:rPr>
          <w:fldChar w:fldCharType="end"/>
        </w:r>
      </w:hyperlink>
    </w:p>
    <w:p w14:paraId="418A43F1" w14:textId="03AEDC17" w:rsidR="00D8039D" w:rsidRDefault="00EF1348">
      <w:pPr>
        <w:pStyle w:val="TOC3"/>
        <w:rPr>
          <w:rFonts w:asciiTheme="minorHAnsi" w:eastAsiaTheme="minorEastAsia" w:hAnsiTheme="minorHAnsi" w:cstheme="minorBidi"/>
        </w:rPr>
      </w:pPr>
      <w:hyperlink w:anchor="_Toc68612254" w:history="1">
        <w:r w:rsidR="00D8039D" w:rsidRPr="005C5DEE">
          <w:rPr>
            <w:rStyle w:val="Hyperlink"/>
          </w:rPr>
          <w:t>6 GHz band</w:t>
        </w:r>
        <w:r w:rsidR="00D8039D">
          <w:rPr>
            <w:webHidden/>
          </w:rPr>
          <w:tab/>
        </w:r>
        <w:r w:rsidR="00D8039D">
          <w:rPr>
            <w:webHidden/>
          </w:rPr>
          <w:fldChar w:fldCharType="begin"/>
        </w:r>
        <w:r w:rsidR="00D8039D">
          <w:rPr>
            <w:webHidden/>
          </w:rPr>
          <w:instrText xml:space="preserve"> PAGEREF _Toc68612254 \h </w:instrText>
        </w:r>
        <w:r w:rsidR="00D8039D">
          <w:rPr>
            <w:webHidden/>
          </w:rPr>
        </w:r>
        <w:r w:rsidR="00D8039D">
          <w:rPr>
            <w:webHidden/>
          </w:rPr>
          <w:fldChar w:fldCharType="separate"/>
        </w:r>
        <w:r w:rsidR="007B622C">
          <w:rPr>
            <w:webHidden/>
          </w:rPr>
          <w:t>24</w:t>
        </w:r>
        <w:r w:rsidR="00D8039D">
          <w:rPr>
            <w:webHidden/>
          </w:rPr>
          <w:fldChar w:fldCharType="end"/>
        </w:r>
      </w:hyperlink>
    </w:p>
    <w:p w14:paraId="705D4CAA" w14:textId="001A1197" w:rsidR="00D8039D" w:rsidRDefault="00EF1348">
      <w:pPr>
        <w:pStyle w:val="TOC2"/>
        <w:rPr>
          <w:rFonts w:asciiTheme="minorHAnsi" w:eastAsiaTheme="minorEastAsia" w:hAnsiTheme="minorHAnsi" w:cstheme="minorBidi"/>
          <w:spacing w:val="0"/>
          <w:sz w:val="22"/>
          <w:szCs w:val="22"/>
        </w:rPr>
      </w:pPr>
      <w:hyperlink w:anchor="_Toc68612255" w:history="1">
        <w:r w:rsidR="00D8039D" w:rsidRPr="005C5DEE">
          <w:rPr>
            <w:rStyle w:val="Hyperlink"/>
          </w:rPr>
          <w:t>Canada</w:t>
        </w:r>
        <w:r w:rsidR="00D8039D">
          <w:rPr>
            <w:webHidden/>
          </w:rPr>
          <w:tab/>
        </w:r>
        <w:r w:rsidR="00D8039D">
          <w:rPr>
            <w:webHidden/>
          </w:rPr>
          <w:tab/>
        </w:r>
        <w:r w:rsidR="00D8039D">
          <w:rPr>
            <w:webHidden/>
          </w:rPr>
          <w:fldChar w:fldCharType="begin"/>
        </w:r>
        <w:r w:rsidR="00D8039D">
          <w:rPr>
            <w:webHidden/>
          </w:rPr>
          <w:instrText xml:space="preserve"> PAGEREF _Toc68612255 \h </w:instrText>
        </w:r>
        <w:r w:rsidR="00D8039D">
          <w:rPr>
            <w:webHidden/>
          </w:rPr>
        </w:r>
        <w:r w:rsidR="00D8039D">
          <w:rPr>
            <w:webHidden/>
          </w:rPr>
          <w:fldChar w:fldCharType="separate"/>
        </w:r>
        <w:r w:rsidR="007B622C">
          <w:rPr>
            <w:webHidden/>
          </w:rPr>
          <w:t>24</w:t>
        </w:r>
        <w:r w:rsidR="00D8039D">
          <w:rPr>
            <w:webHidden/>
          </w:rPr>
          <w:fldChar w:fldCharType="end"/>
        </w:r>
      </w:hyperlink>
    </w:p>
    <w:p w14:paraId="465306F9" w14:textId="4B1FBE2A" w:rsidR="00D8039D" w:rsidRDefault="00EF1348">
      <w:pPr>
        <w:pStyle w:val="TOC2"/>
        <w:rPr>
          <w:rFonts w:asciiTheme="minorHAnsi" w:eastAsiaTheme="minorEastAsia" w:hAnsiTheme="minorHAnsi" w:cstheme="minorBidi"/>
          <w:spacing w:val="0"/>
          <w:sz w:val="22"/>
          <w:szCs w:val="22"/>
        </w:rPr>
      </w:pPr>
      <w:hyperlink w:anchor="_Toc68612256" w:history="1">
        <w:r w:rsidR="00D8039D" w:rsidRPr="005C5DEE">
          <w:rPr>
            <w:rStyle w:val="Hyperlink"/>
          </w:rPr>
          <w:t>South Korea</w:t>
        </w:r>
        <w:r w:rsidR="00D8039D">
          <w:rPr>
            <w:webHidden/>
          </w:rPr>
          <w:tab/>
        </w:r>
        <w:r w:rsidR="00D8039D">
          <w:rPr>
            <w:webHidden/>
          </w:rPr>
          <w:fldChar w:fldCharType="begin"/>
        </w:r>
        <w:r w:rsidR="00D8039D">
          <w:rPr>
            <w:webHidden/>
          </w:rPr>
          <w:instrText xml:space="preserve"> PAGEREF _Toc68612256 \h </w:instrText>
        </w:r>
        <w:r w:rsidR="00D8039D">
          <w:rPr>
            <w:webHidden/>
          </w:rPr>
        </w:r>
        <w:r w:rsidR="00D8039D">
          <w:rPr>
            <w:webHidden/>
          </w:rPr>
          <w:fldChar w:fldCharType="separate"/>
        </w:r>
        <w:r w:rsidR="007B622C">
          <w:rPr>
            <w:webHidden/>
          </w:rPr>
          <w:t>24</w:t>
        </w:r>
        <w:r w:rsidR="00D8039D">
          <w:rPr>
            <w:webHidden/>
          </w:rPr>
          <w:fldChar w:fldCharType="end"/>
        </w:r>
      </w:hyperlink>
    </w:p>
    <w:p w14:paraId="7A3F69FA" w14:textId="4509F84B" w:rsidR="00D8039D" w:rsidRDefault="00EF1348">
      <w:pPr>
        <w:pStyle w:val="TOC2"/>
        <w:rPr>
          <w:rFonts w:asciiTheme="minorHAnsi" w:eastAsiaTheme="minorEastAsia" w:hAnsiTheme="minorHAnsi" w:cstheme="minorBidi"/>
          <w:spacing w:val="0"/>
          <w:sz w:val="22"/>
          <w:szCs w:val="22"/>
        </w:rPr>
      </w:pPr>
      <w:hyperlink w:anchor="_Toc68612257" w:history="1">
        <w:r w:rsidR="00D8039D" w:rsidRPr="005C5DEE">
          <w:rPr>
            <w:rStyle w:val="Hyperlink"/>
          </w:rPr>
          <w:t>Brazil</w:t>
        </w:r>
        <w:r w:rsidR="00D8039D">
          <w:rPr>
            <w:webHidden/>
          </w:rPr>
          <w:tab/>
        </w:r>
        <w:r w:rsidR="00D8039D">
          <w:rPr>
            <w:webHidden/>
          </w:rPr>
          <w:tab/>
        </w:r>
        <w:r w:rsidR="00D8039D">
          <w:rPr>
            <w:webHidden/>
          </w:rPr>
          <w:fldChar w:fldCharType="begin"/>
        </w:r>
        <w:r w:rsidR="00D8039D">
          <w:rPr>
            <w:webHidden/>
          </w:rPr>
          <w:instrText xml:space="preserve"> PAGEREF _Toc68612257 \h </w:instrText>
        </w:r>
        <w:r w:rsidR="00D8039D">
          <w:rPr>
            <w:webHidden/>
          </w:rPr>
        </w:r>
        <w:r w:rsidR="00D8039D">
          <w:rPr>
            <w:webHidden/>
          </w:rPr>
          <w:fldChar w:fldCharType="separate"/>
        </w:r>
        <w:r w:rsidR="007B622C">
          <w:rPr>
            <w:webHidden/>
          </w:rPr>
          <w:t>24</w:t>
        </w:r>
        <w:r w:rsidR="00D8039D">
          <w:rPr>
            <w:webHidden/>
          </w:rPr>
          <w:fldChar w:fldCharType="end"/>
        </w:r>
      </w:hyperlink>
    </w:p>
    <w:p w14:paraId="6DD18EC2" w14:textId="6A30229B" w:rsidR="00D8039D" w:rsidRDefault="00EF1348">
      <w:pPr>
        <w:pStyle w:val="TOC2"/>
        <w:rPr>
          <w:rFonts w:asciiTheme="minorHAnsi" w:eastAsiaTheme="minorEastAsia" w:hAnsiTheme="minorHAnsi" w:cstheme="minorBidi"/>
          <w:spacing w:val="0"/>
          <w:sz w:val="22"/>
          <w:szCs w:val="22"/>
        </w:rPr>
      </w:pPr>
      <w:hyperlink w:anchor="_Toc68612258" w:history="1">
        <w:r w:rsidR="00D8039D" w:rsidRPr="005C5DEE">
          <w:rPr>
            <w:rStyle w:val="Hyperlink"/>
          </w:rPr>
          <w:t>Other jurisdictions</w:t>
        </w:r>
        <w:r w:rsidR="00D8039D">
          <w:rPr>
            <w:webHidden/>
          </w:rPr>
          <w:tab/>
        </w:r>
        <w:r w:rsidR="00D8039D">
          <w:rPr>
            <w:webHidden/>
          </w:rPr>
          <w:fldChar w:fldCharType="begin"/>
        </w:r>
        <w:r w:rsidR="00D8039D">
          <w:rPr>
            <w:webHidden/>
          </w:rPr>
          <w:instrText xml:space="preserve"> PAGEREF _Toc68612258 \h </w:instrText>
        </w:r>
        <w:r w:rsidR="00D8039D">
          <w:rPr>
            <w:webHidden/>
          </w:rPr>
        </w:r>
        <w:r w:rsidR="00D8039D">
          <w:rPr>
            <w:webHidden/>
          </w:rPr>
          <w:fldChar w:fldCharType="separate"/>
        </w:r>
        <w:r w:rsidR="007B622C">
          <w:rPr>
            <w:webHidden/>
          </w:rPr>
          <w:t>25</w:t>
        </w:r>
        <w:r w:rsidR="00D8039D">
          <w:rPr>
            <w:webHidden/>
          </w:rPr>
          <w:fldChar w:fldCharType="end"/>
        </w:r>
      </w:hyperlink>
    </w:p>
    <w:p w14:paraId="583F3D8B" w14:textId="1B5E9AE5" w:rsidR="004D56FF" w:rsidRPr="000D76E0" w:rsidRDefault="00D86F93">
      <w:pPr>
        <w:rPr>
          <w:rFonts w:cs="Arial"/>
        </w:rPr>
        <w:sectPr w:rsidR="004D56FF" w:rsidRPr="000D76E0" w:rsidSect="00C77380">
          <w:headerReference w:type="even" r:id="rId19"/>
          <w:headerReference w:type="default" r:id="rId20"/>
          <w:footerReference w:type="even" r:id="rId21"/>
          <w:footerReference w:type="default" r:id="rId22"/>
          <w:footerReference w:type="first" r:id="rId23"/>
          <w:pgSz w:w="11906" w:h="16838" w:code="9"/>
          <w:pgMar w:top="3646" w:right="3101" w:bottom="1134" w:left="1134" w:header="709" w:footer="119" w:gutter="0"/>
          <w:cols w:space="708"/>
          <w:titlePg/>
          <w:docGrid w:linePitch="360"/>
        </w:sectPr>
      </w:pPr>
      <w:r>
        <w:rPr>
          <w:rFonts w:cs="Arial"/>
          <w:b/>
          <w:noProof/>
          <w:spacing w:val="-14"/>
          <w:sz w:val="28"/>
        </w:rPr>
        <w:fldChar w:fldCharType="end"/>
      </w:r>
    </w:p>
    <w:p w14:paraId="0D28EE44" w14:textId="77777777" w:rsidR="009D6C71" w:rsidRPr="009174F3" w:rsidRDefault="009D6C71" w:rsidP="009174F3">
      <w:pPr>
        <w:pStyle w:val="Execsummaryheading"/>
      </w:pPr>
      <w:r w:rsidRPr="009174F3">
        <w:lastRenderedPageBreak/>
        <w:t>Executive summary</w:t>
      </w:r>
    </w:p>
    <w:p w14:paraId="0B0B8CD8" w14:textId="0A22F0AC" w:rsidR="00E06D72" w:rsidRPr="00C5371B" w:rsidRDefault="003D32CC" w:rsidP="00E06D72">
      <w:pPr>
        <w:pStyle w:val="Paragraph"/>
      </w:pPr>
      <w:r w:rsidRPr="00C5371B">
        <w:t>The 6 GHz band (</w:t>
      </w:r>
      <w:r w:rsidR="00477EE7" w:rsidRPr="00C5371B">
        <w:t>5925</w:t>
      </w:r>
      <w:r w:rsidR="00AE2E35">
        <w:t>–</w:t>
      </w:r>
      <w:r w:rsidR="00477EE7" w:rsidRPr="00C5371B">
        <w:t>7125 </w:t>
      </w:r>
      <w:r w:rsidR="00072287">
        <w:t>M</w:t>
      </w:r>
      <w:r w:rsidR="00477EE7" w:rsidRPr="00C5371B">
        <w:t>Hz</w:t>
      </w:r>
      <w:r w:rsidRPr="00C5371B">
        <w:t>)</w:t>
      </w:r>
      <w:r w:rsidR="00477EE7" w:rsidRPr="00C5371B">
        <w:t xml:space="preserve"> is </w:t>
      </w:r>
      <w:r w:rsidR="00FA2801">
        <w:t xml:space="preserve">currently </w:t>
      </w:r>
      <w:r w:rsidR="000668B4">
        <w:t>generat</w:t>
      </w:r>
      <w:r w:rsidR="007956BC">
        <w:t>ing</w:t>
      </w:r>
      <w:r w:rsidR="000668B4">
        <w:t xml:space="preserve"> </w:t>
      </w:r>
      <w:r w:rsidR="00A21468">
        <w:t xml:space="preserve">substantial </w:t>
      </w:r>
      <w:r w:rsidRPr="00C5371B">
        <w:t xml:space="preserve">interest </w:t>
      </w:r>
      <w:r w:rsidR="00FA2801">
        <w:t>internationally</w:t>
      </w:r>
      <w:r w:rsidR="0037235C" w:rsidRPr="00C5371B">
        <w:t xml:space="preserve">, with </w:t>
      </w:r>
      <w:r w:rsidR="00A21468">
        <w:t>numerous</w:t>
      </w:r>
      <w:r w:rsidR="00A21468" w:rsidRPr="00C5371B">
        <w:t xml:space="preserve"> </w:t>
      </w:r>
      <w:r w:rsidR="0037235C" w:rsidRPr="00C5371B">
        <w:t>countries opening up</w:t>
      </w:r>
      <w:r w:rsidR="00FA2801">
        <w:t xml:space="preserve"> access to</w:t>
      </w:r>
      <w:r w:rsidR="0037235C" w:rsidRPr="00C5371B">
        <w:t xml:space="preserve"> the </w:t>
      </w:r>
      <w:r w:rsidR="001A5891" w:rsidRPr="00C5371B">
        <w:t>band – or parts of it – for use by</w:t>
      </w:r>
      <w:r w:rsidR="00C122FF">
        <w:t xml:space="preserve"> </w:t>
      </w:r>
      <w:r w:rsidR="000668B4">
        <w:t>r</w:t>
      </w:r>
      <w:r w:rsidR="00C122FF">
        <w:t xml:space="preserve">adio </w:t>
      </w:r>
      <w:r w:rsidR="000668B4">
        <w:t>l</w:t>
      </w:r>
      <w:r w:rsidR="00C122FF">
        <w:t xml:space="preserve">ocal </w:t>
      </w:r>
      <w:r w:rsidR="000668B4">
        <w:t>a</w:t>
      </w:r>
      <w:r w:rsidR="00C122FF">
        <w:t xml:space="preserve">rea </w:t>
      </w:r>
      <w:r w:rsidR="000668B4">
        <w:t>n</w:t>
      </w:r>
      <w:r w:rsidR="00C122FF">
        <w:t>etwork</w:t>
      </w:r>
      <w:r w:rsidR="001A5891" w:rsidRPr="00C5371B">
        <w:t xml:space="preserve"> </w:t>
      </w:r>
      <w:r w:rsidR="00C122FF">
        <w:t>(</w:t>
      </w:r>
      <w:r w:rsidR="001A5891" w:rsidRPr="00C5371B">
        <w:t>RLAN</w:t>
      </w:r>
      <w:r w:rsidR="00C122FF">
        <w:t>)</w:t>
      </w:r>
      <w:r w:rsidR="001A5891" w:rsidRPr="00C5371B">
        <w:t xml:space="preserve"> </w:t>
      </w:r>
      <w:r w:rsidR="00E3344B" w:rsidRPr="00C5371B">
        <w:t>systems</w:t>
      </w:r>
      <w:r w:rsidR="001A5891" w:rsidRPr="00C5371B">
        <w:t xml:space="preserve">, the most common of which are </w:t>
      </w:r>
      <w:r w:rsidR="004B2833">
        <w:t>w</w:t>
      </w:r>
      <w:r w:rsidR="001A5891" w:rsidRPr="00C5371B">
        <w:t>i-</w:t>
      </w:r>
      <w:r w:rsidR="004B2833">
        <w:t>f</w:t>
      </w:r>
      <w:r w:rsidR="001A5891" w:rsidRPr="00C5371B">
        <w:t>i</w:t>
      </w:r>
      <w:r w:rsidR="0098357D" w:rsidRPr="00C5371B">
        <w:t xml:space="preserve"> </w:t>
      </w:r>
      <w:r w:rsidR="00502FAB">
        <w:t xml:space="preserve">networks and </w:t>
      </w:r>
      <w:r w:rsidR="0098357D" w:rsidRPr="00C5371B">
        <w:t>devices.</w:t>
      </w:r>
    </w:p>
    <w:p w14:paraId="308C4B4A" w14:textId="439CBB29" w:rsidR="000668B4" w:rsidRDefault="00E3344B" w:rsidP="00E06D72">
      <w:pPr>
        <w:pStyle w:val="Paragraph"/>
      </w:pPr>
      <w:r w:rsidRPr="00C5371B">
        <w:t>Given th</w:t>
      </w:r>
      <w:r w:rsidR="00FA2801">
        <w:t>is</w:t>
      </w:r>
      <w:r w:rsidRPr="00C5371B">
        <w:t xml:space="preserve"> </w:t>
      </w:r>
      <w:r w:rsidR="00FA2801">
        <w:t>momentum</w:t>
      </w:r>
      <w:r w:rsidR="00A21468">
        <w:t>, the important role RLANs play in the broader broadband connectivity ecosystem</w:t>
      </w:r>
      <w:r w:rsidR="009F016C" w:rsidRPr="00C5371B">
        <w:t xml:space="preserve">, </w:t>
      </w:r>
      <w:r w:rsidR="00A15D30" w:rsidRPr="00C5371B">
        <w:t xml:space="preserve">and the </w:t>
      </w:r>
      <w:r w:rsidR="009F016C" w:rsidRPr="00C5371B">
        <w:t xml:space="preserve">level of interest indicated domestically through </w:t>
      </w:r>
      <w:r w:rsidR="00EA0D1B">
        <w:t xml:space="preserve">the </w:t>
      </w:r>
      <w:r w:rsidR="009F016C" w:rsidRPr="00C5371B">
        <w:t xml:space="preserve">ACMA’s </w:t>
      </w:r>
      <w:r w:rsidR="00095D0D" w:rsidRPr="00C5371B">
        <w:t xml:space="preserve">latest </w:t>
      </w:r>
      <w:hyperlink r:id="rId24" w:history="1">
        <w:r w:rsidR="000668B4">
          <w:rPr>
            <w:rStyle w:val="Hyperlink"/>
          </w:rPr>
          <w:t>f</w:t>
        </w:r>
        <w:r w:rsidR="00095D0D" w:rsidRPr="000808AC">
          <w:rPr>
            <w:rStyle w:val="Hyperlink"/>
          </w:rPr>
          <w:t xml:space="preserve">ive-year </w:t>
        </w:r>
        <w:r w:rsidR="000668B4">
          <w:rPr>
            <w:rStyle w:val="Hyperlink"/>
          </w:rPr>
          <w:t>s</w:t>
        </w:r>
        <w:r w:rsidR="00095D0D" w:rsidRPr="000808AC">
          <w:rPr>
            <w:rStyle w:val="Hyperlink"/>
          </w:rPr>
          <w:t xml:space="preserve">pectrum </w:t>
        </w:r>
        <w:r w:rsidR="000668B4">
          <w:rPr>
            <w:rStyle w:val="Hyperlink"/>
          </w:rPr>
          <w:t>o</w:t>
        </w:r>
        <w:r w:rsidR="00095D0D" w:rsidRPr="000808AC">
          <w:rPr>
            <w:rStyle w:val="Hyperlink"/>
          </w:rPr>
          <w:t>utlook</w:t>
        </w:r>
      </w:hyperlink>
      <w:r w:rsidR="00246A1E">
        <w:t xml:space="preserve"> (FYSO)</w:t>
      </w:r>
      <w:r w:rsidR="00A21468">
        <w:t xml:space="preserve"> process</w:t>
      </w:r>
      <w:r w:rsidR="00095D0D" w:rsidRPr="00C5371B">
        <w:t xml:space="preserve">, </w:t>
      </w:r>
      <w:r w:rsidR="00A21468">
        <w:t xml:space="preserve">we </w:t>
      </w:r>
      <w:r w:rsidR="00FF496A">
        <w:t xml:space="preserve">are investigating the </w:t>
      </w:r>
      <w:r w:rsidR="00A21468">
        <w:t>case for similar actions in Australia in the 6</w:t>
      </w:r>
      <w:r w:rsidR="005E432C">
        <w:t> </w:t>
      </w:r>
      <w:r w:rsidR="00A21468">
        <w:t>GHz band</w:t>
      </w:r>
      <w:r w:rsidR="00FF496A">
        <w:t xml:space="preserve">. </w:t>
      </w:r>
    </w:p>
    <w:p w14:paraId="289A7AF8" w14:textId="133AE0FA" w:rsidR="0003739F" w:rsidRDefault="00FF496A" w:rsidP="00E06D72">
      <w:pPr>
        <w:pStyle w:val="Paragraph"/>
      </w:pPr>
      <w:r>
        <w:t>In this paper</w:t>
      </w:r>
      <w:r w:rsidR="000668B4">
        <w:t>,</w:t>
      </w:r>
      <w:r>
        <w:t xml:space="preserve"> we identify </w:t>
      </w:r>
      <w:r w:rsidR="00A21468">
        <w:t>a preliminary view on a way forward</w:t>
      </w:r>
      <w:r w:rsidR="000668B4">
        <w:t>,</w:t>
      </w:r>
      <w:r w:rsidR="00427F34">
        <w:t xml:space="preserve"> along with several additional options</w:t>
      </w:r>
      <w:r w:rsidR="0003739F" w:rsidRPr="00C5371B">
        <w:t>.</w:t>
      </w:r>
      <w:r w:rsidR="00710BD4">
        <w:t xml:space="preserve"> </w:t>
      </w:r>
      <w:r w:rsidR="00710BD4" w:rsidRPr="00C5371B">
        <w:t xml:space="preserve">We are also taking the opportunity to look at </w:t>
      </w:r>
      <w:r w:rsidR="00F05BCC">
        <w:t xml:space="preserve">possible updates to </w:t>
      </w:r>
      <w:r w:rsidR="00710BD4" w:rsidRPr="00C5371B">
        <w:t xml:space="preserve">the </w:t>
      </w:r>
      <w:r w:rsidR="00710BD4">
        <w:t xml:space="preserve">existing arrangements for RLAN devices in </w:t>
      </w:r>
      <w:r w:rsidR="00F05BCC">
        <w:t xml:space="preserve">part of </w:t>
      </w:r>
      <w:r w:rsidR="00710BD4">
        <w:t xml:space="preserve">the </w:t>
      </w:r>
      <w:r w:rsidR="00710BD4" w:rsidRPr="00C5371B">
        <w:t>adjacent</w:t>
      </w:r>
      <w:r w:rsidR="00B35E19">
        <w:t xml:space="preserve"> 5</w:t>
      </w:r>
      <w:r w:rsidR="005E432C">
        <w:t> </w:t>
      </w:r>
      <w:r w:rsidR="00B35E19">
        <w:t xml:space="preserve">GHz </w:t>
      </w:r>
      <w:r w:rsidR="004600B3">
        <w:t>band</w:t>
      </w:r>
      <w:r w:rsidR="00102169">
        <w:t>, to potentially reflect updates to international regulations made at the International Telecommunication Union (ITU) World Radiocommunication Conference in 2019 (WRC-19)</w:t>
      </w:r>
      <w:r w:rsidR="00710BD4" w:rsidRPr="00C5371B">
        <w:t>.</w:t>
      </w:r>
    </w:p>
    <w:p w14:paraId="4FF3F52D" w14:textId="7F4CEDB3" w:rsidR="00A21468" w:rsidRDefault="00D10339" w:rsidP="006F6DB3">
      <w:pPr>
        <w:pStyle w:val="Paragraph"/>
      </w:pPr>
      <w:r w:rsidRPr="00C5371B">
        <w:t>Regulators in t</w:t>
      </w:r>
      <w:r w:rsidR="00FF064B" w:rsidRPr="00C5371B">
        <w:t>he US</w:t>
      </w:r>
      <w:r w:rsidRPr="00C5371B">
        <w:t xml:space="preserve"> and UK</w:t>
      </w:r>
      <w:r w:rsidR="00FF064B" w:rsidRPr="00C5371B">
        <w:t xml:space="preserve"> have recently made </w:t>
      </w:r>
      <w:r w:rsidRPr="00C5371B">
        <w:t>parts of the 6 GHz band available for unlicensed use in those countries</w:t>
      </w:r>
      <w:r w:rsidR="002A1423">
        <w:t xml:space="preserve"> under different </w:t>
      </w:r>
      <w:r w:rsidR="00102169">
        <w:t xml:space="preserve">technical and </w:t>
      </w:r>
      <w:r w:rsidR="002A1423">
        <w:t>regulatory arrangements</w:t>
      </w:r>
      <w:r w:rsidR="00486089" w:rsidRPr="00C5371B">
        <w:t xml:space="preserve">. </w:t>
      </w:r>
      <w:r w:rsidR="002A1423">
        <w:t xml:space="preserve">Changes to UK regulations have </w:t>
      </w:r>
      <w:r w:rsidR="002D3FDA" w:rsidRPr="00C5371B">
        <w:t xml:space="preserve">mostly </w:t>
      </w:r>
      <w:r w:rsidR="002A1423">
        <w:t xml:space="preserve">been </w:t>
      </w:r>
      <w:r w:rsidR="002D3FDA" w:rsidRPr="00C5371B">
        <w:t>based on studies</w:t>
      </w:r>
      <w:r w:rsidR="00815323" w:rsidRPr="00C5371B">
        <w:t xml:space="preserve"> and recommendations </w:t>
      </w:r>
      <w:r w:rsidR="001D34D7">
        <w:t>undertaken by</w:t>
      </w:r>
      <w:r w:rsidR="001D34D7" w:rsidRPr="00C5371B">
        <w:t xml:space="preserve"> </w:t>
      </w:r>
      <w:r w:rsidR="00F05BCC">
        <w:t xml:space="preserve">the </w:t>
      </w:r>
      <w:r w:rsidR="00E27E24">
        <w:t xml:space="preserve">European Conference of Postal and Telecommunications Administrations </w:t>
      </w:r>
      <w:r w:rsidR="00F05BCC">
        <w:t>(</w:t>
      </w:r>
      <w:r w:rsidR="00815323" w:rsidRPr="00C5371B">
        <w:t>CEPT</w:t>
      </w:r>
      <w:r w:rsidR="00EE268A">
        <w:t>)</w:t>
      </w:r>
      <w:r w:rsidR="00EE173F" w:rsidRPr="00C5371B">
        <w:t>.</w:t>
      </w:r>
      <w:r w:rsidR="00FF6161">
        <w:t xml:space="preserve"> </w:t>
      </w:r>
      <w:r w:rsidR="002A1423">
        <w:t xml:space="preserve">Other </w:t>
      </w:r>
      <w:r w:rsidR="00A24117">
        <w:t>countries</w:t>
      </w:r>
      <w:r w:rsidR="00EE173F" w:rsidRPr="00C5371B">
        <w:t xml:space="preserve"> have also announced intentions to make parts of the 6 GHz band available </w:t>
      </w:r>
      <w:r w:rsidR="006F6DB3" w:rsidRPr="00C5371B">
        <w:t xml:space="preserve">for </w:t>
      </w:r>
      <w:r w:rsidR="00A901C8">
        <w:t>RLAN/</w:t>
      </w:r>
      <w:r w:rsidR="004B2833">
        <w:t>w</w:t>
      </w:r>
      <w:r w:rsidR="006F6DB3" w:rsidRPr="00C5371B">
        <w:t>i-</w:t>
      </w:r>
      <w:r w:rsidR="004B2833">
        <w:t>f</w:t>
      </w:r>
      <w:r w:rsidR="006F6DB3" w:rsidRPr="00C5371B">
        <w:t>i</w:t>
      </w:r>
      <w:r w:rsidR="002A1423">
        <w:t xml:space="preserve">, including </w:t>
      </w:r>
      <w:r w:rsidR="00512299">
        <w:t xml:space="preserve">Canada, </w:t>
      </w:r>
      <w:r w:rsidR="002A1423">
        <w:t xml:space="preserve">Korea, </w:t>
      </w:r>
      <w:r w:rsidR="00512299">
        <w:t>Japan, Brazil, Chile, and Argentina.</w:t>
      </w:r>
      <w:r w:rsidR="00090A01">
        <w:t xml:space="preserve"> </w:t>
      </w:r>
    </w:p>
    <w:p w14:paraId="608519F0" w14:textId="526A3805" w:rsidR="006F6DB3" w:rsidRDefault="00512299" w:rsidP="006F6DB3">
      <w:pPr>
        <w:pStyle w:val="Paragraph"/>
      </w:pPr>
      <w:r>
        <w:t xml:space="preserve">Some countries have made or proposed </w:t>
      </w:r>
      <w:r w:rsidR="00090A01">
        <w:t xml:space="preserve">arrangements </w:t>
      </w:r>
      <w:r>
        <w:t>for</w:t>
      </w:r>
      <w:r w:rsidR="00090A01">
        <w:t xml:space="preserve"> the lower 500</w:t>
      </w:r>
      <w:r w:rsidR="00C663D1">
        <w:t> </w:t>
      </w:r>
      <w:r w:rsidR="00090A01">
        <w:t>MHz of the 6</w:t>
      </w:r>
      <w:r w:rsidR="00C663D1">
        <w:t> </w:t>
      </w:r>
      <w:r w:rsidR="00090A01">
        <w:t>GHz band</w:t>
      </w:r>
      <w:r w:rsidR="00A24117">
        <w:t xml:space="preserve"> (</w:t>
      </w:r>
      <w:r w:rsidR="00090A01">
        <w:t>5925</w:t>
      </w:r>
      <w:r w:rsidR="00442896">
        <w:t>–</w:t>
      </w:r>
      <w:r w:rsidR="00090A01">
        <w:t>6425</w:t>
      </w:r>
      <w:r w:rsidR="00A24117">
        <w:t> </w:t>
      </w:r>
      <w:r w:rsidR="00090A01">
        <w:t>MHz</w:t>
      </w:r>
      <w:r w:rsidR="00A24117">
        <w:t>)</w:t>
      </w:r>
      <w:r w:rsidR="00090A01">
        <w:t xml:space="preserve">, while </w:t>
      </w:r>
      <w:r>
        <w:t xml:space="preserve">others are looking at </w:t>
      </w:r>
      <w:r w:rsidR="00090A01">
        <w:t>the entire band.</w:t>
      </w:r>
      <w:r>
        <w:t xml:space="preserve"> </w:t>
      </w:r>
      <w:r w:rsidR="00442896">
        <w:t>Details of the arrangements</w:t>
      </w:r>
      <w:r w:rsidR="001635EE">
        <w:t>,</w:t>
      </w:r>
      <w:r w:rsidR="00442896">
        <w:t xml:space="preserve"> such as power limits and </w:t>
      </w:r>
      <w:r w:rsidR="001635EE">
        <w:t>additional restrictions to protect incumbent services, also vary between jurisdictions.</w:t>
      </w:r>
    </w:p>
    <w:p w14:paraId="7898A26F" w14:textId="339E562C" w:rsidR="00710BD4" w:rsidRPr="00C5371B" w:rsidDel="00E06D72" w:rsidRDefault="004B31E7" w:rsidP="00710BD4">
      <w:pPr>
        <w:pStyle w:val="Paragraph"/>
      </w:pPr>
      <w:r>
        <w:t>P</w:t>
      </w:r>
      <w:r w:rsidR="00710BD4" w:rsidRPr="00C5371B">
        <w:t>arts of the 6 GHz band</w:t>
      </w:r>
      <w:r>
        <w:t xml:space="preserve"> will also be considered</w:t>
      </w:r>
      <w:r w:rsidR="00710BD4" w:rsidRPr="00C5371B">
        <w:t xml:space="preserve"> </w:t>
      </w:r>
      <w:r w:rsidR="00710BD4">
        <w:t>for International Mobile Telecommunications (IMT, currently most readily associated with 5G) services</w:t>
      </w:r>
      <w:r w:rsidR="00710BD4" w:rsidRPr="00C5371B">
        <w:t xml:space="preserve"> </w:t>
      </w:r>
      <w:r w:rsidR="00710BD4">
        <w:t xml:space="preserve">in Region 1 </w:t>
      </w:r>
      <w:r w:rsidR="00102169">
        <w:t xml:space="preserve">as defined by the ITU </w:t>
      </w:r>
      <w:r w:rsidR="00710BD4">
        <w:t>(</w:t>
      </w:r>
      <w:r w:rsidR="00102169">
        <w:t xml:space="preserve">comprising </w:t>
      </w:r>
      <w:r w:rsidR="00710BD4">
        <w:t xml:space="preserve">Africa, Europe and the Russian Federation) </w:t>
      </w:r>
      <w:r>
        <w:t xml:space="preserve">by </w:t>
      </w:r>
      <w:r w:rsidR="00710BD4">
        <w:t xml:space="preserve">the next </w:t>
      </w:r>
      <w:r w:rsidR="00710BD4" w:rsidDel="00A13187">
        <w:t>WRC</w:t>
      </w:r>
      <w:r w:rsidR="00710BD4">
        <w:t xml:space="preserve"> in 2023 (</w:t>
      </w:r>
      <w:r w:rsidR="00710BD4" w:rsidRPr="00C5371B">
        <w:t>WRC-23</w:t>
      </w:r>
      <w:r w:rsidR="00710BD4">
        <w:t>)</w:t>
      </w:r>
      <w:r w:rsidR="00710BD4" w:rsidRPr="00C5371B">
        <w:t>.</w:t>
      </w:r>
      <w:r w:rsidR="00710BD4" w:rsidRPr="00296313">
        <w:t xml:space="preserve"> </w:t>
      </w:r>
    </w:p>
    <w:p w14:paraId="3F428935" w14:textId="68A7155A" w:rsidR="00710BD4" w:rsidRDefault="00D76339" w:rsidP="00951946">
      <w:pPr>
        <w:pStyle w:val="Paragraph"/>
      </w:pPr>
      <w:r>
        <w:t xml:space="preserve">As a starting point for discussion on the future of the 6 GHz band, </w:t>
      </w:r>
      <w:r w:rsidR="001931DF">
        <w:t>we</w:t>
      </w:r>
      <w:r w:rsidR="00102169">
        <w:t xml:space="preserve"> believe there is sufficient momentum internationally to</w:t>
      </w:r>
      <w:r>
        <w:t xml:space="preserve"> propose</w:t>
      </w:r>
      <w:r w:rsidR="00102169">
        <w:t xml:space="preserve"> that </w:t>
      </w:r>
      <w:r>
        <w:t>the lower 500 MHz (5925–</w:t>
      </w:r>
      <w:r w:rsidR="00787B4D">
        <w:t>642</w:t>
      </w:r>
      <w:r>
        <w:t xml:space="preserve">5 MHz) of the </w:t>
      </w:r>
      <w:r w:rsidR="003275FC">
        <w:t xml:space="preserve">6 GHz </w:t>
      </w:r>
      <w:r>
        <w:t xml:space="preserve">band </w:t>
      </w:r>
      <w:r w:rsidR="00102169">
        <w:t xml:space="preserve">be made </w:t>
      </w:r>
      <w:r>
        <w:t>available for RLAN use</w:t>
      </w:r>
      <w:r w:rsidR="000808AC">
        <w:t>. This would be done</w:t>
      </w:r>
      <w:r>
        <w:t xml:space="preserve"> </w:t>
      </w:r>
      <w:r w:rsidR="00102169">
        <w:t xml:space="preserve">through </w:t>
      </w:r>
      <w:r w:rsidR="000808AC">
        <w:t xml:space="preserve">a variation to </w:t>
      </w:r>
      <w:r w:rsidR="00102169">
        <w:t xml:space="preserve">the </w:t>
      </w:r>
      <w:hyperlink r:id="rId25" w:history="1">
        <w:r w:rsidR="000808AC" w:rsidRPr="00D22FD4">
          <w:rPr>
            <w:rStyle w:val="Hyperlink"/>
          </w:rPr>
          <w:t>Radiocommunications (</w:t>
        </w:r>
        <w:r w:rsidR="00102169" w:rsidRPr="00D22FD4">
          <w:rPr>
            <w:rStyle w:val="Hyperlink"/>
          </w:rPr>
          <w:t>Low Interference Potential Devices</w:t>
        </w:r>
        <w:r w:rsidR="000808AC" w:rsidRPr="00D22FD4">
          <w:rPr>
            <w:rStyle w:val="Hyperlink"/>
          </w:rPr>
          <w:t>)</w:t>
        </w:r>
        <w:r w:rsidR="00102169" w:rsidRPr="00D22FD4">
          <w:rPr>
            <w:rStyle w:val="Hyperlink"/>
          </w:rPr>
          <w:t xml:space="preserve"> </w:t>
        </w:r>
        <w:r w:rsidR="000808AC" w:rsidRPr="00D22FD4">
          <w:rPr>
            <w:rStyle w:val="Hyperlink"/>
          </w:rPr>
          <w:t>Class Licence 2015</w:t>
        </w:r>
      </w:hyperlink>
      <w:r w:rsidR="000808AC">
        <w:t xml:space="preserve"> </w:t>
      </w:r>
      <w:r w:rsidR="00102169">
        <w:t>(LIPD class licence</w:t>
      </w:r>
      <w:r w:rsidR="000808AC">
        <w:t>) to</w:t>
      </w:r>
      <w:r w:rsidR="00102169">
        <w:t xml:space="preserve"> authorise operation of </w:t>
      </w:r>
      <w:r>
        <w:t xml:space="preserve">devices </w:t>
      </w:r>
      <w:r w:rsidR="000808AC">
        <w:t xml:space="preserve">operated </w:t>
      </w:r>
      <w:r w:rsidR="00102169">
        <w:t>either</w:t>
      </w:r>
      <w:r>
        <w:t xml:space="preserve"> </w:t>
      </w:r>
      <w:r w:rsidR="00D854D2">
        <w:t xml:space="preserve">indoors </w:t>
      </w:r>
      <w:r>
        <w:t xml:space="preserve">at </w:t>
      </w:r>
      <w:r w:rsidR="00D854D2">
        <w:t xml:space="preserve">a </w:t>
      </w:r>
      <w:r w:rsidR="00102169">
        <w:t>‘</w:t>
      </w:r>
      <w:r w:rsidR="00D854D2">
        <w:t>low power</w:t>
      </w:r>
      <w:r w:rsidR="00102169">
        <w:t>’</w:t>
      </w:r>
      <w:r w:rsidR="00D854D2">
        <w:t xml:space="preserve"> limit</w:t>
      </w:r>
      <w:r w:rsidR="001931DF">
        <w:t xml:space="preserve"> of</w:t>
      </w:r>
      <w:r w:rsidR="00EC6BBB">
        <w:t xml:space="preserve"> 24 dBm and 11 dBm/MHz</w:t>
      </w:r>
      <w:r w:rsidR="00102169">
        <w:t>,</w:t>
      </w:r>
      <w:r w:rsidR="00D854D2">
        <w:t xml:space="preserve"> or </w:t>
      </w:r>
      <w:r w:rsidR="00102169">
        <w:t xml:space="preserve">in any location </w:t>
      </w:r>
      <w:r w:rsidR="00D854D2">
        <w:t>at a lower limit (</w:t>
      </w:r>
      <w:r>
        <w:t>‘very low power’</w:t>
      </w:r>
      <w:r w:rsidR="00D854D2">
        <w:t>)</w:t>
      </w:r>
      <w:r>
        <w:t xml:space="preserve"> </w:t>
      </w:r>
      <w:r w:rsidR="00102169">
        <w:t>of</w:t>
      </w:r>
      <w:r w:rsidR="00EC6BBB">
        <w:t xml:space="preserve"> 14 dBm and 1 dBm/MHz</w:t>
      </w:r>
      <w:r>
        <w:t>.</w:t>
      </w:r>
      <w:r w:rsidR="000E6426">
        <w:t xml:space="preserve"> It is not proposed that access be limited to RLANs – other devices that meet these technical conditions, such as ‘unlicensed’ variants of 4G and 5G technologies, would also be enabled under these amendments to the LIPD class licence.</w:t>
      </w:r>
    </w:p>
    <w:p w14:paraId="5AF741A9" w14:textId="452FE62B" w:rsidR="00F05BCC" w:rsidRDefault="00F05BCC" w:rsidP="00951946">
      <w:pPr>
        <w:pStyle w:val="Paragraph"/>
      </w:pPr>
      <w:r>
        <w:rPr>
          <w:rStyle w:val="CommentReference"/>
          <w:rFonts w:cs="Times New Roman"/>
          <w:sz w:val="20"/>
          <w:szCs w:val="20"/>
        </w:rPr>
        <w:t>In the 5 GHz band,</w:t>
      </w:r>
      <w:r w:rsidR="00FF496A">
        <w:rPr>
          <w:rStyle w:val="CommentReference"/>
          <w:rFonts w:cs="Times New Roman"/>
          <w:sz w:val="20"/>
          <w:szCs w:val="20"/>
        </w:rPr>
        <w:t xml:space="preserve"> </w:t>
      </w:r>
      <w:r w:rsidR="001931DF">
        <w:rPr>
          <w:rStyle w:val="CommentReference"/>
          <w:rFonts w:cs="Times New Roman"/>
          <w:sz w:val="20"/>
          <w:szCs w:val="20"/>
        </w:rPr>
        <w:t xml:space="preserve">it was </w:t>
      </w:r>
      <w:r w:rsidR="0003593B">
        <w:rPr>
          <w:rStyle w:val="CommentReference"/>
          <w:rFonts w:cs="Times New Roman"/>
          <w:sz w:val="20"/>
          <w:szCs w:val="20"/>
        </w:rPr>
        <w:t xml:space="preserve">agreed </w:t>
      </w:r>
      <w:r w:rsidR="001931DF">
        <w:rPr>
          <w:rStyle w:val="CommentReference"/>
          <w:rFonts w:cs="Times New Roman"/>
          <w:sz w:val="20"/>
          <w:szCs w:val="20"/>
        </w:rPr>
        <w:t xml:space="preserve">at WRC-19 </w:t>
      </w:r>
      <w:r w:rsidR="0003593B">
        <w:rPr>
          <w:rStyle w:val="CommentReference"/>
          <w:rFonts w:cs="Times New Roman"/>
          <w:sz w:val="20"/>
          <w:szCs w:val="20"/>
        </w:rPr>
        <w:t>to update</w:t>
      </w:r>
      <w:r>
        <w:rPr>
          <w:rStyle w:val="CommentReference"/>
          <w:rFonts w:cs="Times New Roman"/>
          <w:sz w:val="20"/>
          <w:szCs w:val="20"/>
        </w:rPr>
        <w:t xml:space="preserve"> i</w:t>
      </w:r>
      <w:r w:rsidRPr="00C5371B">
        <w:t xml:space="preserve">nternational </w:t>
      </w:r>
      <w:r>
        <w:t xml:space="preserve">regulatory </w:t>
      </w:r>
      <w:r w:rsidRPr="00C5371B">
        <w:t xml:space="preserve">arrangements </w:t>
      </w:r>
      <w:r>
        <w:t>in the 5150–5250 MHz range and we are considering whether to mirror some or all those updates in Australian arrangements.</w:t>
      </w:r>
    </w:p>
    <w:p w14:paraId="6A04E442" w14:textId="38720183" w:rsidR="00710BD4" w:rsidRDefault="0003593B" w:rsidP="009A021C">
      <w:pPr>
        <w:pStyle w:val="Paragraph"/>
      </w:pPr>
      <w:r w:rsidRPr="00C5371B">
        <w:lastRenderedPageBreak/>
        <w:t xml:space="preserve">This paper presents a summary of current arrangements, proposals and studies </w:t>
      </w:r>
      <w:r>
        <w:t>undertaken for</w:t>
      </w:r>
      <w:r w:rsidRPr="00C5371B">
        <w:t xml:space="preserve"> both bands, both in Australia and internationally</w:t>
      </w:r>
      <w:r>
        <w:t>. It also</w:t>
      </w:r>
      <w:r w:rsidR="00D76339">
        <w:t xml:space="preserve"> seeks industry views on th</w:t>
      </w:r>
      <w:r w:rsidR="00D854D2">
        <w:t>e</w:t>
      </w:r>
      <w:r w:rsidR="00D76339">
        <w:t xml:space="preserve"> initial proposal</w:t>
      </w:r>
      <w:r w:rsidR="00D854D2">
        <w:t xml:space="preserve"> for the 6 GHz band</w:t>
      </w:r>
      <w:r w:rsidR="00D76339">
        <w:t xml:space="preserve">, and </w:t>
      </w:r>
      <w:r>
        <w:t xml:space="preserve">if there is any </w:t>
      </w:r>
      <w:r w:rsidR="00787B4D">
        <w:t xml:space="preserve">interest in making </w:t>
      </w:r>
      <w:r w:rsidR="000808AC">
        <w:t>further changes</w:t>
      </w:r>
      <w:r w:rsidR="00787B4D">
        <w:t xml:space="preserve"> – either </w:t>
      </w:r>
      <w:r>
        <w:t xml:space="preserve">additional </w:t>
      </w:r>
      <w:r w:rsidR="00787B4D">
        <w:t>spectrum, or additional operating modes (such as higher</w:t>
      </w:r>
      <w:r w:rsidR="003D2BC5">
        <w:t xml:space="preserve"> </w:t>
      </w:r>
      <w:r w:rsidR="00787B4D">
        <w:t xml:space="preserve">power devices). </w:t>
      </w:r>
      <w:r w:rsidR="001931DF">
        <w:t xml:space="preserve">We </w:t>
      </w:r>
      <w:r w:rsidR="00787B4D">
        <w:t>also seek views on whether</w:t>
      </w:r>
      <w:r w:rsidR="00F05BCC">
        <w:t xml:space="preserve"> the</w:t>
      </w:r>
      <w:r w:rsidR="00787B4D">
        <w:t xml:space="preserve"> recent</w:t>
      </w:r>
      <w:r w:rsidR="00F05BCC">
        <w:t xml:space="preserve"> </w:t>
      </w:r>
      <w:r w:rsidR="00787B4D">
        <w:t>updates to the ITU Radio Regulations in the 5 GHz band should be reflected in Australian arrangements, or if there are other updates that could be made to current class licen</w:t>
      </w:r>
      <w:r w:rsidR="004600B3">
        <w:t>c</w:t>
      </w:r>
      <w:r w:rsidR="00787B4D">
        <w:t>e</w:t>
      </w:r>
      <w:r w:rsidR="001635EE">
        <w:t xml:space="preserve"> arrangements for RLAN</w:t>
      </w:r>
      <w:r w:rsidR="00787B4D">
        <w:t xml:space="preserve"> use </w:t>
      </w:r>
      <w:r w:rsidR="001635EE">
        <w:t>in</w:t>
      </w:r>
      <w:r w:rsidR="00787B4D">
        <w:t xml:space="preserve"> this band.</w:t>
      </w:r>
    </w:p>
    <w:p w14:paraId="2AADA565" w14:textId="7218A58A" w:rsidR="00715722" w:rsidRDefault="00715722" w:rsidP="00715722">
      <w:pPr>
        <w:pStyle w:val="Heading1"/>
      </w:pPr>
      <w:bookmarkStart w:id="0" w:name="_Toc433122125"/>
      <w:bookmarkStart w:id="1" w:name="_Toc68612220"/>
      <w:r>
        <w:lastRenderedPageBreak/>
        <w:t>Issue</w:t>
      </w:r>
      <w:r w:rsidRPr="00996083">
        <w:t>s</w:t>
      </w:r>
      <w:r>
        <w:t xml:space="preserve"> for comment</w:t>
      </w:r>
      <w:bookmarkEnd w:id="0"/>
      <w:bookmarkEnd w:id="1"/>
    </w:p>
    <w:p w14:paraId="73AFF180" w14:textId="6923841C" w:rsidR="004B296D" w:rsidRDefault="001931DF" w:rsidP="009F1936">
      <w:pPr>
        <w:pStyle w:val="Numberlistlevel1"/>
        <w:numPr>
          <w:ilvl w:val="0"/>
          <w:numId w:val="0"/>
        </w:numPr>
      </w:pPr>
      <w:r>
        <w:t xml:space="preserve">We </w:t>
      </w:r>
      <w:r w:rsidR="00715722">
        <w:t>welcome comment</w:t>
      </w:r>
      <w:r w:rsidR="002F2B7A">
        <w:t xml:space="preserve">s – general or specific – </w:t>
      </w:r>
      <w:r w:rsidR="00715722">
        <w:t xml:space="preserve">from interested stakeholders on </w:t>
      </w:r>
      <w:r w:rsidR="005614A9">
        <w:t xml:space="preserve">any of </w:t>
      </w:r>
      <w:r w:rsidR="00715722">
        <w:t xml:space="preserve">the issues raised in this </w:t>
      </w:r>
      <w:r w:rsidR="00E06D72">
        <w:t>paper</w:t>
      </w:r>
      <w:r w:rsidR="00996083">
        <w:t>.</w:t>
      </w:r>
      <w:r w:rsidR="00683BBC">
        <w:t xml:space="preserve"> </w:t>
      </w:r>
      <w:r>
        <w:t>We s</w:t>
      </w:r>
      <w:r w:rsidR="00F042AD">
        <w:t>pecifically</w:t>
      </w:r>
      <w:r>
        <w:t xml:space="preserve"> </w:t>
      </w:r>
      <w:r w:rsidR="004B296D" w:rsidRPr="00190673">
        <w:t>invite comments on:</w:t>
      </w:r>
    </w:p>
    <w:p w14:paraId="2DEDB5EC" w14:textId="77777777" w:rsidR="005E432C" w:rsidRDefault="005E432C" w:rsidP="004B296D">
      <w:pPr>
        <w:pStyle w:val="Numberlistlevel1"/>
      </w:pPr>
      <w:r>
        <w:t>What is the demand for spectrum for RLAN use in the 6 GHz band (5925–7125 MHz)?</w:t>
      </w:r>
    </w:p>
    <w:p w14:paraId="30CCF310" w14:textId="485DF80C" w:rsidR="0046460A" w:rsidRDefault="005E432C" w:rsidP="004B296D">
      <w:pPr>
        <w:pStyle w:val="Numberlistlevel1"/>
      </w:pPr>
      <w:r>
        <w:t>Should the ACMA proceed, as proposed, to consult on a formal variation to the LIPD class licence that adds the frequency range 5925–6425 MHz for RLAN use, bounded by the parameters described in the ACMA’s preliminary view section of this paper?</w:t>
      </w:r>
    </w:p>
    <w:p w14:paraId="23E191D4" w14:textId="115BA9C0" w:rsidR="0046460A" w:rsidRDefault="0046460A" w:rsidP="0046460A">
      <w:pPr>
        <w:pStyle w:val="Numberlistlevel1"/>
      </w:pPr>
      <w:r>
        <w:t>If class</w:t>
      </w:r>
      <w:r w:rsidR="00E44518">
        <w:t xml:space="preserve"> </w:t>
      </w:r>
      <w:r>
        <w:t xml:space="preserve">licensing </w:t>
      </w:r>
      <w:r w:rsidR="00902A3C">
        <w:t>arrangements are</w:t>
      </w:r>
      <w:r>
        <w:t xml:space="preserve"> to be made in the lower 6 GHz band (</w:t>
      </w:r>
      <w:r w:rsidR="00FF496A">
        <w:t>by variation to the LIPD class licence</w:t>
      </w:r>
      <w:r>
        <w:t>)</w:t>
      </w:r>
      <w:r w:rsidR="001931DF">
        <w:t>,</w:t>
      </w:r>
      <w:r>
        <w:t xml:space="preserve"> should alternative</w:t>
      </w:r>
      <w:r w:rsidR="00F62428">
        <w:t xml:space="preserve">/additional </w:t>
      </w:r>
      <w:r>
        <w:t xml:space="preserve">power limits and/or other conditions be considered? </w:t>
      </w:r>
    </w:p>
    <w:p w14:paraId="18C132B4" w14:textId="3F48209B" w:rsidR="0046460A" w:rsidRDefault="0046460A" w:rsidP="0046460A">
      <w:pPr>
        <w:pStyle w:val="Numberlistlevel1"/>
      </w:pPr>
      <w:r>
        <w:t xml:space="preserve">Is it appropriate to consider inclusion of the upper 6 GHz band (6425–7125 MHz) in the LIPD class licence or should this be deferred to monitor future developments (for example, in the wide-area </w:t>
      </w:r>
      <w:r w:rsidR="002D7BF6">
        <w:t>International Mobile Telecommunications (</w:t>
      </w:r>
      <w:r>
        <w:t>IMT</w:t>
      </w:r>
      <w:r w:rsidR="002D7BF6">
        <w:t>)</w:t>
      </w:r>
      <w:r>
        <w:t xml:space="preserve"> space) as outlined in the ACMA’s preliminary view?</w:t>
      </w:r>
      <w:r w:rsidR="00BA5530">
        <w:t xml:space="preserve">  </w:t>
      </w:r>
      <w:r w:rsidR="001931DF">
        <w:t xml:space="preserve">We </w:t>
      </w:r>
      <w:r w:rsidR="00BA5530">
        <w:t>invite comments from submitters on the utility of the band for IMT use.</w:t>
      </w:r>
    </w:p>
    <w:p w14:paraId="3F8F2A41" w14:textId="1C3BE77B" w:rsidR="0046460A" w:rsidRDefault="00E44518" w:rsidP="00CD084F">
      <w:pPr>
        <w:pStyle w:val="ListNumber"/>
      </w:pPr>
      <w:r>
        <w:t xml:space="preserve">Should </w:t>
      </w:r>
      <w:r w:rsidR="0046460A">
        <w:t>standard power (</w:t>
      </w:r>
      <w:r w:rsidR="001931DF">
        <w:t>that is,</w:t>
      </w:r>
      <w:r w:rsidR="0046460A">
        <w:t xml:space="preserve"> higher</w:t>
      </w:r>
      <w:r w:rsidR="003D2BC5">
        <w:t xml:space="preserve"> </w:t>
      </w:r>
      <w:r w:rsidR="0046460A">
        <w:t>power devices</w:t>
      </w:r>
      <w:r w:rsidR="001931DF">
        <w:t>,</w:t>
      </w:r>
      <w:r w:rsidR="0046460A">
        <w:t xml:space="preserve"> including </w:t>
      </w:r>
      <w:r w:rsidR="00F62428">
        <w:t>for</w:t>
      </w:r>
      <w:r>
        <w:t xml:space="preserve"> outdoor</w:t>
      </w:r>
      <w:r w:rsidR="00F62428">
        <w:t xml:space="preserve"> use</w:t>
      </w:r>
      <w:r w:rsidR="0046460A">
        <w:t xml:space="preserve">) operating under a </w:t>
      </w:r>
      <w:r w:rsidR="00030806">
        <w:t>dynamic spectrum access</w:t>
      </w:r>
      <w:r w:rsidR="0046460A">
        <w:t xml:space="preserve"> system such as the </w:t>
      </w:r>
      <w:r w:rsidR="00581A17">
        <w:t>automatic frequency coordination (</w:t>
      </w:r>
      <w:r w:rsidR="00030806">
        <w:t>AFC</w:t>
      </w:r>
      <w:r w:rsidR="00581A17">
        <w:t>)</w:t>
      </w:r>
      <w:r w:rsidR="0046460A">
        <w:t xml:space="preserve"> system adopted in the USA</w:t>
      </w:r>
      <w:r w:rsidR="001931DF">
        <w:t>,</w:t>
      </w:r>
      <w:r>
        <w:t xml:space="preserve"> be adopted in Australia for some or all of the 6 GHz band? Is there an appetite and capability for industry to provide the necessary systems to enable such use?</w:t>
      </w:r>
      <w:r w:rsidR="00BA5530">
        <w:t xml:space="preserve"> </w:t>
      </w:r>
      <w:r w:rsidR="001931DF">
        <w:t>We</w:t>
      </w:r>
      <w:r w:rsidR="00BA5530">
        <w:t xml:space="preserve"> welcome views and evidence on the commercial and technical feasibility of introducing AFC systems in the band.</w:t>
      </w:r>
    </w:p>
    <w:p w14:paraId="213EB86A" w14:textId="412C09F0" w:rsidR="00BD1E7A" w:rsidRDefault="00D15A7C" w:rsidP="00D15A7C">
      <w:pPr>
        <w:pStyle w:val="Numberlistlevel1"/>
      </w:pPr>
      <w:r>
        <w:t xml:space="preserve">Should </w:t>
      </w:r>
      <w:r w:rsidR="00683BBC">
        <w:t xml:space="preserve">the </w:t>
      </w:r>
      <w:r>
        <w:t>higher</w:t>
      </w:r>
      <w:r w:rsidR="003D2BC5">
        <w:t xml:space="preserve"> </w:t>
      </w:r>
      <w:r>
        <w:t xml:space="preserve">power regulatory arrangements and associated interference mitigation measures added to the </w:t>
      </w:r>
      <w:r w:rsidR="007E0320">
        <w:t>International Telecommunication Union (</w:t>
      </w:r>
      <w:r>
        <w:t>ITU</w:t>
      </w:r>
      <w:r w:rsidR="007E0320">
        <w:t>)</w:t>
      </w:r>
      <w:r>
        <w:t xml:space="preserve"> Radio Regulations at WRC-19 (see </w:t>
      </w:r>
      <w:hyperlink r:id="rId26" w:history="1">
        <w:r w:rsidRPr="005E432C">
          <w:rPr>
            <w:rStyle w:val="Hyperlink"/>
            <w:i/>
            <w:iCs/>
          </w:rPr>
          <w:t>Resolution 229 (Rev WRC-19)</w:t>
        </w:r>
      </w:hyperlink>
      <w:r>
        <w:t>) in the 5</w:t>
      </w:r>
      <w:r w:rsidR="00C663D1">
        <w:t> </w:t>
      </w:r>
      <w:r>
        <w:t>GHz band be included in an</w:t>
      </w:r>
      <w:r w:rsidR="000808AC">
        <w:t>y</w:t>
      </w:r>
      <w:r>
        <w:t xml:space="preserve"> </w:t>
      </w:r>
      <w:r w:rsidR="000808AC">
        <w:t>amendment</w:t>
      </w:r>
      <w:r>
        <w:t xml:space="preserve"> to the LIPD class licence?</w:t>
      </w:r>
    </w:p>
    <w:p w14:paraId="66198B34" w14:textId="01520F35" w:rsidR="000B4664" w:rsidRDefault="004529B6" w:rsidP="000B4664">
      <w:pPr>
        <w:pStyle w:val="Heading1"/>
      </w:pPr>
      <w:bookmarkStart w:id="2" w:name="_Toc68612221"/>
      <w:r>
        <w:lastRenderedPageBreak/>
        <w:t>Introduction</w:t>
      </w:r>
      <w:bookmarkEnd w:id="2"/>
    </w:p>
    <w:p w14:paraId="7A2DE720" w14:textId="2BE1C203" w:rsidR="00300E27" w:rsidRDefault="003C2FBC" w:rsidP="001C722F">
      <w:r>
        <w:t xml:space="preserve">Over the last </w:t>
      </w:r>
      <w:r w:rsidR="00AC49E2">
        <w:t xml:space="preserve">12 months, </w:t>
      </w:r>
      <w:r w:rsidR="00D83036">
        <w:t>spectrum</w:t>
      </w:r>
      <w:r>
        <w:t xml:space="preserve"> </w:t>
      </w:r>
      <w:r w:rsidR="00030806">
        <w:t xml:space="preserve">in the 6 GHz band (5925–7125 MHz) </w:t>
      </w:r>
      <w:r>
        <w:t>has</w:t>
      </w:r>
      <w:r w:rsidR="00D83036">
        <w:t xml:space="preserve"> </w:t>
      </w:r>
      <w:r w:rsidR="00EF5C0E">
        <w:t xml:space="preserve">been </w:t>
      </w:r>
      <w:r w:rsidR="006405AE">
        <w:t xml:space="preserve">made </w:t>
      </w:r>
      <w:r w:rsidR="00D83036">
        <w:t xml:space="preserve">available </w:t>
      </w:r>
      <w:r w:rsidR="00C32C9B">
        <w:t xml:space="preserve">in </w:t>
      </w:r>
      <w:r w:rsidR="00300E27">
        <w:t xml:space="preserve">numerous </w:t>
      </w:r>
      <w:r w:rsidR="00C32C9B">
        <w:t xml:space="preserve">countries for </w:t>
      </w:r>
      <w:r w:rsidR="00B77495">
        <w:t>radio local area network</w:t>
      </w:r>
      <w:r w:rsidR="00B77495" w:rsidRPr="00C5371B">
        <w:t xml:space="preserve"> </w:t>
      </w:r>
      <w:r w:rsidR="00B77495">
        <w:t>(</w:t>
      </w:r>
      <w:r w:rsidR="00B77495" w:rsidRPr="00C5371B">
        <w:t>RLAN</w:t>
      </w:r>
      <w:r w:rsidR="00B77495">
        <w:t>)</w:t>
      </w:r>
      <w:r w:rsidR="00B77495" w:rsidRPr="00C5371B">
        <w:t xml:space="preserve"> </w:t>
      </w:r>
      <w:r w:rsidR="00C32C9B">
        <w:t>deployment</w:t>
      </w:r>
      <w:r w:rsidR="00300E27">
        <w:t>s under licence</w:t>
      </w:r>
      <w:r w:rsidR="00E40494">
        <w:t>-</w:t>
      </w:r>
      <w:r w:rsidR="00300E27">
        <w:t xml:space="preserve">exempt or unlicensed </w:t>
      </w:r>
      <w:r w:rsidR="00030806">
        <w:t xml:space="preserve">arrangements – that is, arrangements </w:t>
      </w:r>
      <w:r w:rsidR="00300E27">
        <w:t>broadly equivalent to Australian class licensin</w:t>
      </w:r>
      <w:r w:rsidR="00030806">
        <w:t>g</w:t>
      </w:r>
      <w:r w:rsidR="00AC49E2">
        <w:t>.</w:t>
      </w:r>
    </w:p>
    <w:p w14:paraId="005BDF9B" w14:textId="553764FA" w:rsidR="00FD5E7C" w:rsidRDefault="00AC49E2" w:rsidP="001C722F">
      <w:r>
        <w:t>P</w:t>
      </w:r>
      <w:r w:rsidR="005B041F">
        <w:t xml:space="preserve">arts of the </w:t>
      </w:r>
      <w:r w:rsidR="00300E27">
        <w:t xml:space="preserve">6 GHz </w:t>
      </w:r>
      <w:r w:rsidR="005B041F">
        <w:t xml:space="preserve">band are </w:t>
      </w:r>
      <w:r>
        <w:t xml:space="preserve">also </w:t>
      </w:r>
      <w:r w:rsidR="00707A96">
        <w:t xml:space="preserve">currently </w:t>
      </w:r>
      <w:r w:rsidR="005B041F">
        <w:t xml:space="preserve">under </w:t>
      </w:r>
      <w:r w:rsidR="00744CD8">
        <w:t xml:space="preserve">consideration as part of the </w:t>
      </w:r>
      <w:r w:rsidR="000904AE">
        <w:t xml:space="preserve">study cycle </w:t>
      </w:r>
      <w:r w:rsidR="00707A96">
        <w:t xml:space="preserve">for the </w:t>
      </w:r>
      <w:r w:rsidR="00744CD8">
        <w:t xml:space="preserve">World Radiocommunications Conference </w:t>
      </w:r>
      <w:r w:rsidR="00707A96">
        <w:t xml:space="preserve">in 2023 </w:t>
      </w:r>
      <w:r w:rsidR="00744CD8">
        <w:t xml:space="preserve">(WRC-23). </w:t>
      </w:r>
    </w:p>
    <w:p w14:paraId="2D7ED0C1" w14:textId="4310F4F1" w:rsidR="00FD5E7C" w:rsidRDefault="00FD5E7C" w:rsidP="00FD5E7C">
      <w:pPr>
        <w:pStyle w:val="Paragraph"/>
      </w:pPr>
      <w:r>
        <w:t xml:space="preserve">In </w:t>
      </w:r>
      <w:r w:rsidR="004703ED">
        <w:t xml:space="preserve">the </w:t>
      </w:r>
      <w:r w:rsidR="00973018">
        <w:t xml:space="preserve">response to submissions on </w:t>
      </w:r>
      <w:r w:rsidR="001931DF">
        <w:t xml:space="preserve">our </w:t>
      </w:r>
      <w:r>
        <w:t xml:space="preserve">draft </w:t>
      </w:r>
      <w:r w:rsidRPr="000808AC">
        <w:rPr>
          <w:u w:color="0000FF"/>
        </w:rPr>
        <w:t xml:space="preserve">2020-24 </w:t>
      </w:r>
      <w:r w:rsidR="000808AC">
        <w:rPr>
          <w:u w:color="0000FF"/>
        </w:rPr>
        <w:t>FYSO work program</w:t>
      </w:r>
      <w:r w:rsidR="00973018">
        <w:t xml:space="preserve">, </w:t>
      </w:r>
      <w:r w:rsidR="001931DF">
        <w:t xml:space="preserve">we </w:t>
      </w:r>
      <w:r w:rsidR="00973018">
        <w:t xml:space="preserve">progressed the 6 GHz band from the ‘monitoring’ stage to ‘initial investigation’ – this paper signals the commencement of those investigations. Submissions drew attention to </w:t>
      </w:r>
      <w:r>
        <w:t xml:space="preserve">the potential expanded use of the 6 GHz band, </w:t>
      </w:r>
      <w:r w:rsidR="00973018">
        <w:t xml:space="preserve">and </w:t>
      </w:r>
      <w:r>
        <w:t>dynamic spectrum access (DSA) arrangements being implemented in the US.</w:t>
      </w:r>
    </w:p>
    <w:p w14:paraId="279CD685" w14:textId="296601F1" w:rsidR="002E2455" w:rsidRDefault="0030271D" w:rsidP="0034639B">
      <w:r>
        <w:t>While t</w:t>
      </w:r>
      <w:r w:rsidR="00791F79">
        <w:t xml:space="preserve">he 6 GHz band is </w:t>
      </w:r>
      <w:r>
        <w:t xml:space="preserve">currently receiving </w:t>
      </w:r>
      <w:r w:rsidR="00791F79">
        <w:t>mo</w:t>
      </w:r>
      <w:r>
        <w:t>re</w:t>
      </w:r>
      <w:r w:rsidR="00791F79">
        <w:t xml:space="preserve"> </w:t>
      </w:r>
      <w:r w:rsidR="00F16E4C">
        <w:t>attention</w:t>
      </w:r>
      <w:r w:rsidR="00E06D72">
        <w:t xml:space="preserve"> internationally</w:t>
      </w:r>
      <w:r w:rsidR="00F411C6">
        <w:t>, we are also taking th</w:t>
      </w:r>
      <w:r>
        <w:t>is</w:t>
      </w:r>
      <w:r w:rsidR="00F411C6">
        <w:t xml:space="preserve"> opportunity to look at </w:t>
      </w:r>
      <w:r w:rsidR="00F62428">
        <w:t>relevant</w:t>
      </w:r>
      <w:r w:rsidR="00F411C6">
        <w:t xml:space="preserve"> </w:t>
      </w:r>
      <w:r w:rsidR="002677F4">
        <w:t xml:space="preserve">parts of the neighbouring </w:t>
      </w:r>
      <w:r w:rsidR="00F411C6">
        <w:t>5 GHz band</w:t>
      </w:r>
      <w:r w:rsidR="00F62428">
        <w:t xml:space="preserve">. We </w:t>
      </w:r>
      <w:r w:rsidR="00973018">
        <w:t>consider</w:t>
      </w:r>
      <w:r w:rsidR="00F62428">
        <w:t xml:space="preserve"> this is </w:t>
      </w:r>
      <w:r w:rsidR="00973018">
        <w:t xml:space="preserve">timely, noting </w:t>
      </w:r>
      <w:r w:rsidR="00F62428">
        <w:t xml:space="preserve">that the band </w:t>
      </w:r>
      <w:r w:rsidR="00C3700C">
        <w:t>already has limited class</w:t>
      </w:r>
      <w:r w:rsidR="00B77495">
        <w:t>-</w:t>
      </w:r>
      <w:r w:rsidR="00C3700C">
        <w:t xml:space="preserve">licensed </w:t>
      </w:r>
      <w:r w:rsidR="00C3700C" w:rsidRPr="00851E56">
        <w:t>RLAN</w:t>
      </w:r>
      <w:r w:rsidR="00C3700C">
        <w:t xml:space="preserve"> devices as one of its main uses,</w:t>
      </w:r>
      <w:r w:rsidR="00F62428">
        <w:t xml:space="preserve"> and</w:t>
      </w:r>
      <w:r w:rsidR="00C3700C">
        <w:t xml:space="preserve"> was considered in detail by WRC-19</w:t>
      </w:r>
      <w:r w:rsidR="00B77495">
        <w:t>,</w:t>
      </w:r>
      <w:r w:rsidR="00C3700C">
        <w:t xml:space="preserve"> </w:t>
      </w:r>
      <w:r w:rsidR="00F62428">
        <w:t xml:space="preserve">which made updates to the </w:t>
      </w:r>
      <w:r w:rsidR="00EA0D1B">
        <w:t xml:space="preserve">ITU </w:t>
      </w:r>
      <w:r w:rsidR="00F62428">
        <w:t>Radio Regulations in</w:t>
      </w:r>
      <w:r w:rsidR="00C3700C">
        <w:t xml:space="preserve"> the 5150–5250 MHz range</w:t>
      </w:r>
      <w:r w:rsidR="00F62428">
        <w:t xml:space="preserve"> </w:t>
      </w:r>
      <w:r w:rsidR="00B77495">
        <w:t xml:space="preserve">that </w:t>
      </w:r>
      <w:r w:rsidR="00973018">
        <w:t>are yet to be</w:t>
      </w:r>
      <w:r w:rsidR="006C3A23">
        <w:t xml:space="preserve"> </w:t>
      </w:r>
      <w:r w:rsidR="00C3700C">
        <w:t>implemented in Australian regulations.</w:t>
      </w:r>
    </w:p>
    <w:p w14:paraId="6827CE3F" w14:textId="5944DE46" w:rsidR="005D7E22" w:rsidRDefault="00030806" w:rsidP="0034639B">
      <w:r>
        <w:t>T</w:t>
      </w:r>
      <w:r w:rsidR="002E2455">
        <w:t xml:space="preserve">he ubiquitous, uncoordinated nature of RLAN systems makes them most conducive </w:t>
      </w:r>
      <w:r w:rsidR="00B77495">
        <w:t xml:space="preserve">for </w:t>
      </w:r>
      <w:r w:rsidR="002E2455">
        <w:t>operation under class</w:t>
      </w:r>
      <w:r w:rsidR="00B77495">
        <w:t xml:space="preserve"> </w:t>
      </w:r>
      <w:r w:rsidR="002E2455">
        <w:t>licensing. W</w:t>
      </w:r>
      <w:r w:rsidR="00BC565B">
        <w:t xml:space="preserve">e are </w:t>
      </w:r>
      <w:r w:rsidR="002E2455">
        <w:t xml:space="preserve">therefore </w:t>
      </w:r>
      <w:r w:rsidR="00B04A08">
        <w:t>focusing on the arrangements</w:t>
      </w:r>
      <w:r w:rsidR="003D51AF">
        <w:t xml:space="preserve"> for </w:t>
      </w:r>
      <w:r w:rsidR="005E552A">
        <w:t>RLAN</w:t>
      </w:r>
      <w:r w:rsidR="003D51AF">
        <w:t xml:space="preserve"> systems</w:t>
      </w:r>
      <w:r w:rsidR="005E552A">
        <w:t xml:space="preserve"> </w:t>
      </w:r>
      <w:r w:rsidR="00784FC2">
        <w:t xml:space="preserve">currently </w:t>
      </w:r>
      <w:r w:rsidR="0052459A">
        <w:t xml:space="preserve">authorised under the </w:t>
      </w:r>
      <w:r w:rsidR="0052459A" w:rsidRPr="000808AC">
        <w:rPr>
          <w:u w:color="0000FF"/>
        </w:rPr>
        <w:t xml:space="preserve">LIPD </w:t>
      </w:r>
      <w:r w:rsidR="000808AC" w:rsidRPr="000808AC">
        <w:rPr>
          <w:u w:color="0000FF"/>
        </w:rPr>
        <w:t>c</w:t>
      </w:r>
      <w:r w:rsidR="0052459A" w:rsidRPr="000808AC">
        <w:rPr>
          <w:u w:color="0000FF"/>
        </w:rPr>
        <w:t xml:space="preserve">lass </w:t>
      </w:r>
      <w:r w:rsidR="000808AC" w:rsidRPr="000808AC">
        <w:rPr>
          <w:u w:color="0000FF"/>
        </w:rPr>
        <w:t>l</w:t>
      </w:r>
      <w:r w:rsidR="0052459A" w:rsidRPr="000808AC">
        <w:rPr>
          <w:u w:color="0000FF"/>
        </w:rPr>
        <w:t>icence</w:t>
      </w:r>
      <w:r w:rsidR="000808AC">
        <w:t xml:space="preserve"> </w:t>
      </w:r>
      <w:r w:rsidR="00F62428">
        <w:t>and expect any future operation to be authorised the same way.</w:t>
      </w:r>
    </w:p>
    <w:p w14:paraId="33756EC3" w14:textId="77777777" w:rsidR="009A19B3" w:rsidRDefault="009A19B3" w:rsidP="009A19B3">
      <w:pPr>
        <w:pStyle w:val="Heading2"/>
      </w:pPr>
      <w:bookmarkStart w:id="3" w:name="_Toc68612222"/>
      <w:r>
        <w:t>Scope</w:t>
      </w:r>
      <w:bookmarkEnd w:id="3"/>
    </w:p>
    <w:p w14:paraId="033F5B25" w14:textId="4AB3AFE1" w:rsidR="00C3700C" w:rsidRDefault="00C3700C" w:rsidP="00C3700C">
      <w:r>
        <w:t>This</w:t>
      </w:r>
      <w:r w:rsidDel="00E06D72">
        <w:t xml:space="preserve"> paper</w:t>
      </w:r>
      <w:r>
        <w:t xml:space="preserve"> presents information on the current state of the 5 GHz and 6 GHz bands both in Australia and internationally, including current regulatory arrangements, results of existing sharing studies, and other proposals and discussions already underway.</w:t>
      </w:r>
    </w:p>
    <w:p w14:paraId="1B9A8C6C" w14:textId="55A7212D" w:rsidR="00C3700C" w:rsidRDefault="00B77495" w:rsidP="0034639B">
      <w:r>
        <w:t>It</w:t>
      </w:r>
      <w:r w:rsidR="00C3700C">
        <w:t xml:space="preserve"> </w:t>
      </w:r>
      <w:r w:rsidR="00F62428">
        <w:t>set</w:t>
      </w:r>
      <w:r>
        <w:t>s</w:t>
      </w:r>
      <w:r w:rsidR="00F62428">
        <w:t xml:space="preserve"> out </w:t>
      </w:r>
      <w:r w:rsidR="00A43B57">
        <w:t xml:space="preserve">the </w:t>
      </w:r>
      <w:r w:rsidR="00F62428">
        <w:t xml:space="preserve">ACMA’s preliminary thinking on the future use of RLAN devices to </w:t>
      </w:r>
      <w:r w:rsidR="00C3700C">
        <w:t>begin a discussion with Australian stakeholders about the future of the bands locally</w:t>
      </w:r>
      <w:r w:rsidR="00F62428">
        <w:t>,</w:t>
      </w:r>
      <w:r w:rsidR="00C3700C">
        <w:t xml:space="preserve"> and to </w:t>
      </w:r>
      <w:r w:rsidR="00D86F93">
        <w:t>gauge</w:t>
      </w:r>
      <w:r w:rsidR="00C3700C">
        <w:t xml:space="preserve"> the appetite for any changes to Australian arrangements in the bands.</w:t>
      </w:r>
    </w:p>
    <w:p w14:paraId="7BEC389D" w14:textId="341F8994" w:rsidR="00E40494" w:rsidRDefault="00E40494" w:rsidP="00E40494">
      <w:pPr>
        <w:pStyle w:val="Heading2"/>
      </w:pPr>
      <w:bookmarkStart w:id="4" w:name="_Toc68612223"/>
      <w:r>
        <w:t xml:space="preserve">Case for </w:t>
      </w:r>
      <w:r w:rsidR="00B77495">
        <w:t>a</w:t>
      </w:r>
      <w:r>
        <w:t>ction</w:t>
      </w:r>
      <w:bookmarkEnd w:id="4"/>
    </w:p>
    <w:p w14:paraId="75FA9D2E" w14:textId="63EC73B5" w:rsidR="00F767D3" w:rsidRDefault="00F767D3" w:rsidP="00F767D3">
      <w:r>
        <w:t xml:space="preserve">RLAN technology, and specifically </w:t>
      </w:r>
      <w:r w:rsidR="004B2833">
        <w:t>w</w:t>
      </w:r>
      <w:r>
        <w:t>i-</w:t>
      </w:r>
      <w:r w:rsidR="00254674">
        <w:t>f</w:t>
      </w:r>
      <w:r>
        <w:t xml:space="preserve">i, has become an integral part of everyday modern life. </w:t>
      </w:r>
      <w:r w:rsidR="004B2833">
        <w:t>w</w:t>
      </w:r>
      <w:r>
        <w:t>i-</w:t>
      </w:r>
      <w:r w:rsidR="004B2833">
        <w:t>f</w:t>
      </w:r>
      <w:r>
        <w:t xml:space="preserve">i </w:t>
      </w:r>
      <w:r w:rsidR="00B77495">
        <w:t xml:space="preserve">use </w:t>
      </w:r>
      <w:r>
        <w:t>continues to expand</w:t>
      </w:r>
      <w:r w:rsidR="00B77495">
        <w:t>,</w:t>
      </w:r>
      <w:r>
        <w:t xml:space="preserve"> with more diverse devices utilising these networks demanding higher data rates and lower latency. </w:t>
      </w:r>
    </w:p>
    <w:p w14:paraId="47AE06CA" w14:textId="7F1EDD75" w:rsidR="00510B6F" w:rsidRDefault="00F767D3" w:rsidP="000F7A16">
      <w:r>
        <w:t xml:space="preserve">According to our </w:t>
      </w:r>
      <w:hyperlink r:id="rId27" w:history="1">
        <w:r w:rsidRPr="00A528BD">
          <w:rPr>
            <w:rStyle w:val="Hyperlink"/>
            <w:i/>
            <w:iCs/>
          </w:rPr>
          <w:t xml:space="preserve">Communications </w:t>
        </w:r>
        <w:r w:rsidR="00B77495" w:rsidRPr="00A528BD">
          <w:rPr>
            <w:rStyle w:val="Hyperlink"/>
            <w:i/>
            <w:iCs/>
          </w:rPr>
          <w:t>r</w:t>
        </w:r>
        <w:r w:rsidRPr="00A528BD">
          <w:rPr>
            <w:rStyle w:val="Hyperlink"/>
            <w:i/>
            <w:iCs/>
          </w:rPr>
          <w:t>eport 2018-19</w:t>
        </w:r>
      </w:hyperlink>
      <w:r>
        <w:t>, there were 43.629 million internet subscriptions in Australia as at June 2019</w:t>
      </w:r>
      <w:r w:rsidR="006571DE">
        <w:t>, an increase of 4.6% on the previous year</w:t>
      </w:r>
      <w:r>
        <w:t xml:space="preserve">. Of these, 35.9 million were mobile subscriptions and 7.729 million were fixed subscriptions. </w:t>
      </w:r>
      <w:r w:rsidR="006571DE">
        <w:t>As described in Appendix A, RLANs are commonly used within a premise to connect related devices, including to the interne</w:t>
      </w:r>
      <w:r w:rsidR="000F7A16">
        <w:t>t</w:t>
      </w:r>
      <w:r w:rsidR="00B77495">
        <w:t xml:space="preserve">. They provide </w:t>
      </w:r>
      <w:r w:rsidR="000F7A16">
        <w:t>the final link between people’s routers and the increasing number of wireless-enabled consumer electronics devices in their homes</w:t>
      </w:r>
      <w:r w:rsidR="00B77495">
        <w:t>,</w:t>
      </w:r>
      <w:r w:rsidR="000F7A16">
        <w:t xml:space="preserve"> including TVs, smart appliances, game consoles, and portable/mobile devices such as smartphones, tablets, remote controllers, 3D visors</w:t>
      </w:r>
      <w:r w:rsidR="00B77495">
        <w:t xml:space="preserve"> and </w:t>
      </w:r>
      <w:r w:rsidR="000F7A16">
        <w:t>laptops</w:t>
      </w:r>
      <w:r w:rsidR="006571DE">
        <w:t xml:space="preserve">. </w:t>
      </w:r>
    </w:p>
    <w:p w14:paraId="7C620E9C" w14:textId="38935AFF" w:rsidR="00F767D3" w:rsidRDefault="00510B6F" w:rsidP="004B2833">
      <w:pPr>
        <w:pStyle w:val="Paragraph"/>
      </w:pPr>
      <w:r>
        <w:lastRenderedPageBreak/>
        <w:t>A 2021 Wi-Fi Alliance study</w:t>
      </w:r>
      <w:r>
        <w:rPr>
          <w:rStyle w:val="FootnoteReference"/>
        </w:rPr>
        <w:footnoteReference w:id="2"/>
      </w:r>
      <w:r>
        <w:t xml:space="preserve"> notes that around 63% of mobile traffic is currently offloaded to </w:t>
      </w:r>
      <w:r w:rsidR="00B77495">
        <w:t>w</w:t>
      </w:r>
      <w:r>
        <w:t>i-</w:t>
      </w:r>
      <w:r w:rsidR="00B77495">
        <w:t>f</w:t>
      </w:r>
      <w:r>
        <w:t>i networks.</w:t>
      </w:r>
      <w:r w:rsidRPr="00510B6F">
        <w:t xml:space="preserve"> </w:t>
      </w:r>
      <w:r>
        <w:t>T</w:t>
      </w:r>
      <w:r w:rsidRPr="000F7A16">
        <w:t xml:space="preserve">he ever-increasing demand for, and traffic being carried over, </w:t>
      </w:r>
      <w:r w:rsidR="00B77495">
        <w:t>w</w:t>
      </w:r>
      <w:r w:rsidRPr="000F7A16">
        <w:t>i-</w:t>
      </w:r>
      <w:r w:rsidR="00B77495">
        <w:t>f</w:t>
      </w:r>
      <w:r w:rsidRPr="000F7A16">
        <w:t xml:space="preserve">i networks </w:t>
      </w:r>
      <w:r>
        <w:t xml:space="preserve">has been accelerated </w:t>
      </w:r>
      <w:r w:rsidRPr="000F7A16">
        <w:t>by the ongoing COVID-19 pandemic</w:t>
      </w:r>
      <w:r w:rsidR="00B77495">
        <w:t>,</w:t>
      </w:r>
      <w:r>
        <w:t xml:space="preserve"> which has resulted in more people working, learning and socialising from home</w:t>
      </w:r>
      <w:r w:rsidR="00B77495">
        <w:t>.</w:t>
      </w:r>
      <w:r>
        <w:rPr>
          <w:rStyle w:val="FootnoteReference"/>
        </w:rPr>
        <w:footnoteReference w:id="3"/>
      </w:r>
      <w:r>
        <w:t xml:space="preserve"> It has also increased the prevalence of real-time online communications such as video conferencing. </w:t>
      </w:r>
    </w:p>
    <w:p w14:paraId="29C58367" w14:textId="7290C249" w:rsidR="00510B6F" w:rsidRDefault="00F767D3" w:rsidP="00510B6F">
      <w:pPr>
        <w:pStyle w:val="Paragraph"/>
      </w:pPr>
      <w:r>
        <w:t xml:space="preserve">In February 2017, the </w:t>
      </w:r>
      <w:r w:rsidRPr="00F767D3">
        <w:t xml:space="preserve">Wi-Fi Alliance commissioned the </w:t>
      </w:r>
      <w:hyperlink r:id="rId28" w:history="1">
        <w:r w:rsidRPr="00F767D3">
          <w:rPr>
            <w:rStyle w:val="Hyperlink"/>
          </w:rPr>
          <w:t>Wi-Fi Spectrum Needs Study</w:t>
        </w:r>
      </w:hyperlink>
      <w:r w:rsidR="00B77495" w:rsidRPr="00591066">
        <w:rPr>
          <w:rStyle w:val="Hyperlink"/>
          <w:color w:val="auto"/>
          <w:u w:val="none"/>
        </w:rPr>
        <w:t>,</w:t>
      </w:r>
      <w:r w:rsidRPr="00F767D3">
        <w:t xml:space="preserve"> </w:t>
      </w:r>
      <w:r>
        <w:t>which found</w:t>
      </w:r>
      <w:r w:rsidRPr="00F767D3">
        <w:t xml:space="preserve"> </w:t>
      </w:r>
      <w:r>
        <w:t>t</w:t>
      </w:r>
      <w:r w:rsidRPr="00F767D3">
        <w:t>he ever</w:t>
      </w:r>
      <w:r w:rsidR="00B77495">
        <w:t>-</w:t>
      </w:r>
      <w:r w:rsidRPr="00F767D3">
        <w:t xml:space="preserve">growing number and diversity of </w:t>
      </w:r>
      <w:r w:rsidR="00B77495">
        <w:t>w</w:t>
      </w:r>
      <w:r w:rsidRPr="00F767D3">
        <w:t>i-</w:t>
      </w:r>
      <w:r w:rsidR="00B77495">
        <w:t>f</w:t>
      </w:r>
      <w:r w:rsidRPr="00F767D3">
        <w:t>i devices</w:t>
      </w:r>
      <w:r w:rsidR="00B77495">
        <w:t>,</w:t>
      </w:r>
      <w:r w:rsidRPr="00F767D3">
        <w:t xml:space="preserve"> along with increased connection speeds and data traffic volumes will exceed the capacity of spectrum currently available in the 5 GHz band by 2020</w:t>
      </w:r>
      <w:r>
        <w:t>.</w:t>
      </w:r>
      <w:r w:rsidR="00510B6F" w:rsidRPr="00510B6F">
        <w:t xml:space="preserve"> </w:t>
      </w:r>
      <w:r w:rsidR="00510B6F">
        <w:t>The 2021 study</w:t>
      </w:r>
      <w:r w:rsidR="00510B6F">
        <w:rPr>
          <w:rStyle w:val="FootnoteReference"/>
        </w:rPr>
        <w:footnoteReference w:id="4"/>
      </w:r>
      <w:r w:rsidR="00510B6F">
        <w:t xml:space="preserve"> commissioned by Wi-Fi Alliance estimated that the global economic value of </w:t>
      </w:r>
      <w:r w:rsidR="00DB23A7">
        <w:t>w</w:t>
      </w:r>
      <w:r w:rsidR="00510B6F">
        <w:t>i-</w:t>
      </w:r>
      <w:r w:rsidR="00DB23A7">
        <w:t>f</w:t>
      </w:r>
      <w:r w:rsidR="00510B6F">
        <w:t xml:space="preserve">i in 2021 will be </w:t>
      </w:r>
      <w:r w:rsidR="009D24E5">
        <w:t>US</w:t>
      </w:r>
      <w:r w:rsidR="00510B6F">
        <w:t>$3.3 trillion</w:t>
      </w:r>
      <w:r w:rsidR="00851E56">
        <w:t xml:space="preserve">, </w:t>
      </w:r>
      <w:r w:rsidR="00510B6F">
        <w:t>grow</w:t>
      </w:r>
      <w:r w:rsidR="00851E56">
        <w:t>ing</w:t>
      </w:r>
      <w:r w:rsidR="00510B6F">
        <w:t xml:space="preserve"> to </w:t>
      </w:r>
      <w:r w:rsidR="009D24E5">
        <w:t>US</w:t>
      </w:r>
      <w:r w:rsidR="00510B6F">
        <w:t xml:space="preserve">$4.9 trillion by 2025. For Australia, these numbers are </w:t>
      </w:r>
      <w:r w:rsidR="00851E56">
        <w:t>US</w:t>
      </w:r>
      <w:r w:rsidR="00510B6F">
        <w:t xml:space="preserve">$34.7 billion in 2021 and </w:t>
      </w:r>
      <w:r w:rsidR="00851E56">
        <w:t>US</w:t>
      </w:r>
      <w:r w:rsidR="00510B6F">
        <w:t xml:space="preserve">$41.7 billion by 2025. </w:t>
      </w:r>
      <w:r w:rsidR="003832A2">
        <w:t>The study</w:t>
      </w:r>
      <w:r w:rsidR="00510B6F">
        <w:t xml:space="preserve"> also estimates 4.2 billion </w:t>
      </w:r>
      <w:r w:rsidR="00851E56">
        <w:t>w</w:t>
      </w:r>
      <w:r w:rsidR="00510B6F">
        <w:t>i-</w:t>
      </w:r>
      <w:r w:rsidR="00851E56">
        <w:t>f</w:t>
      </w:r>
      <w:r w:rsidR="00510B6F">
        <w:t xml:space="preserve">i devices </w:t>
      </w:r>
      <w:r w:rsidR="003832A2">
        <w:t xml:space="preserve">will be in use </w:t>
      </w:r>
      <w:r w:rsidR="00510B6F">
        <w:t xml:space="preserve">in 2021, </w:t>
      </w:r>
      <w:r w:rsidR="003832A2">
        <w:t xml:space="preserve">with </w:t>
      </w:r>
      <w:r w:rsidR="00510B6F">
        <w:t xml:space="preserve">2.2 billion </w:t>
      </w:r>
      <w:r w:rsidR="003832A2">
        <w:t>being</w:t>
      </w:r>
      <w:r w:rsidR="00510B6F">
        <w:t xml:space="preserve"> Wi-Fi 6 compatible.</w:t>
      </w:r>
    </w:p>
    <w:p w14:paraId="6E5E99CB" w14:textId="5ECE9666" w:rsidR="00510B6F" w:rsidRDefault="00510B6F" w:rsidP="00510B6F">
      <w:r>
        <w:t xml:space="preserve">The roll-out of 5G and increasing uptake of the National Broadband Network (NBN) could also contribute to increased demand for </w:t>
      </w:r>
      <w:r w:rsidR="00851E56">
        <w:t>w</w:t>
      </w:r>
      <w:r w:rsidR="00EC0702">
        <w:t>i</w:t>
      </w:r>
      <w:r>
        <w:t>-</w:t>
      </w:r>
      <w:r w:rsidR="00851E56">
        <w:t>f</w:t>
      </w:r>
      <w:r>
        <w:t xml:space="preserve">i services. Consumers expect </w:t>
      </w:r>
      <w:r w:rsidR="00851E56">
        <w:t>w</w:t>
      </w:r>
      <w:r>
        <w:t>i-</w:t>
      </w:r>
      <w:r w:rsidR="00851E56">
        <w:t>f</w:t>
      </w:r>
      <w:r>
        <w:t xml:space="preserve">i performance to </w:t>
      </w:r>
      <w:r w:rsidR="00A43B57">
        <w:t>not be a limiting factor in the overall performance</w:t>
      </w:r>
      <w:r>
        <w:t xml:space="preserve"> of their </w:t>
      </w:r>
      <w:r w:rsidR="00A43B57">
        <w:t xml:space="preserve">home and business </w:t>
      </w:r>
      <w:r>
        <w:t xml:space="preserve">fixed and mobile broadband </w:t>
      </w:r>
      <w:r w:rsidR="00A43B57">
        <w:t>networks</w:t>
      </w:r>
      <w:r>
        <w:t xml:space="preserve">. Having access to faster broadband </w:t>
      </w:r>
      <w:r w:rsidR="00A43B57">
        <w:t>services</w:t>
      </w:r>
      <w:r>
        <w:t xml:space="preserve"> means </w:t>
      </w:r>
      <w:r w:rsidR="00A43B57">
        <w:t xml:space="preserve">consumers </w:t>
      </w:r>
      <w:r>
        <w:t xml:space="preserve">expect their </w:t>
      </w:r>
      <w:r w:rsidR="00851E56">
        <w:t>w</w:t>
      </w:r>
      <w:r>
        <w:t>i-</w:t>
      </w:r>
      <w:r w:rsidR="00851E56">
        <w:t>f</w:t>
      </w:r>
      <w:r>
        <w:t xml:space="preserve">i </w:t>
      </w:r>
      <w:r w:rsidR="00A43B57">
        <w:t xml:space="preserve">speeds to commensurately increase, in order </w:t>
      </w:r>
      <w:r>
        <w:t xml:space="preserve">to handle a wide range of high data rate applications, such as </w:t>
      </w:r>
      <w:r w:rsidR="00464597">
        <w:t xml:space="preserve">high definition (HD) and ultra-high definition (UHD) </w:t>
      </w:r>
      <w:r>
        <w:t>television</w:t>
      </w:r>
      <w:r w:rsidR="00FF5D02">
        <w:t>.</w:t>
      </w:r>
      <w:r>
        <w:rPr>
          <w:rStyle w:val="FootnoteReference"/>
        </w:rPr>
        <w:footnoteReference w:id="5"/>
      </w:r>
    </w:p>
    <w:p w14:paraId="2A0A98A4" w14:textId="0575A88B" w:rsidR="00FD327D" w:rsidRDefault="00FD327D" w:rsidP="00FD327D">
      <w:r>
        <w:t xml:space="preserve">There is also expected to be growth in technologies, such as augmented and virtual reality, that would benefit from very low power </w:t>
      </w:r>
      <w:r w:rsidR="00FF5D02">
        <w:t>w</w:t>
      </w:r>
      <w:r>
        <w:t>i-</w:t>
      </w:r>
      <w:r w:rsidR="00FF5D02">
        <w:t>f</w:t>
      </w:r>
      <w:r>
        <w:t>i arrangements using wider channels.</w:t>
      </w:r>
    </w:p>
    <w:p w14:paraId="7BF2B88B" w14:textId="100F15D9" w:rsidR="00E40494" w:rsidRDefault="000F7A16" w:rsidP="00E40494">
      <w:r>
        <w:t xml:space="preserve">As well as increasing use of </w:t>
      </w:r>
      <w:r w:rsidR="00FF5D02" w:rsidRPr="00D121E4">
        <w:t>w</w:t>
      </w:r>
      <w:r w:rsidRPr="00D121E4">
        <w:t>i-</w:t>
      </w:r>
      <w:r w:rsidR="00FF5D02" w:rsidRPr="00D121E4">
        <w:t>f</w:t>
      </w:r>
      <w:r w:rsidRPr="00D121E4">
        <w:t>i</w:t>
      </w:r>
      <w:r>
        <w:t xml:space="preserve"> generally, i</w:t>
      </w:r>
      <w:r w:rsidR="00E40494">
        <w:t xml:space="preserve">nternational developments and domestic interest in the 6 GHz band are being driven by its inclusion in the specification for the latest version of </w:t>
      </w:r>
      <w:r w:rsidR="00FF5D02">
        <w:t>w</w:t>
      </w:r>
      <w:r w:rsidR="00E40494">
        <w:t>i-</w:t>
      </w:r>
      <w:r w:rsidR="00FF5D02">
        <w:t>f</w:t>
      </w:r>
      <w:r w:rsidR="00E40494">
        <w:t>i (IEEE 802.11ax, also known as Wi-Fi 6)</w:t>
      </w:r>
      <w:r>
        <w:t>.</w:t>
      </w:r>
      <w:r w:rsidR="00E40494">
        <w:t xml:space="preserve"> Wi-Fi 6 provides significant improvements in performance and potential data throughput compared to previous iterations, some of which can only be fully realised in spectrum </w:t>
      </w:r>
      <w:r w:rsidR="00A57B74">
        <w:t xml:space="preserve">that </w:t>
      </w:r>
      <w:r w:rsidR="00E40494">
        <w:t xml:space="preserve">provides for larger contiguous channels (up to 320 MHz) and </w:t>
      </w:r>
      <w:r w:rsidR="00A57B74">
        <w:t xml:space="preserve">that </w:t>
      </w:r>
      <w:r w:rsidR="00E40494">
        <w:t xml:space="preserve">is not shared with older </w:t>
      </w:r>
      <w:r w:rsidR="009E4243">
        <w:t>w</w:t>
      </w:r>
      <w:r w:rsidR="00E40494">
        <w:t>i-</w:t>
      </w:r>
      <w:r w:rsidR="009E4243">
        <w:t>f</w:t>
      </w:r>
      <w:r w:rsidR="00E40494">
        <w:t>i devices.</w:t>
      </w:r>
    </w:p>
    <w:p w14:paraId="08A72A09" w14:textId="42E9C9D0" w:rsidR="00CF2649" w:rsidRDefault="002976FC" w:rsidP="00591066">
      <w:pPr>
        <w:pStyle w:val="Paragraphbeforelist"/>
      </w:pPr>
      <w:r>
        <w:t xml:space="preserve">Appendix B summarises international arrangements </w:t>
      </w:r>
      <w:r w:rsidR="00CF2649">
        <w:t>in the:</w:t>
      </w:r>
    </w:p>
    <w:p w14:paraId="1F4D4DB3" w14:textId="3788C273" w:rsidR="002976FC" w:rsidRDefault="0067014C" w:rsidP="00CF2649">
      <w:pPr>
        <w:pStyle w:val="Bulletlevel1"/>
      </w:pPr>
      <w:r>
        <w:t xml:space="preserve">various </w:t>
      </w:r>
      <w:r w:rsidR="00CF2649">
        <w:t>5 GHz bands (5150–5350 MHz, 5470–5600 MHz, 5650–5850 MHz)</w:t>
      </w:r>
      <w:r w:rsidR="00A57B74">
        <w:t>,</w:t>
      </w:r>
      <w:r w:rsidR="00CF2649">
        <w:t xml:space="preserve"> which are well-established both internationally and in Australia for use for RLANs</w:t>
      </w:r>
    </w:p>
    <w:p w14:paraId="0FE08BFA" w14:textId="25998C27" w:rsidR="00CF2649" w:rsidRDefault="00CF2649" w:rsidP="00CF2649">
      <w:pPr>
        <w:pStyle w:val="Bulletlevel1last"/>
      </w:pPr>
      <w:r>
        <w:t>6 GHz band (</w:t>
      </w:r>
      <w:r w:rsidRPr="00CF2649">
        <w:t>5925</w:t>
      </w:r>
      <w:r w:rsidR="00A57B74">
        <w:t>–</w:t>
      </w:r>
      <w:r w:rsidRPr="00CF2649">
        <w:t>7125 MHz</w:t>
      </w:r>
      <w:r>
        <w:t>)</w:t>
      </w:r>
      <w:r w:rsidR="00A57B74">
        <w:t>,</w:t>
      </w:r>
      <w:r>
        <w:t xml:space="preserve"> which has been identified in some countries as additional spectrum for RLANs, specifically for use by Wi-Fi 6. </w:t>
      </w:r>
    </w:p>
    <w:p w14:paraId="100725AE" w14:textId="193188C1" w:rsidR="00FD5E7C" w:rsidRDefault="00CF2649" w:rsidP="00D14D72">
      <w:pPr>
        <w:pStyle w:val="Paragraph"/>
      </w:pPr>
      <w:r w:rsidRPr="002658DF">
        <w:t xml:space="preserve">Given the increasing demand for </w:t>
      </w:r>
      <w:r w:rsidR="009E4243">
        <w:t>w</w:t>
      </w:r>
      <w:r w:rsidRPr="002658DF">
        <w:t>i-</w:t>
      </w:r>
      <w:r w:rsidR="009E4243">
        <w:t>f</w:t>
      </w:r>
      <w:r w:rsidRPr="002658DF">
        <w:t xml:space="preserve">i </w:t>
      </w:r>
      <w:r w:rsidR="00B27293">
        <w:t xml:space="preserve">services </w:t>
      </w:r>
      <w:r w:rsidRPr="002658DF">
        <w:t>in general, and international trends in the adoption of Wi-Fi 6 specifically, we believe there is a solid case for action</w:t>
      </w:r>
      <w:r w:rsidR="000E5753">
        <w:t>,</w:t>
      </w:r>
      <w:r w:rsidRPr="002658DF">
        <w:t xml:space="preserve"> and it is timely to review arrangements for </w:t>
      </w:r>
      <w:r w:rsidR="00B27293">
        <w:t>RLANs</w:t>
      </w:r>
      <w:r w:rsidRPr="002658DF">
        <w:t xml:space="preserve"> </w:t>
      </w:r>
      <w:r w:rsidR="00B27293">
        <w:t>in these bands</w:t>
      </w:r>
      <w:r w:rsidRPr="002658DF">
        <w:t xml:space="preserve"> in Australia.</w:t>
      </w:r>
    </w:p>
    <w:p w14:paraId="15BF8EAD" w14:textId="4C8617D7" w:rsidR="0034639B" w:rsidRPr="0034639B" w:rsidRDefault="00FD5E7C">
      <w:pPr>
        <w:pStyle w:val="Heading1"/>
      </w:pPr>
      <w:bookmarkStart w:id="5" w:name="_Toc68612224"/>
      <w:r>
        <w:lastRenderedPageBreak/>
        <w:t xml:space="preserve">Current </w:t>
      </w:r>
      <w:r w:rsidR="008F7197">
        <w:t>Australian arrangements</w:t>
      </w:r>
      <w:bookmarkEnd w:id="5"/>
    </w:p>
    <w:p w14:paraId="1C729CF2" w14:textId="6A226F93" w:rsidR="00831908" w:rsidRDefault="00466F2B" w:rsidP="00DE2AFF">
      <w:pPr>
        <w:pStyle w:val="Paragraphbeforelist"/>
      </w:pPr>
      <w:r>
        <w:t xml:space="preserve">Current arrangements </w:t>
      </w:r>
      <w:r w:rsidR="00066999">
        <w:t xml:space="preserve">in </w:t>
      </w:r>
      <w:r w:rsidR="00462C8A">
        <w:t>Australia, and e</w:t>
      </w:r>
      <w:r w:rsidR="007F67E7">
        <w:t xml:space="preserve">xisting services </w:t>
      </w:r>
      <w:r w:rsidR="00462C8A">
        <w:t xml:space="preserve">and licences </w:t>
      </w:r>
      <w:r w:rsidR="00066999">
        <w:t xml:space="preserve">in the </w:t>
      </w:r>
      <w:r w:rsidR="00C62040">
        <w:t>5</w:t>
      </w:r>
      <w:r w:rsidR="005745C4">
        <w:t xml:space="preserve"> GHz and </w:t>
      </w:r>
      <w:r w:rsidR="00C62040">
        <w:t xml:space="preserve">6 GHz </w:t>
      </w:r>
      <w:r w:rsidR="005745C4">
        <w:t>B</w:t>
      </w:r>
      <w:r w:rsidR="00C62040">
        <w:t>ands</w:t>
      </w:r>
      <w:r w:rsidR="00066999">
        <w:t xml:space="preserve"> </w:t>
      </w:r>
      <w:r w:rsidR="007F67E7">
        <w:t>are</w:t>
      </w:r>
      <w:r w:rsidR="00066999">
        <w:t xml:space="preserve"> s</w:t>
      </w:r>
      <w:r w:rsidR="007F67E7">
        <w:t>hown</w:t>
      </w:r>
      <w:r w:rsidR="00066999">
        <w:t xml:space="preserve"> in </w:t>
      </w:r>
      <w:r w:rsidR="00FA08D7">
        <w:fldChar w:fldCharType="begin"/>
      </w:r>
      <w:r w:rsidR="00FA08D7">
        <w:instrText xml:space="preserve"> REF _Ref53347811 \r \h </w:instrText>
      </w:r>
      <w:r w:rsidR="00FA08D7">
        <w:fldChar w:fldCharType="separate"/>
      </w:r>
      <w:r w:rsidR="00FA08D7">
        <w:t>Figure 1</w:t>
      </w:r>
      <w:r w:rsidR="00FA08D7">
        <w:fldChar w:fldCharType="end"/>
      </w:r>
      <w:r w:rsidR="006D1365">
        <w:t>.</w:t>
      </w:r>
      <w:r w:rsidR="00462C8A">
        <w:t xml:space="preserve"> The</w:t>
      </w:r>
      <w:r w:rsidR="000F1AB7">
        <w:t xml:space="preserve"> details </w:t>
      </w:r>
      <w:r w:rsidR="007F67E7">
        <w:t>of</w:t>
      </w:r>
      <w:r w:rsidR="000F1AB7">
        <w:t xml:space="preserve"> each item in </w:t>
      </w:r>
      <w:r w:rsidR="007F67E7">
        <w:t>that</w:t>
      </w:r>
      <w:r w:rsidR="000F1AB7">
        <w:t xml:space="preserve"> diagram</w:t>
      </w:r>
      <w:r w:rsidR="007F67E7">
        <w:t xml:space="preserve"> </w:t>
      </w:r>
      <w:r w:rsidR="00462C8A">
        <w:t xml:space="preserve">are </w:t>
      </w:r>
      <w:r w:rsidR="007F67E7">
        <w:t>given in Table 1.</w:t>
      </w:r>
      <w:r w:rsidR="00192CF3">
        <w:t xml:space="preserve"> </w:t>
      </w:r>
      <w:r w:rsidR="00194008">
        <w:t>RLAN</w:t>
      </w:r>
      <w:r w:rsidR="00831908">
        <w:t xml:space="preserve"> use in Australia is authorised via the</w:t>
      </w:r>
      <w:r w:rsidR="00DA7E31">
        <w:t xml:space="preserve"> </w:t>
      </w:r>
      <w:hyperlink r:id="rId29" w:history="1"/>
      <w:hyperlink r:id="rId30" w:history="1">
        <w:r w:rsidR="00831908" w:rsidRPr="00DA7E31">
          <w:rPr>
            <w:rStyle w:val="Hyperlink"/>
          </w:rPr>
          <w:t>LIPD Class Licence</w:t>
        </w:r>
      </w:hyperlink>
      <w:r w:rsidR="00DA7E31">
        <w:t xml:space="preserve">. </w:t>
      </w:r>
      <w:r w:rsidR="007E10AC">
        <w:t>The authorised frequency ranges within the</w:t>
      </w:r>
      <w:r w:rsidR="00831908">
        <w:t xml:space="preserve"> </w:t>
      </w:r>
      <w:r w:rsidR="00DA7E31">
        <w:t>5 GHz band</w:t>
      </w:r>
      <w:r w:rsidR="00794E53">
        <w:t xml:space="preserve">, along with </w:t>
      </w:r>
      <w:r w:rsidR="007E10AC">
        <w:t>their associated</w:t>
      </w:r>
      <w:r w:rsidR="004703ED">
        <w:t xml:space="preserve"> </w:t>
      </w:r>
      <w:r w:rsidR="007E10AC">
        <w:t>restrictions are</w:t>
      </w:r>
      <w:r w:rsidR="0028527D">
        <w:t xml:space="preserve"> as follows. All power levels are given as effective isotropic radiated power (EIRP)</w:t>
      </w:r>
      <w:r w:rsidR="007E10AC">
        <w:t>:</w:t>
      </w:r>
    </w:p>
    <w:p w14:paraId="45EE9716" w14:textId="01462DAF" w:rsidR="009E0CA6" w:rsidRDefault="00831908" w:rsidP="00DE2AFF">
      <w:pPr>
        <w:pStyle w:val="Bulletlevel1"/>
      </w:pPr>
      <w:r>
        <w:t>5150–5350</w:t>
      </w:r>
      <w:r w:rsidR="0090245F">
        <w:t> MHz</w:t>
      </w:r>
      <w:r w:rsidR="00A57B74">
        <w:t>:</w:t>
      </w:r>
    </w:p>
    <w:p w14:paraId="3881FAC3" w14:textId="55B9136B" w:rsidR="009E0CA6" w:rsidRDefault="00A57B74" w:rsidP="00DE2AFF">
      <w:pPr>
        <w:pStyle w:val="Bulletlevel2"/>
      </w:pPr>
      <w:r>
        <w:t>i</w:t>
      </w:r>
      <w:r w:rsidR="0040488A">
        <w:t>ndoor use only</w:t>
      </w:r>
    </w:p>
    <w:p w14:paraId="11C08417" w14:textId="5DBCAEF3" w:rsidR="009E0CA6" w:rsidRDefault="00A57B74" w:rsidP="00DE2AFF">
      <w:pPr>
        <w:pStyle w:val="Bulletlevel2"/>
      </w:pPr>
      <w:r>
        <w:t>m</w:t>
      </w:r>
      <w:r w:rsidR="00831908">
        <w:t>a</w:t>
      </w:r>
      <w:r w:rsidR="003762B7">
        <w:t>x</w:t>
      </w:r>
      <w:r w:rsidR="0090245F">
        <w:t>imum</w:t>
      </w:r>
      <w:r w:rsidR="00831908">
        <w:t xml:space="preserve"> 200</w:t>
      </w:r>
      <w:r w:rsidR="001D2F81">
        <w:t> </w:t>
      </w:r>
      <w:r w:rsidR="00831908">
        <w:t xml:space="preserve">mW </w:t>
      </w:r>
      <w:r w:rsidR="00794E53">
        <w:t>(23 dBm)</w:t>
      </w:r>
    </w:p>
    <w:p w14:paraId="70DA5564" w14:textId="2A908D13" w:rsidR="009E0CA6" w:rsidRDefault="00A57B74" w:rsidP="00E5683A">
      <w:pPr>
        <w:pStyle w:val="Bulletlevel2"/>
      </w:pPr>
      <w:r>
        <w:t>a</w:t>
      </w:r>
      <w:r w:rsidR="001726A2">
        <w:t>lso, between 5250–5350 MHz:</w:t>
      </w:r>
    </w:p>
    <w:p w14:paraId="7063775B" w14:textId="684ECB97" w:rsidR="001726A2" w:rsidRDefault="00E5683A" w:rsidP="00E5683A">
      <w:pPr>
        <w:pStyle w:val="Bulletlevel2"/>
        <w:tabs>
          <w:tab w:val="clear" w:pos="845"/>
          <w:tab w:val="num" w:pos="1418"/>
        </w:tabs>
        <w:ind w:left="1418" w:hanging="567"/>
      </w:pPr>
      <w:r>
        <w:t>d</w:t>
      </w:r>
      <w:r w:rsidR="000E5753">
        <w:t xml:space="preserve">ynamic </w:t>
      </w:r>
      <w:r>
        <w:t>f</w:t>
      </w:r>
      <w:r w:rsidR="000E5753">
        <w:t xml:space="preserve">requency </w:t>
      </w:r>
      <w:r>
        <w:t>s</w:t>
      </w:r>
      <w:r w:rsidR="000E5753">
        <w:t>election (</w:t>
      </w:r>
      <w:r w:rsidR="001726A2">
        <w:t>DFS</w:t>
      </w:r>
      <w:r w:rsidR="000E5753">
        <w:t>)</w:t>
      </w:r>
      <w:r w:rsidR="001726A2">
        <w:t xml:space="preserve"> required</w:t>
      </w:r>
    </w:p>
    <w:p w14:paraId="73FBB239" w14:textId="60DBBDB2" w:rsidR="00831908" w:rsidRDefault="00E5683A" w:rsidP="00E5683A">
      <w:pPr>
        <w:pStyle w:val="Bulletlevel2"/>
        <w:tabs>
          <w:tab w:val="clear" w:pos="845"/>
          <w:tab w:val="num" w:pos="1418"/>
        </w:tabs>
        <w:ind w:left="1418" w:hanging="567"/>
      </w:pPr>
      <w:r>
        <w:t>t</w:t>
      </w:r>
      <w:r w:rsidR="000E5753">
        <w:t xml:space="preserve">ransmit </w:t>
      </w:r>
      <w:r>
        <w:t>p</w:t>
      </w:r>
      <w:r w:rsidR="000E5753">
        <w:t xml:space="preserve">ower </w:t>
      </w:r>
      <w:r>
        <w:t>c</w:t>
      </w:r>
      <w:r w:rsidR="000E5753">
        <w:t>ontrol (</w:t>
      </w:r>
      <w:r w:rsidR="009E0CA6">
        <w:t>TPC</w:t>
      </w:r>
      <w:r w:rsidR="000E5753">
        <w:t>)</w:t>
      </w:r>
      <w:r w:rsidR="009E0CA6">
        <w:t xml:space="preserve"> required </w:t>
      </w:r>
      <w:r w:rsidR="001726A2">
        <w:t xml:space="preserve">when operating </w:t>
      </w:r>
      <w:r w:rsidR="009E0CA6">
        <w:t>above 10</w:t>
      </w:r>
      <w:r w:rsidR="001D2F81">
        <w:t>0 </w:t>
      </w:r>
      <w:r w:rsidR="001726A2">
        <w:t>mW</w:t>
      </w:r>
      <w:r w:rsidR="00794E53">
        <w:t xml:space="preserve"> (20 dBm)</w:t>
      </w:r>
      <w:r w:rsidR="00027C59">
        <w:t>.</w:t>
      </w:r>
    </w:p>
    <w:p w14:paraId="5C5A7C83" w14:textId="7C5354CF" w:rsidR="00CC34FD" w:rsidRDefault="00831908" w:rsidP="00DE2AFF">
      <w:pPr>
        <w:pStyle w:val="Bulletlevel1"/>
      </w:pPr>
      <w:r>
        <w:t>5470–5600</w:t>
      </w:r>
      <w:r w:rsidR="0040488A">
        <w:t> MHz</w:t>
      </w:r>
      <w:r w:rsidR="001726A2">
        <w:t xml:space="preserve"> and </w:t>
      </w:r>
      <w:r>
        <w:t>5650–5725</w:t>
      </w:r>
      <w:r w:rsidR="000F4709">
        <w:t> </w:t>
      </w:r>
      <w:r>
        <w:t>MHz</w:t>
      </w:r>
      <w:r w:rsidR="00A57B74">
        <w:t>:</w:t>
      </w:r>
    </w:p>
    <w:p w14:paraId="344201D0" w14:textId="19653AC5" w:rsidR="001726A2" w:rsidRDefault="00A57B74" w:rsidP="00DE2AFF">
      <w:pPr>
        <w:pStyle w:val="Bulletlevel2"/>
      </w:pPr>
      <w:r>
        <w:t>m</w:t>
      </w:r>
      <w:r w:rsidR="001726A2">
        <w:t>aximum 1</w:t>
      </w:r>
      <w:r w:rsidR="001D2F81">
        <w:t> </w:t>
      </w:r>
      <w:r w:rsidR="001726A2">
        <w:t xml:space="preserve">W </w:t>
      </w:r>
      <w:r w:rsidR="00794E53">
        <w:t>(30 dBm)</w:t>
      </w:r>
    </w:p>
    <w:p w14:paraId="1F341036" w14:textId="5B8C517C" w:rsidR="001726A2" w:rsidRDefault="001726A2" w:rsidP="00DE2AFF">
      <w:pPr>
        <w:pStyle w:val="Bulletlevel2"/>
      </w:pPr>
      <w:r>
        <w:t>DFS required</w:t>
      </w:r>
    </w:p>
    <w:p w14:paraId="1ABDC421" w14:textId="1DC1DA0E" w:rsidR="001726A2" w:rsidRDefault="001726A2" w:rsidP="00DE2AFF">
      <w:pPr>
        <w:pStyle w:val="Bulletlevel2"/>
      </w:pPr>
      <w:r>
        <w:t>TPC required when operating above 500</w:t>
      </w:r>
      <w:r w:rsidR="001D2F81">
        <w:t> </w:t>
      </w:r>
      <w:r>
        <w:t>mW</w:t>
      </w:r>
      <w:r w:rsidR="00794E53">
        <w:t xml:space="preserve"> (27 dBm)</w:t>
      </w:r>
      <w:r w:rsidR="00027C59">
        <w:t>.</w:t>
      </w:r>
    </w:p>
    <w:p w14:paraId="33F74399" w14:textId="4ED0AE28" w:rsidR="00110CC1" w:rsidRDefault="00110CC1" w:rsidP="00DE2AFF">
      <w:pPr>
        <w:pStyle w:val="Bulletlevel1"/>
      </w:pPr>
      <w:r>
        <w:t>5725–5850 MHz</w:t>
      </w:r>
      <w:r w:rsidR="00A57B74">
        <w:t>:</w:t>
      </w:r>
    </w:p>
    <w:p w14:paraId="151E4FAA" w14:textId="311EEB8C" w:rsidR="00A46DF5" w:rsidRDefault="00A46DF5" w:rsidP="00DE2AFF">
      <w:pPr>
        <w:pStyle w:val="Bulletlevel2"/>
      </w:pPr>
      <w:r>
        <w:t xml:space="preserve">4 W </w:t>
      </w:r>
      <w:r w:rsidR="00794E53">
        <w:t>(36 dBm)</w:t>
      </w:r>
    </w:p>
    <w:p w14:paraId="7676940D" w14:textId="343F3C41" w:rsidR="00A46DF5" w:rsidRDefault="00A57B74" w:rsidP="00DE2AFF">
      <w:pPr>
        <w:pStyle w:val="Bulletlevel2"/>
      </w:pPr>
      <w:r>
        <w:t>f</w:t>
      </w:r>
      <w:r w:rsidR="00A46DF5">
        <w:t>requency hopping or digital modulation</w:t>
      </w:r>
      <w:r w:rsidR="0057672D">
        <w:t xml:space="preserve"> transmitters</w:t>
      </w:r>
    </w:p>
    <w:p w14:paraId="0FFFC9A7" w14:textId="78F75969" w:rsidR="00C649EC" w:rsidRDefault="00A57B74" w:rsidP="00DE2AFF">
      <w:pPr>
        <w:pStyle w:val="Bulletlevel2last"/>
      </w:pPr>
      <w:r>
        <w:t>n</w:t>
      </w:r>
      <w:r w:rsidR="00C649EC">
        <w:t>ot specified as being for RLAN use only</w:t>
      </w:r>
      <w:r w:rsidR="00027C59">
        <w:t>.</w:t>
      </w:r>
    </w:p>
    <w:p w14:paraId="01F7A0DB" w14:textId="37A9D794" w:rsidR="00A722E2" w:rsidRDefault="00A722E2" w:rsidP="001726A2">
      <w:pPr>
        <w:pStyle w:val="Paragraph"/>
      </w:pPr>
      <w:r>
        <w:t>Th</w:t>
      </w:r>
      <w:r w:rsidR="00FF32C3">
        <w:t>e use of this</w:t>
      </w:r>
      <w:r>
        <w:t xml:space="preserve"> band </w:t>
      </w:r>
      <w:r w:rsidR="00FF32C3">
        <w:t>for</w:t>
      </w:r>
      <w:r>
        <w:t xml:space="preserve"> </w:t>
      </w:r>
      <w:r w:rsidR="00FF32C3">
        <w:t>RLAN</w:t>
      </w:r>
      <w:r>
        <w:t xml:space="preserve"> purposes </w:t>
      </w:r>
      <w:r w:rsidR="00FF32C3">
        <w:t>was considered at</w:t>
      </w:r>
      <w:r>
        <w:t xml:space="preserve"> WRC-19</w:t>
      </w:r>
      <w:r w:rsidR="00D069CC">
        <w:t xml:space="preserve"> (see </w:t>
      </w:r>
      <w:hyperlink w:anchor="_ITU" w:history="1">
        <w:r w:rsidR="00D069CC" w:rsidRPr="00982BE3">
          <w:rPr>
            <w:rStyle w:val="Hyperlink"/>
          </w:rPr>
          <w:t xml:space="preserve">ITU </w:t>
        </w:r>
        <w:r w:rsidR="00982BE3" w:rsidRPr="00982BE3">
          <w:rPr>
            <w:rStyle w:val="Hyperlink"/>
          </w:rPr>
          <w:t>section</w:t>
        </w:r>
      </w:hyperlink>
      <w:r w:rsidR="00D069CC">
        <w:t xml:space="preserve"> </w:t>
      </w:r>
      <w:r w:rsidR="00794E53">
        <w:t>in Appendix B</w:t>
      </w:r>
      <w:r w:rsidR="00D069CC">
        <w:t>)</w:t>
      </w:r>
      <w:r>
        <w:t xml:space="preserve"> and some limited updates were made to the ITU Radio Regulations</w:t>
      </w:r>
      <w:r w:rsidR="00CD2C30">
        <w:t>.</w:t>
      </w:r>
      <w:r w:rsidR="00815C5A">
        <w:t xml:space="preserve"> </w:t>
      </w:r>
      <w:r>
        <w:t xml:space="preserve">Australia did not take a </w:t>
      </w:r>
      <w:r w:rsidR="0028527D">
        <w:t>firm</w:t>
      </w:r>
      <w:r>
        <w:t xml:space="preserve"> position on this issue at WRC-19</w:t>
      </w:r>
      <w:r w:rsidR="00C649EC">
        <w:t>,</w:t>
      </w:r>
      <w:r>
        <w:t xml:space="preserve"> but we consider it prudent to </w:t>
      </w:r>
      <w:r w:rsidR="00FC4436">
        <w:t xml:space="preserve">include </w:t>
      </w:r>
      <w:r w:rsidR="00840EBA">
        <w:t xml:space="preserve">a discussion on this band alongside that on the </w:t>
      </w:r>
      <w:r>
        <w:t>6</w:t>
      </w:r>
      <w:r w:rsidR="001D2F81">
        <w:t> </w:t>
      </w:r>
      <w:r>
        <w:t>GHz</w:t>
      </w:r>
      <w:r w:rsidR="00840EBA">
        <w:t xml:space="preserve"> band.</w:t>
      </w:r>
    </w:p>
    <w:p w14:paraId="5A7B5C99" w14:textId="77777777" w:rsidR="00B2721D" w:rsidRDefault="00831908" w:rsidP="00326DE9">
      <w:pPr>
        <w:pStyle w:val="Paragraphbeforelist"/>
      </w:pPr>
      <w:r>
        <w:t xml:space="preserve">Other than RLAN, </w:t>
      </w:r>
      <w:r w:rsidR="00B2721D">
        <w:t xml:space="preserve">other current uses </w:t>
      </w:r>
      <w:r>
        <w:t xml:space="preserve">of the 5 GHz Band </w:t>
      </w:r>
      <w:r w:rsidR="00B2721D">
        <w:t>include:</w:t>
      </w:r>
    </w:p>
    <w:p w14:paraId="1D336231" w14:textId="45B53474" w:rsidR="00B2721D" w:rsidRDefault="00831908" w:rsidP="00326DE9">
      <w:pPr>
        <w:pStyle w:val="Bulletlevel1"/>
      </w:pPr>
      <w:r>
        <w:t>other</w:t>
      </w:r>
      <w:r w:rsidR="00743C93">
        <w:t xml:space="preserve"> class</w:t>
      </w:r>
      <w:r w:rsidR="00A57B74">
        <w:t>-</w:t>
      </w:r>
      <w:r w:rsidR="00743C93">
        <w:t>licensed</w:t>
      </w:r>
      <w:r>
        <w:t xml:space="preserve"> LIPD</w:t>
      </w:r>
      <w:r w:rsidR="00743C93">
        <w:t>s</w:t>
      </w:r>
    </w:p>
    <w:p w14:paraId="2BB2314A" w14:textId="77777777" w:rsidR="00B2721D" w:rsidRDefault="006C6379" w:rsidP="00326DE9">
      <w:pPr>
        <w:pStyle w:val="Bulletlevel1"/>
      </w:pPr>
      <w:r>
        <w:t>intelligent transport services (ITS)</w:t>
      </w:r>
    </w:p>
    <w:p w14:paraId="3D116AA5" w14:textId="1801F7A9" w:rsidR="00B2721D" w:rsidRDefault="00743C93" w:rsidP="00326DE9">
      <w:pPr>
        <w:pStyle w:val="Bulletlevel1"/>
      </w:pPr>
      <w:r>
        <w:t xml:space="preserve">fixed </w:t>
      </w:r>
      <w:r w:rsidR="005B656C">
        <w:t>point-to-point and point-to-multipoint</w:t>
      </w:r>
      <w:r w:rsidR="00BE4A47">
        <w:t xml:space="preserve"> services</w:t>
      </w:r>
    </w:p>
    <w:p w14:paraId="488A0C45" w14:textId="782C2F99" w:rsidR="00B2721D" w:rsidRDefault="00831908" w:rsidP="00326DE9">
      <w:pPr>
        <w:pStyle w:val="Bulletlevel1"/>
      </w:pPr>
      <w:r>
        <w:t>satellite services</w:t>
      </w:r>
    </w:p>
    <w:p w14:paraId="522AEAE8" w14:textId="4BA9CAB2" w:rsidR="000C226D" w:rsidRDefault="000C226D" w:rsidP="00326DE9">
      <w:pPr>
        <w:pStyle w:val="Bulletlevel1"/>
      </w:pPr>
      <w:r>
        <w:t>weather radar</w:t>
      </w:r>
    </w:p>
    <w:p w14:paraId="61D3C73D" w14:textId="77777777" w:rsidR="00B2721D" w:rsidRDefault="00831908" w:rsidP="00326DE9">
      <w:pPr>
        <w:pStyle w:val="Bulletlevel1"/>
      </w:pPr>
      <w:r>
        <w:t>radio astronomy</w:t>
      </w:r>
    </w:p>
    <w:p w14:paraId="4F44C7AF" w14:textId="77777777" w:rsidR="00B2721D" w:rsidRDefault="00831908" w:rsidP="00326DE9">
      <w:pPr>
        <w:pStyle w:val="Bulletlevel1last"/>
      </w:pPr>
      <w:r>
        <w:t>Defence.</w:t>
      </w:r>
    </w:p>
    <w:p w14:paraId="49C08567" w14:textId="48DB1503" w:rsidR="00705283" w:rsidRDefault="00831908" w:rsidP="00B2721D">
      <w:pPr>
        <w:pStyle w:val="Paragraph"/>
      </w:pPr>
      <w:r>
        <w:t xml:space="preserve">The 6 GHz Band is predominantly used for fixed and satellite services, with some radio astronomy. </w:t>
      </w:r>
      <w:r w:rsidR="006C11C3">
        <w:t xml:space="preserve">Not all the services shown </w:t>
      </w:r>
      <w:r w:rsidR="00743C93">
        <w:t xml:space="preserve">in Figure 1 are </w:t>
      </w:r>
      <w:r w:rsidR="006C11C3">
        <w:t xml:space="preserve">used Australia-wide, and some are only in very </w:t>
      </w:r>
      <w:r w:rsidR="00743C93">
        <w:t>specific</w:t>
      </w:r>
      <w:r w:rsidR="006C11C3">
        <w:t xml:space="preserve"> </w:t>
      </w:r>
      <w:r w:rsidR="00743C93">
        <w:t xml:space="preserve">locations or </w:t>
      </w:r>
      <w:r w:rsidR="006C11C3">
        <w:t xml:space="preserve">geographic areas. </w:t>
      </w:r>
      <w:r w:rsidR="00457036">
        <w:t>Among other factors, a</w:t>
      </w:r>
      <w:r>
        <w:t>ny updates to the bands would need to take into consideration existing users</w:t>
      </w:r>
      <w:r w:rsidR="006C11C3">
        <w:t xml:space="preserve"> in the appropriate locations</w:t>
      </w:r>
      <w:r>
        <w:t>.</w:t>
      </w:r>
    </w:p>
    <w:p w14:paraId="4A4EDF2B" w14:textId="77777777" w:rsidR="00705283" w:rsidRDefault="00705283" w:rsidP="00705283">
      <w:pPr>
        <w:pStyle w:val="Figureheading"/>
        <w:sectPr w:rsidR="00705283" w:rsidSect="00C77380">
          <w:headerReference w:type="even" r:id="rId31"/>
          <w:headerReference w:type="default" r:id="rId32"/>
          <w:footerReference w:type="even" r:id="rId33"/>
          <w:footerReference w:type="default" r:id="rId34"/>
          <w:pgSz w:w="11906" w:h="16838" w:code="9"/>
          <w:pgMar w:top="1945" w:right="3101" w:bottom="1134" w:left="1134" w:header="709" w:footer="119" w:gutter="0"/>
          <w:pgNumType w:start="1"/>
          <w:cols w:space="708"/>
          <w:docGrid w:linePitch="360"/>
        </w:sectPr>
      </w:pPr>
    </w:p>
    <w:p w14:paraId="04614D82" w14:textId="21E43195" w:rsidR="00705283" w:rsidRDefault="00705283" w:rsidP="00EA6FAA">
      <w:pPr>
        <w:pStyle w:val="ACMAFigureHeader"/>
      </w:pPr>
      <w:r>
        <w:lastRenderedPageBreak/>
        <w:t>Current arrangements in Australia</w:t>
      </w:r>
    </w:p>
    <w:p w14:paraId="23E71ABB" w14:textId="6A0C9B3C" w:rsidR="00705283" w:rsidRDefault="00794E53" w:rsidP="00705283">
      <w:pPr>
        <w:pStyle w:val="ACMATableHeader"/>
        <w:numPr>
          <w:ilvl w:val="0"/>
          <w:numId w:val="0"/>
        </w:numPr>
        <w:ind w:left="964" w:hanging="964"/>
      </w:pPr>
      <w:r>
        <w:rPr>
          <w:b w:val="0"/>
          <w:bCs w:val="0"/>
          <w:noProof/>
          <w:color w:val="auto"/>
          <w:sz w:val="16"/>
          <w:szCs w:val="16"/>
        </w:rPr>
        <w:drawing>
          <wp:inline distT="0" distB="0" distL="0" distR="0" wp14:anchorId="3BF95938" wp14:editId="7F459CA8">
            <wp:extent cx="9889782" cy="4484270"/>
            <wp:effectExtent l="0" t="0" r="0" b="0"/>
            <wp:docPr id="4" name="Picture 4" descr="Diagram shows current arrangements that are mostly explained in the text. However, if you would like help to access this diagram, please tel 1300 850 115 or email info@acma.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agram shows current arrangements that are mostly explained in the text. However, if you would like help to access this diagram, please tel 1300 850 115 or email info@acma.gov.au"/>
                    <pic:cNvPicPr>
                      <a:picLocks noChangeAspect="1" noChangeArrowheads="1"/>
                    </pic:cNvPicPr>
                  </pic:nvPicPr>
                  <pic:blipFill>
                    <a:blip r:embed="rId35"/>
                    <a:stretch>
                      <a:fillRect/>
                    </a:stretch>
                  </pic:blipFill>
                  <pic:spPr bwMode="auto">
                    <a:xfrm>
                      <a:off x="0" y="0"/>
                      <a:ext cx="9889782" cy="4484270"/>
                    </a:xfrm>
                    <a:prstGeom prst="rect">
                      <a:avLst/>
                    </a:prstGeom>
                    <a:noFill/>
                    <a:ln>
                      <a:noFill/>
                    </a:ln>
                  </pic:spPr>
                </pic:pic>
              </a:graphicData>
            </a:graphic>
          </wp:inline>
        </w:drawing>
      </w:r>
    </w:p>
    <w:p w14:paraId="73F95073" w14:textId="5417C491" w:rsidR="00705283" w:rsidRDefault="00705283" w:rsidP="00705283">
      <w:pPr>
        <w:pStyle w:val="Tableorfigurenotemultiple"/>
      </w:pPr>
      <w:r>
        <w:t xml:space="preserve">Current arrangements in the 5 GHz and 6 GHz </w:t>
      </w:r>
      <w:r w:rsidR="00AF615D">
        <w:t>b</w:t>
      </w:r>
      <w:r>
        <w:t>ands in Australia. See Table 1 for details on each item in th</w:t>
      </w:r>
      <w:r w:rsidR="007F67E7">
        <w:t>e</w:t>
      </w:r>
      <w:r>
        <w:t xml:space="preserve"> diagram.</w:t>
      </w:r>
    </w:p>
    <w:p w14:paraId="441D3C28" w14:textId="77777777" w:rsidR="00705283" w:rsidRDefault="00705283">
      <w:pPr>
        <w:spacing w:after="0" w:line="240" w:lineRule="auto"/>
        <w:sectPr w:rsidR="00705283" w:rsidSect="00C649EC">
          <w:headerReference w:type="even" r:id="rId36"/>
          <w:footerReference w:type="default" r:id="rId37"/>
          <w:pgSz w:w="16838" w:h="11906" w:orient="landscape" w:code="9"/>
          <w:pgMar w:top="1134" w:right="1945" w:bottom="1134" w:left="1134" w:header="709" w:footer="113" w:gutter="0"/>
          <w:cols w:space="708"/>
          <w:docGrid w:linePitch="360"/>
        </w:sectPr>
      </w:pPr>
    </w:p>
    <w:p w14:paraId="39F62817" w14:textId="70A07164" w:rsidR="007F67E7" w:rsidRDefault="007F67E7" w:rsidP="007F67E7">
      <w:pPr>
        <w:pStyle w:val="Tableheading"/>
      </w:pPr>
      <w:r>
        <w:lastRenderedPageBreak/>
        <w:t>Details of the services shown in Figure 1</w:t>
      </w:r>
    </w:p>
    <w:tbl>
      <w:tblPr>
        <w:tblStyle w:val="ACMAtablestyle"/>
        <w:tblW w:w="5000" w:type="pct"/>
        <w:tblLayout w:type="fixed"/>
        <w:tblLook w:val="01E0" w:firstRow="1" w:lastRow="1" w:firstColumn="1" w:lastColumn="1" w:noHBand="0" w:noVBand="0"/>
        <w:tblCaption w:val="Table title to go here"/>
        <w:tblDescription w:val="Table description to go here"/>
      </w:tblPr>
      <w:tblGrid>
        <w:gridCol w:w="1271"/>
        <w:gridCol w:w="1276"/>
        <w:gridCol w:w="5114"/>
      </w:tblGrid>
      <w:tr w:rsidR="000F1AB7" w:rsidRPr="006D46E5" w14:paraId="6B981F2A" w14:textId="77777777" w:rsidTr="0028527D">
        <w:trPr>
          <w:cnfStyle w:val="100000000000" w:firstRow="1" w:lastRow="0" w:firstColumn="0" w:lastColumn="0" w:oddVBand="0" w:evenVBand="0" w:oddHBand="0" w:evenHBand="0" w:firstRowFirstColumn="0" w:firstRowLastColumn="0" w:lastRowFirstColumn="0" w:lastRowLastColumn="0"/>
          <w:cantSplit/>
        </w:trPr>
        <w:tc>
          <w:tcPr>
            <w:tcW w:w="2547" w:type="dxa"/>
            <w:gridSpan w:val="2"/>
            <w:tcMar>
              <w:top w:w="85" w:type="dxa"/>
              <w:bottom w:w="85" w:type="dxa"/>
            </w:tcMar>
            <w:vAlign w:val="center"/>
          </w:tcPr>
          <w:p w14:paraId="018B8FAE" w14:textId="754582BF" w:rsidR="000F1AB7" w:rsidRDefault="000F1AB7" w:rsidP="00BC3D5C">
            <w:pPr>
              <w:pStyle w:val="Tableheaderrow"/>
              <w:jc w:val="center"/>
            </w:pPr>
            <w:r>
              <w:t>Label in Figure 1</w:t>
            </w:r>
          </w:p>
        </w:tc>
        <w:tc>
          <w:tcPr>
            <w:tcW w:w="5114" w:type="dxa"/>
            <w:tcMar>
              <w:top w:w="85" w:type="dxa"/>
              <w:bottom w:w="85" w:type="dxa"/>
            </w:tcMar>
            <w:vAlign w:val="center"/>
          </w:tcPr>
          <w:p w14:paraId="67EFC0B3" w14:textId="77777777" w:rsidR="000F1AB7" w:rsidRPr="00930510" w:rsidRDefault="000F1AB7" w:rsidP="00BC3D5C">
            <w:pPr>
              <w:pStyle w:val="Tableheaderrow"/>
              <w:jc w:val="center"/>
            </w:pPr>
            <w:r>
              <w:t>Description</w:t>
            </w:r>
          </w:p>
        </w:tc>
      </w:tr>
      <w:tr w:rsidR="000F1AB7" w:rsidRPr="006D46E5" w14:paraId="69A73416" w14:textId="77777777" w:rsidTr="0028527D">
        <w:trPr>
          <w:cnfStyle w:val="000000100000" w:firstRow="0" w:lastRow="0" w:firstColumn="0" w:lastColumn="0" w:oddVBand="0" w:evenVBand="0" w:oddHBand="1" w:evenHBand="0" w:firstRowFirstColumn="0" w:firstRowLastColumn="0" w:lastRowFirstColumn="0" w:lastRowLastColumn="0"/>
          <w:cantSplit/>
        </w:trPr>
        <w:tc>
          <w:tcPr>
            <w:tcW w:w="1271" w:type="dxa"/>
            <w:vMerge w:val="restart"/>
            <w:shd w:val="clear" w:color="auto" w:fill="auto"/>
            <w:tcMar>
              <w:top w:w="85" w:type="dxa"/>
              <w:bottom w:w="85" w:type="dxa"/>
            </w:tcMar>
            <w:vAlign w:val="center"/>
          </w:tcPr>
          <w:p w14:paraId="45F07536" w14:textId="11E45983" w:rsidR="000F1AB7" w:rsidRPr="00930510" w:rsidRDefault="000F1AB7" w:rsidP="000F1AB7">
            <w:pPr>
              <w:pStyle w:val="TableBody"/>
            </w:pPr>
            <w:r>
              <w:t>Class licences</w:t>
            </w:r>
          </w:p>
        </w:tc>
        <w:tc>
          <w:tcPr>
            <w:tcW w:w="1276" w:type="dxa"/>
            <w:tcMar>
              <w:top w:w="85" w:type="dxa"/>
              <w:bottom w:w="85" w:type="dxa"/>
            </w:tcMar>
            <w:vAlign w:val="center"/>
          </w:tcPr>
          <w:p w14:paraId="34CD6246" w14:textId="2803D2D0" w:rsidR="000F1AB7" w:rsidRDefault="000F1AB7" w:rsidP="000F1AB7">
            <w:pPr>
              <w:pStyle w:val="TableBody"/>
            </w:pPr>
            <w:r>
              <w:t>Aero</w:t>
            </w:r>
          </w:p>
        </w:tc>
        <w:tc>
          <w:tcPr>
            <w:tcW w:w="5114" w:type="dxa"/>
            <w:tcMar>
              <w:top w:w="85" w:type="dxa"/>
              <w:bottom w:w="85" w:type="dxa"/>
            </w:tcMar>
            <w:vAlign w:val="center"/>
          </w:tcPr>
          <w:p w14:paraId="463FE01C" w14:textId="42C071A2" w:rsidR="000F1AB7" w:rsidRPr="00930510" w:rsidRDefault="000F1AB7" w:rsidP="000F1AB7">
            <w:pPr>
              <w:pStyle w:val="TableBody"/>
            </w:pPr>
            <w:r>
              <w:t xml:space="preserve">Weather </w:t>
            </w:r>
            <w:r w:rsidR="00530B3A">
              <w:t>r</w:t>
            </w:r>
            <w:r>
              <w:t xml:space="preserve">adar operated under the </w:t>
            </w:r>
            <w:hyperlink r:id="rId38" w:history="1">
              <w:r w:rsidR="0028527D" w:rsidRPr="00406256">
                <w:rPr>
                  <w:rStyle w:val="Hyperlink"/>
                </w:rPr>
                <w:t>Radiocommunications (Aircraft and Aeronautical Mobile Stations)</w:t>
              </w:r>
              <w:r w:rsidRPr="00406256">
                <w:rPr>
                  <w:rStyle w:val="Hyperlink"/>
                </w:rPr>
                <w:t xml:space="preserve"> Class Licenc</w:t>
              </w:r>
              <w:r w:rsidR="0028527D" w:rsidRPr="00406256">
                <w:rPr>
                  <w:rStyle w:val="Hyperlink"/>
                </w:rPr>
                <w:t>e 2016</w:t>
              </w:r>
            </w:hyperlink>
            <w:r w:rsidR="00530B3A">
              <w:t>.</w:t>
            </w:r>
          </w:p>
        </w:tc>
      </w:tr>
      <w:tr w:rsidR="000F1AB7" w:rsidRPr="006D46E5" w14:paraId="631D93AC" w14:textId="77777777" w:rsidTr="0028527D">
        <w:trPr>
          <w:cnfStyle w:val="000000010000" w:firstRow="0" w:lastRow="0" w:firstColumn="0" w:lastColumn="0" w:oddVBand="0" w:evenVBand="0" w:oddHBand="0" w:evenHBand="1" w:firstRowFirstColumn="0" w:firstRowLastColumn="0" w:lastRowFirstColumn="0" w:lastRowLastColumn="0"/>
          <w:cantSplit/>
        </w:trPr>
        <w:tc>
          <w:tcPr>
            <w:tcW w:w="1271" w:type="dxa"/>
            <w:vMerge/>
            <w:shd w:val="clear" w:color="auto" w:fill="auto"/>
            <w:tcMar>
              <w:top w:w="85" w:type="dxa"/>
              <w:bottom w:w="85" w:type="dxa"/>
            </w:tcMar>
            <w:vAlign w:val="center"/>
          </w:tcPr>
          <w:p w14:paraId="4E861B84" w14:textId="1DB5A841" w:rsidR="000F1AB7" w:rsidRPr="00930510" w:rsidRDefault="000F1AB7" w:rsidP="000F1AB7">
            <w:pPr>
              <w:pStyle w:val="TableBody"/>
            </w:pPr>
          </w:p>
        </w:tc>
        <w:tc>
          <w:tcPr>
            <w:tcW w:w="1276" w:type="dxa"/>
            <w:tcMar>
              <w:top w:w="85" w:type="dxa"/>
              <w:bottom w:w="85" w:type="dxa"/>
            </w:tcMar>
            <w:vAlign w:val="center"/>
          </w:tcPr>
          <w:p w14:paraId="09DA6389" w14:textId="19355A2F" w:rsidR="000F1AB7" w:rsidRDefault="000F1AB7" w:rsidP="000F1AB7">
            <w:pPr>
              <w:pStyle w:val="TableBody"/>
            </w:pPr>
            <w:r>
              <w:t>Amateur</w:t>
            </w:r>
          </w:p>
        </w:tc>
        <w:tc>
          <w:tcPr>
            <w:tcW w:w="5114" w:type="dxa"/>
            <w:tcMar>
              <w:top w:w="85" w:type="dxa"/>
              <w:bottom w:w="85" w:type="dxa"/>
            </w:tcMar>
            <w:vAlign w:val="center"/>
          </w:tcPr>
          <w:p w14:paraId="1A292450" w14:textId="168550F0" w:rsidR="000F1AB7" w:rsidRPr="00930510" w:rsidRDefault="000F1AB7" w:rsidP="000F1AB7">
            <w:pPr>
              <w:pStyle w:val="TableBody"/>
            </w:pPr>
            <w:r>
              <w:t xml:space="preserve">Stations using the </w:t>
            </w:r>
            <w:hyperlink r:id="rId39" w:history="1">
              <w:r w:rsidR="0028527D" w:rsidRPr="00406256">
                <w:rPr>
                  <w:rStyle w:val="Hyperlink"/>
                </w:rPr>
                <w:t>Radiocommunications (O</w:t>
              </w:r>
              <w:r w:rsidRPr="00406256">
                <w:rPr>
                  <w:rStyle w:val="Hyperlink"/>
                </w:rPr>
                <w:t>verseas Amateurs Visiting Australia</w:t>
              </w:r>
              <w:r w:rsidR="0028527D" w:rsidRPr="00406256">
                <w:rPr>
                  <w:rStyle w:val="Hyperlink"/>
                </w:rPr>
                <w:t>)</w:t>
              </w:r>
              <w:r w:rsidRPr="00406256">
                <w:rPr>
                  <w:rStyle w:val="Hyperlink"/>
                </w:rPr>
                <w:t xml:space="preserve"> Class Licenc</w:t>
              </w:r>
              <w:r w:rsidR="0028527D" w:rsidRPr="00406256">
                <w:rPr>
                  <w:rStyle w:val="Hyperlink"/>
                </w:rPr>
                <w:t>e 2015</w:t>
              </w:r>
            </w:hyperlink>
            <w:r w:rsidR="00530B3A">
              <w:t>.</w:t>
            </w:r>
          </w:p>
        </w:tc>
      </w:tr>
      <w:tr w:rsidR="000F1AB7" w:rsidRPr="006D46E5" w14:paraId="64A85610" w14:textId="77777777" w:rsidTr="0028527D">
        <w:trPr>
          <w:cnfStyle w:val="000000100000" w:firstRow="0" w:lastRow="0" w:firstColumn="0" w:lastColumn="0" w:oddVBand="0" w:evenVBand="0" w:oddHBand="1" w:evenHBand="0" w:firstRowFirstColumn="0" w:firstRowLastColumn="0" w:lastRowFirstColumn="0" w:lastRowLastColumn="0"/>
          <w:cantSplit/>
        </w:trPr>
        <w:tc>
          <w:tcPr>
            <w:tcW w:w="1271" w:type="dxa"/>
            <w:vMerge/>
            <w:shd w:val="clear" w:color="auto" w:fill="auto"/>
            <w:tcMar>
              <w:top w:w="85" w:type="dxa"/>
              <w:bottom w:w="85" w:type="dxa"/>
            </w:tcMar>
            <w:vAlign w:val="center"/>
          </w:tcPr>
          <w:p w14:paraId="00B7291F" w14:textId="412EC646" w:rsidR="000F1AB7" w:rsidRPr="00930510" w:rsidRDefault="000F1AB7" w:rsidP="000F1AB7">
            <w:pPr>
              <w:pStyle w:val="TableBody"/>
            </w:pPr>
          </w:p>
        </w:tc>
        <w:tc>
          <w:tcPr>
            <w:tcW w:w="1276" w:type="dxa"/>
            <w:tcMar>
              <w:top w:w="85" w:type="dxa"/>
              <w:bottom w:w="85" w:type="dxa"/>
            </w:tcMar>
            <w:vAlign w:val="center"/>
          </w:tcPr>
          <w:p w14:paraId="0DB13280" w14:textId="49B4E6FB" w:rsidR="000F1AB7" w:rsidRPr="00930510" w:rsidRDefault="000F1AB7" w:rsidP="000F1AB7">
            <w:pPr>
              <w:pStyle w:val="TableBody"/>
            </w:pPr>
            <w:r>
              <w:t>ITS</w:t>
            </w:r>
          </w:p>
        </w:tc>
        <w:tc>
          <w:tcPr>
            <w:tcW w:w="5114" w:type="dxa"/>
            <w:tcMar>
              <w:top w:w="85" w:type="dxa"/>
              <w:bottom w:w="85" w:type="dxa"/>
            </w:tcMar>
            <w:vAlign w:val="center"/>
          </w:tcPr>
          <w:p w14:paraId="61EB20BB" w14:textId="5EFE0FA9" w:rsidR="000F1AB7" w:rsidRPr="00930510" w:rsidRDefault="000F1AB7" w:rsidP="000F1AB7">
            <w:pPr>
              <w:pStyle w:val="TableBody"/>
            </w:pPr>
            <w:r>
              <w:t xml:space="preserve">Devices operated under the </w:t>
            </w:r>
            <w:hyperlink r:id="rId40" w:history="1">
              <w:r w:rsidR="0028527D" w:rsidRPr="00406256">
                <w:rPr>
                  <w:rStyle w:val="Hyperlink"/>
                </w:rPr>
                <w:t>Radiocommunications (I</w:t>
              </w:r>
              <w:r w:rsidRPr="00406256">
                <w:rPr>
                  <w:rStyle w:val="Hyperlink"/>
                </w:rPr>
                <w:t>ntelligent Transport Systems</w:t>
              </w:r>
              <w:r w:rsidR="0028527D" w:rsidRPr="00406256">
                <w:rPr>
                  <w:rStyle w:val="Hyperlink"/>
                </w:rPr>
                <w:t>)</w:t>
              </w:r>
              <w:r w:rsidRPr="00406256">
                <w:rPr>
                  <w:rStyle w:val="Hyperlink"/>
                </w:rPr>
                <w:t xml:space="preserve"> Class Licenc</w:t>
              </w:r>
              <w:r w:rsidR="0028527D" w:rsidRPr="00406256">
                <w:rPr>
                  <w:rStyle w:val="Hyperlink"/>
                </w:rPr>
                <w:t>e 2017</w:t>
              </w:r>
            </w:hyperlink>
            <w:r w:rsidR="00530B3A">
              <w:t>.</w:t>
            </w:r>
          </w:p>
        </w:tc>
      </w:tr>
      <w:tr w:rsidR="000F1AB7" w:rsidRPr="006D46E5" w14:paraId="1B04C3C7" w14:textId="77777777" w:rsidTr="00217BC7">
        <w:trPr>
          <w:cnfStyle w:val="000000010000" w:firstRow="0" w:lastRow="0" w:firstColumn="0" w:lastColumn="0" w:oddVBand="0" w:evenVBand="0" w:oddHBand="0" w:evenHBand="1" w:firstRowFirstColumn="0" w:firstRowLastColumn="0" w:lastRowFirstColumn="0" w:lastRowLastColumn="0"/>
          <w:cantSplit/>
          <w:trHeight w:val="3176"/>
        </w:trPr>
        <w:tc>
          <w:tcPr>
            <w:tcW w:w="1271" w:type="dxa"/>
            <w:vMerge/>
            <w:shd w:val="clear" w:color="auto" w:fill="auto"/>
            <w:tcMar>
              <w:top w:w="85" w:type="dxa"/>
              <w:bottom w:w="85" w:type="dxa"/>
            </w:tcMar>
            <w:vAlign w:val="center"/>
          </w:tcPr>
          <w:p w14:paraId="28FA7DCE" w14:textId="77777777" w:rsidR="000F1AB7" w:rsidRPr="00930510" w:rsidRDefault="000F1AB7" w:rsidP="000F1AB7">
            <w:pPr>
              <w:pStyle w:val="TableBody"/>
            </w:pPr>
          </w:p>
        </w:tc>
        <w:tc>
          <w:tcPr>
            <w:tcW w:w="1276" w:type="dxa"/>
            <w:tcMar>
              <w:top w:w="85" w:type="dxa"/>
              <w:bottom w:w="85" w:type="dxa"/>
            </w:tcMar>
            <w:vAlign w:val="center"/>
          </w:tcPr>
          <w:p w14:paraId="2CB90115" w14:textId="035F1B33" w:rsidR="000F1AB7" w:rsidRPr="00930510" w:rsidRDefault="000F1AB7" w:rsidP="000F1AB7">
            <w:pPr>
              <w:pStyle w:val="TableBody"/>
            </w:pPr>
            <w:r>
              <w:t>RLAN</w:t>
            </w:r>
          </w:p>
        </w:tc>
        <w:tc>
          <w:tcPr>
            <w:tcW w:w="5114" w:type="dxa"/>
            <w:tcMar>
              <w:top w:w="85" w:type="dxa"/>
              <w:bottom w:w="85" w:type="dxa"/>
            </w:tcMar>
            <w:vAlign w:val="center"/>
          </w:tcPr>
          <w:p w14:paraId="35795A56" w14:textId="6BD420F3" w:rsidR="000F1AB7" w:rsidRDefault="000F1AB7" w:rsidP="00406256">
            <w:pPr>
              <w:pStyle w:val="TableBody"/>
              <w:spacing w:after="80"/>
            </w:pPr>
            <w:r>
              <w:t xml:space="preserve">RLAN devices </w:t>
            </w:r>
            <w:r w:rsidR="00B972A3">
              <w:t>are specifically authorised to</w:t>
            </w:r>
            <w:r>
              <w:t xml:space="preserve"> operate in the 5 GHz Band with the following restrictions under the </w:t>
            </w:r>
            <w:hyperlink r:id="rId41" w:history="1">
              <w:r w:rsidRPr="00743C93">
                <w:rPr>
                  <w:rStyle w:val="Hyperlink"/>
                </w:rPr>
                <w:t xml:space="preserve">LIPD </w:t>
              </w:r>
              <w:r w:rsidR="0028527D">
                <w:rPr>
                  <w:rStyle w:val="Hyperlink"/>
                </w:rPr>
                <w:t>c</w:t>
              </w:r>
              <w:r w:rsidRPr="00743C93">
                <w:rPr>
                  <w:rStyle w:val="Hyperlink"/>
                </w:rPr>
                <w:t xml:space="preserve">lass </w:t>
              </w:r>
              <w:r w:rsidR="0028527D">
                <w:rPr>
                  <w:rStyle w:val="Hyperlink"/>
                </w:rPr>
                <w:t>l</w:t>
              </w:r>
              <w:r w:rsidRPr="00743C93">
                <w:rPr>
                  <w:rStyle w:val="Hyperlink"/>
                </w:rPr>
                <w:t>icence</w:t>
              </w:r>
            </w:hyperlink>
            <w:r>
              <w:t>:</w:t>
            </w:r>
          </w:p>
          <w:p w14:paraId="51F5F7FB" w14:textId="440106F5" w:rsidR="000F1AB7" w:rsidRDefault="000F1AB7" w:rsidP="00406256">
            <w:pPr>
              <w:pStyle w:val="Bulletlevel1"/>
            </w:pPr>
            <w:r w:rsidRPr="000F1AB7">
              <w:rPr>
                <w:b/>
                <w:bCs/>
              </w:rPr>
              <w:t>5150–5350 MHz:</w:t>
            </w:r>
            <w:r>
              <w:t xml:space="preserve"> indoor use only, maximum 200mW EIRP</w:t>
            </w:r>
            <w:r w:rsidR="00126BB8">
              <w:t>, DFS and TPC required in some cases</w:t>
            </w:r>
          </w:p>
          <w:p w14:paraId="64372788" w14:textId="7674C86E" w:rsidR="000F1AB7" w:rsidRDefault="000F1AB7" w:rsidP="00406256">
            <w:pPr>
              <w:pStyle w:val="Bulletlevel1"/>
            </w:pPr>
            <w:r w:rsidRPr="000F1AB7">
              <w:rPr>
                <w:b/>
                <w:bCs/>
              </w:rPr>
              <w:t>5470–5600 MHz:</w:t>
            </w:r>
            <w:r>
              <w:t xml:space="preserve"> maximum 1 W EIRP</w:t>
            </w:r>
            <w:r w:rsidR="00126BB8">
              <w:t>, DFS required, TPC for higher powers</w:t>
            </w:r>
          </w:p>
          <w:p w14:paraId="784CCCA1" w14:textId="062588E8" w:rsidR="00B972A3" w:rsidRDefault="000F1AB7" w:rsidP="00406256">
            <w:pPr>
              <w:pStyle w:val="Bulletlevel1"/>
            </w:pPr>
            <w:r w:rsidRPr="000F1AB7">
              <w:rPr>
                <w:b/>
                <w:bCs/>
              </w:rPr>
              <w:t>5650–5725 MHz:</w:t>
            </w:r>
            <w:r>
              <w:t xml:space="preserve"> maximum 1 W EIRP</w:t>
            </w:r>
            <w:r w:rsidR="00126BB8">
              <w:t>, DFS required, TPC for higher powers</w:t>
            </w:r>
            <w:r w:rsidR="000E5753">
              <w:t>.</w:t>
            </w:r>
          </w:p>
          <w:p w14:paraId="506B53C7" w14:textId="46C0CE9F" w:rsidR="00B972A3" w:rsidRPr="00930510" w:rsidRDefault="00B972A3" w:rsidP="00217BC7">
            <w:pPr>
              <w:pStyle w:val="Paragraph"/>
              <w:spacing w:after="0"/>
            </w:pPr>
            <w:r w:rsidRPr="00B972A3">
              <w:t xml:space="preserve">They can also operate in the </w:t>
            </w:r>
            <w:r w:rsidRPr="00B972A3">
              <w:rPr>
                <w:b/>
                <w:bCs/>
              </w:rPr>
              <w:t>5725–5850 MHz</w:t>
            </w:r>
            <w:r w:rsidRPr="00B972A3">
              <w:t xml:space="preserve"> range </w:t>
            </w:r>
            <w:r w:rsidRPr="00406256">
              <w:t>–</w:t>
            </w:r>
            <w:r>
              <w:t xml:space="preserve"> see the entry for </w:t>
            </w:r>
            <w:r w:rsidR="00530B3A">
              <w:t>‘</w:t>
            </w:r>
            <w:r>
              <w:t>Various</w:t>
            </w:r>
            <w:r w:rsidR="00530B3A">
              <w:t>’</w:t>
            </w:r>
            <w:r>
              <w:t xml:space="preserve"> below.</w:t>
            </w:r>
          </w:p>
        </w:tc>
      </w:tr>
      <w:tr w:rsidR="000F1AB7" w:rsidRPr="006D46E5" w14:paraId="0FA718D7" w14:textId="77777777" w:rsidTr="0028527D">
        <w:trPr>
          <w:cnfStyle w:val="000000100000" w:firstRow="0" w:lastRow="0" w:firstColumn="0" w:lastColumn="0" w:oddVBand="0" w:evenVBand="0" w:oddHBand="1" w:evenHBand="0" w:firstRowFirstColumn="0" w:firstRowLastColumn="0" w:lastRowFirstColumn="0" w:lastRowLastColumn="0"/>
          <w:cantSplit/>
        </w:trPr>
        <w:tc>
          <w:tcPr>
            <w:tcW w:w="1271" w:type="dxa"/>
            <w:vMerge/>
            <w:shd w:val="clear" w:color="auto" w:fill="auto"/>
            <w:tcMar>
              <w:top w:w="85" w:type="dxa"/>
              <w:bottom w:w="85" w:type="dxa"/>
            </w:tcMar>
            <w:vAlign w:val="center"/>
          </w:tcPr>
          <w:p w14:paraId="3C80FFFB" w14:textId="77777777" w:rsidR="000F1AB7" w:rsidRPr="00930510" w:rsidRDefault="000F1AB7" w:rsidP="000F1AB7">
            <w:pPr>
              <w:pStyle w:val="TableBody"/>
            </w:pPr>
          </w:p>
        </w:tc>
        <w:tc>
          <w:tcPr>
            <w:tcW w:w="1276" w:type="dxa"/>
            <w:tcMar>
              <w:top w:w="85" w:type="dxa"/>
              <w:bottom w:w="85" w:type="dxa"/>
            </w:tcMar>
            <w:vAlign w:val="center"/>
          </w:tcPr>
          <w:p w14:paraId="3BE923FD" w14:textId="3039E7C8" w:rsidR="000F1AB7" w:rsidRDefault="000F1AB7" w:rsidP="000F1AB7">
            <w:pPr>
              <w:pStyle w:val="TableBody"/>
            </w:pPr>
            <w:r>
              <w:t>UWB</w:t>
            </w:r>
          </w:p>
        </w:tc>
        <w:tc>
          <w:tcPr>
            <w:tcW w:w="5114" w:type="dxa"/>
            <w:tcMar>
              <w:top w:w="85" w:type="dxa"/>
              <w:bottom w:w="85" w:type="dxa"/>
            </w:tcMar>
            <w:vAlign w:val="center"/>
          </w:tcPr>
          <w:p w14:paraId="7A1678A6" w14:textId="08E6ED17" w:rsidR="000F1AB7" w:rsidRDefault="000F1AB7" w:rsidP="000F1AB7">
            <w:pPr>
              <w:pStyle w:val="TableBody"/>
            </w:pPr>
            <w:r>
              <w:t>Ultra</w:t>
            </w:r>
            <w:r w:rsidR="00743C93">
              <w:t>-w</w:t>
            </w:r>
            <w:r>
              <w:t xml:space="preserve">ideband </w:t>
            </w:r>
            <w:r w:rsidR="006A40A5">
              <w:t xml:space="preserve">(UWB) </w:t>
            </w:r>
            <w:r>
              <w:t xml:space="preserve">transmitters operating under item 78 of </w:t>
            </w:r>
            <w:r w:rsidR="0028527D">
              <w:t xml:space="preserve">Schedule 1 to </w:t>
            </w:r>
            <w:r>
              <w:t xml:space="preserve">the </w:t>
            </w:r>
            <w:hyperlink r:id="rId42" w:history="1">
              <w:r w:rsidRPr="000F1AB7">
                <w:rPr>
                  <w:rStyle w:val="Hyperlink"/>
                </w:rPr>
                <w:t xml:space="preserve">LIPD </w:t>
              </w:r>
              <w:r w:rsidR="0028527D">
                <w:rPr>
                  <w:rStyle w:val="Hyperlink"/>
                </w:rPr>
                <w:t>c</w:t>
              </w:r>
              <w:r w:rsidRPr="000F1AB7">
                <w:rPr>
                  <w:rStyle w:val="Hyperlink"/>
                </w:rPr>
                <w:t xml:space="preserve">lass </w:t>
              </w:r>
              <w:r w:rsidR="0028527D">
                <w:rPr>
                  <w:rStyle w:val="Hyperlink"/>
                </w:rPr>
                <w:t>l</w:t>
              </w:r>
              <w:r w:rsidRPr="000F1AB7">
                <w:rPr>
                  <w:rStyle w:val="Hyperlink"/>
                </w:rPr>
                <w:t>icence</w:t>
              </w:r>
            </w:hyperlink>
            <w:r w:rsidR="00530B3A">
              <w:t>.</w:t>
            </w:r>
          </w:p>
        </w:tc>
      </w:tr>
      <w:tr w:rsidR="000F1AB7" w:rsidRPr="006D46E5" w14:paraId="6AF0574D" w14:textId="77777777" w:rsidTr="0028527D">
        <w:trPr>
          <w:cnfStyle w:val="000000010000" w:firstRow="0" w:lastRow="0" w:firstColumn="0" w:lastColumn="0" w:oddVBand="0" w:evenVBand="0" w:oddHBand="0" w:evenHBand="1" w:firstRowFirstColumn="0" w:firstRowLastColumn="0" w:lastRowFirstColumn="0" w:lastRowLastColumn="0"/>
          <w:cantSplit/>
        </w:trPr>
        <w:tc>
          <w:tcPr>
            <w:tcW w:w="1271" w:type="dxa"/>
            <w:vMerge/>
            <w:shd w:val="clear" w:color="auto" w:fill="auto"/>
            <w:tcMar>
              <w:top w:w="85" w:type="dxa"/>
              <w:bottom w:w="85" w:type="dxa"/>
            </w:tcMar>
            <w:vAlign w:val="center"/>
          </w:tcPr>
          <w:p w14:paraId="4F7BF302" w14:textId="77777777" w:rsidR="000F1AB7" w:rsidRPr="00930510" w:rsidRDefault="000F1AB7" w:rsidP="000F1AB7">
            <w:pPr>
              <w:pStyle w:val="TableBody"/>
            </w:pPr>
          </w:p>
        </w:tc>
        <w:tc>
          <w:tcPr>
            <w:tcW w:w="1276" w:type="dxa"/>
            <w:tcMar>
              <w:top w:w="85" w:type="dxa"/>
              <w:bottom w:w="85" w:type="dxa"/>
            </w:tcMar>
            <w:vAlign w:val="center"/>
          </w:tcPr>
          <w:p w14:paraId="6126852B" w14:textId="3179E90F" w:rsidR="000F1AB7" w:rsidRDefault="000F1AB7" w:rsidP="000F1AB7">
            <w:pPr>
              <w:pStyle w:val="TableBody"/>
            </w:pPr>
            <w:r>
              <w:t>Various</w:t>
            </w:r>
          </w:p>
        </w:tc>
        <w:tc>
          <w:tcPr>
            <w:tcW w:w="5114" w:type="dxa"/>
            <w:tcMar>
              <w:top w:w="85" w:type="dxa"/>
              <w:bottom w:w="85" w:type="dxa"/>
            </w:tcMar>
            <w:vAlign w:val="center"/>
          </w:tcPr>
          <w:p w14:paraId="0F458673" w14:textId="515A0ED8" w:rsidR="00743C93" w:rsidRDefault="000F1AB7" w:rsidP="000F1AB7">
            <w:pPr>
              <w:pStyle w:val="TableBody"/>
            </w:pPr>
            <w:r>
              <w:t xml:space="preserve">A range of </w:t>
            </w:r>
            <w:r w:rsidR="00165D73">
              <w:t>other</w:t>
            </w:r>
            <w:r>
              <w:t xml:space="preserve"> types of devices are </w:t>
            </w:r>
            <w:r w:rsidR="000D0909">
              <w:t>authorised</w:t>
            </w:r>
            <w:r w:rsidR="00165D73">
              <w:t xml:space="preserve"> </w:t>
            </w:r>
            <w:r>
              <w:t>with various restrictions</w:t>
            </w:r>
            <w:r w:rsidR="000D0909">
              <w:t xml:space="preserve"> u</w:t>
            </w:r>
            <w:r>
              <w:t xml:space="preserve">nder the </w:t>
            </w:r>
            <w:hyperlink r:id="rId43" w:history="1">
              <w:r w:rsidRPr="00DA7E31">
                <w:rPr>
                  <w:rStyle w:val="Hyperlink"/>
                </w:rPr>
                <w:t xml:space="preserve">LIPD </w:t>
              </w:r>
              <w:r w:rsidR="0028527D">
                <w:rPr>
                  <w:rStyle w:val="Hyperlink"/>
                </w:rPr>
                <w:t>c</w:t>
              </w:r>
              <w:r w:rsidRPr="00DA7E31">
                <w:rPr>
                  <w:rStyle w:val="Hyperlink"/>
                </w:rPr>
                <w:t xml:space="preserve">lass </w:t>
              </w:r>
              <w:r w:rsidR="0028527D">
                <w:rPr>
                  <w:rStyle w:val="Hyperlink"/>
                </w:rPr>
                <w:t>l</w:t>
              </w:r>
              <w:r w:rsidRPr="00DA7E31">
                <w:rPr>
                  <w:rStyle w:val="Hyperlink"/>
                </w:rPr>
                <w:t>icence</w:t>
              </w:r>
            </w:hyperlink>
            <w:r>
              <w:t xml:space="preserve">. </w:t>
            </w:r>
          </w:p>
          <w:p w14:paraId="1DCF9C9D" w14:textId="14E6F8F6" w:rsidR="000F1AB7" w:rsidRDefault="000F1AB7" w:rsidP="000F1AB7">
            <w:pPr>
              <w:pStyle w:val="TableBody"/>
            </w:pPr>
            <w:r>
              <w:t>See items</w:t>
            </w:r>
            <w:r w:rsidR="00217BC7">
              <w:t xml:space="preserve"> </w:t>
            </w:r>
            <w:r>
              <w:t>22 (all transmitters</w:t>
            </w:r>
            <w:r w:rsidR="005C21E1">
              <w:t xml:space="preserve"> at 25</w:t>
            </w:r>
            <w:r w:rsidR="00E402C2">
              <w:t> </w:t>
            </w:r>
            <w:r w:rsidR="005C21E1">
              <w:t>mW</w:t>
            </w:r>
            <w:r>
              <w:t>)</w:t>
            </w:r>
            <w:r w:rsidR="00E402C2">
              <w:t xml:space="preserve">, </w:t>
            </w:r>
            <w:r>
              <w:t>43 (</w:t>
            </w:r>
            <w:r w:rsidR="006F1800">
              <w:t>1</w:t>
            </w:r>
            <w:r w:rsidR="00E402C2">
              <w:t> </w:t>
            </w:r>
            <w:r w:rsidR="006F1800">
              <w:t xml:space="preserve">W </w:t>
            </w:r>
            <w:r>
              <w:t>RFID)</w:t>
            </w:r>
            <w:r w:rsidR="00E402C2">
              <w:t xml:space="preserve">, </w:t>
            </w:r>
            <w:r>
              <w:t>57 (</w:t>
            </w:r>
            <w:r w:rsidR="00CF5B1A">
              <w:t>4</w:t>
            </w:r>
            <w:r w:rsidR="00E402C2">
              <w:t> </w:t>
            </w:r>
            <w:r w:rsidR="00CF5B1A">
              <w:t xml:space="preserve">W </w:t>
            </w:r>
            <w:r>
              <w:t>frequency hopping) and 60 (</w:t>
            </w:r>
            <w:r w:rsidR="005C21E1">
              <w:t>4</w:t>
            </w:r>
            <w:r w:rsidR="00E402C2">
              <w:t> </w:t>
            </w:r>
            <w:r w:rsidR="005C21E1">
              <w:t xml:space="preserve">W </w:t>
            </w:r>
            <w:r>
              <w:t>digital modulation transmitters)</w:t>
            </w:r>
            <w:r w:rsidR="0028527D">
              <w:t xml:space="preserve"> of Schedule 1 to the LIPD class licence</w:t>
            </w:r>
            <w:r>
              <w:t>.</w:t>
            </w:r>
          </w:p>
        </w:tc>
      </w:tr>
      <w:tr w:rsidR="00017DF0" w:rsidRPr="006D46E5" w14:paraId="5FC540FA" w14:textId="77777777" w:rsidTr="0028527D">
        <w:trPr>
          <w:cnfStyle w:val="000000100000" w:firstRow="0" w:lastRow="0" w:firstColumn="0" w:lastColumn="0" w:oddVBand="0" w:evenVBand="0" w:oddHBand="1" w:evenHBand="0" w:firstRowFirstColumn="0" w:firstRowLastColumn="0" w:lastRowFirstColumn="0" w:lastRowLastColumn="0"/>
          <w:cantSplit/>
          <w:trHeight w:val="1022"/>
        </w:trPr>
        <w:tc>
          <w:tcPr>
            <w:tcW w:w="1271" w:type="dxa"/>
            <w:vMerge w:val="restart"/>
            <w:tcMar>
              <w:top w:w="85" w:type="dxa"/>
              <w:bottom w:w="85" w:type="dxa"/>
            </w:tcMar>
            <w:vAlign w:val="center"/>
          </w:tcPr>
          <w:p w14:paraId="680BF983" w14:textId="77777777" w:rsidR="00017DF0" w:rsidRPr="00930510" w:rsidRDefault="00017DF0" w:rsidP="000F1AB7">
            <w:pPr>
              <w:pStyle w:val="TableBody"/>
            </w:pPr>
            <w:r>
              <w:t>Fixed</w:t>
            </w:r>
          </w:p>
        </w:tc>
        <w:tc>
          <w:tcPr>
            <w:tcW w:w="1276" w:type="dxa"/>
            <w:tcMar>
              <w:top w:w="85" w:type="dxa"/>
              <w:bottom w:w="85" w:type="dxa"/>
            </w:tcMar>
            <w:vAlign w:val="center"/>
          </w:tcPr>
          <w:p w14:paraId="2E70143F" w14:textId="0A43BC35" w:rsidR="00017DF0" w:rsidRPr="00BA2F9C" w:rsidRDefault="00017DF0" w:rsidP="000F1AB7">
            <w:pPr>
              <w:pStyle w:val="TableBody"/>
              <w:rPr>
                <w:color w:val="FF0000"/>
              </w:rPr>
            </w:pPr>
            <w:r w:rsidRPr="006A48BB">
              <w:t>AUS96</w:t>
            </w:r>
          </w:p>
        </w:tc>
        <w:tc>
          <w:tcPr>
            <w:tcW w:w="5114" w:type="dxa"/>
            <w:tcMar>
              <w:top w:w="85" w:type="dxa"/>
              <w:bottom w:w="85" w:type="dxa"/>
            </w:tcMar>
            <w:vAlign w:val="center"/>
          </w:tcPr>
          <w:p w14:paraId="1CC57FD1" w14:textId="66A5AC40" w:rsidR="00017DF0" w:rsidRPr="00A51F43" w:rsidRDefault="00017DF0" w:rsidP="00217BC7">
            <w:pPr>
              <w:pStyle w:val="TableBody"/>
            </w:pPr>
            <w:bookmarkStart w:id="6" w:name="_Hlk66206335"/>
            <w:r w:rsidRPr="006A48BB">
              <w:t xml:space="preserve">Footnote AUS96 in the </w:t>
            </w:r>
            <w:hyperlink r:id="rId44" w:history="1">
              <w:r w:rsidRPr="0028527D">
                <w:rPr>
                  <w:rStyle w:val="Hyperlink"/>
                  <w:i/>
                  <w:iCs/>
                </w:rPr>
                <w:t>A</w:t>
              </w:r>
              <w:r w:rsidR="0028527D" w:rsidRPr="0028527D">
                <w:rPr>
                  <w:rStyle w:val="Hyperlink"/>
                  <w:i/>
                  <w:iCs/>
                </w:rPr>
                <w:t>ustralian Radiofrequency Spectrum Plan 2017</w:t>
              </w:r>
            </w:hyperlink>
            <w:r w:rsidRPr="006A48BB">
              <w:t xml:space="preserve"> </w:t>
            </w:r>
            <w:r w:rsidR="0028527D">
              <w:t xml:space="preserve">(ARSP) </w:t>
            </w:r>
            <w:r w:rsidRPr="006A48BB">
              <w:t>allows fixed services to operate in this band so long as they do not cause interference to other services.</w:t>
            </w:r>
            <w:r w:rsidR="00C760AF">
              <w:t xml:space="preserve"> </w:t>
            </w:r>
            <w:r w:rsidR="00A51F43">
              <w:t xml:space="preserve">These can operate in regional and remote areas, as described </w:t>
            </w:r>
            <w:r w:rsidR="00530B3A">
              <w:t xml:space="preserve">in </w:t>
            </w:r>
            <w:hyperlink r:id="rId45" w:history="1">
              <w:r w:rsidR="00EC0702" w:rsidRPr="00530B3A">
                <w:rPr>
                  <w:rStyle w:val="Hyperlink"/>
                </w:rPr>
                <w:t>point</w:t>
              </w:r>
              <w:r w:rsidR="00530B3A" w:rsidRPr="00530B3A">
                <w:rPr>
                  <w:rStyle w:val="Hyperlink"/>
                </w:rPr>
                <w:t>-</w:t>
              </w:r>
              <w:r w:rsidR="00EC0702" w:rsidRPr="00530B3A">
                <w:rPr>
                  <w:rStyle w:val="Hyperlink"/>
                </w:rPr>
                <w:t>to</w:t>
              </w:r>
              <w:r w:rsidR="00530B3A" w:rsidRPr="00530B3A">
                <w:rPr>
                  <w:rStyle w:val="Hyperlink"/>
                </w:rPr>
                <w:t>-</w:t>
              </w:r>
              <w:r w:rsidR="00EC0702" w:rsidRPr="00530B3A">
                <w:rPr>
                  <w:rStyle w:val="Hyperlink"/>
                </w:rPr>
                <w:t>point (5.8 GHz) arrangements</w:t>
              </w:r>
            </w:hyperlink>
            <w:r w:rsidR="00A51F43">
              <w:t>. T</w:t>
            </w:r>
            <w:r>
              <w:t>he main</w:t>
            </w:r>
            <w:r w:rsidR="00A51F43">
              <w:t xml:space="preserve"> licensees are</w:t>
            </w:r>
            <w:r>
              <w:t xml:space="preserve"> gas, coal and mining companies, and the Country Fire Authority in Victoria.</w:t>
            </w:r>
            <w:bookmarkEnd w:id="6"/>
          </w:p>
        </w:tc>
      </w:tr>
      <w:tr w:rsidR="00017DF0" w:rsidRPr="006D46E5" w14:paraId="757B2A15" w14:textId="77777777" w:rsidTr="0028527D">
        <w:trPr>
          <w:cnfStyle w:val="000000010000" w:firstRow="0" w:lastRow="0" w:firstColumn="0" w:lastColumn="0" w:oddVBand="0" w:evenVBand="0" w:oddHBand="0" w:evenHBand="1" w:firstRowFirstColumn="0" w:firstRowLastColumn="0" w:lastRowFirstColumn="0" w:lastRowLastColumn="0"/>
          <w:cantSplit/>
        </w:trPr>
        <w:tc>
          <w:tcPr>
            <w:tcW w:w="1271" w:type="dxa"/>
            <w:vMerge/>
            <w:tcMar>
              <w:top w:w="85" w:type="dxa"/>
              <w:bottom w:w="85" w:type="dxa"/>
            </w:tcMar>
            <w:vAlign w:val="center"/>
          </w:tcPr>
          <w:p w14:paraId="16EAFC6E" w14:textId="77777777" w:rsidR="00017DF0" w:rsidRDefault="00017DF0" w:rsidP="006A48BB">
            <w:pPr>
              <w:pStyle w:val="TableBody"/>
            </w:pPr>
          </w:p>
        </w:tc>
        <w:tc>
          <w:tcPr>
            <w:tcW w:w="1276" w:type="dxa"/>
            <w:tcMar>
              <w:top w:w="85" w:type="dxa"/>
              <w:bottom w:w="85" w:type="dxa"/>
            </w:tcMar>
            <w:vAlign w:val="center"/>
          </w:tcPr>
          <w:p w14:paraId="4FE2CBB2" w14:textId="3A639254" w:rsidR="00017DF0" w:rsidRPr="006A48BB" w:rsidRDefault="00017DF0" w:rsidP="006A48BB">
            <w:pPr>
              <w:pStyle w:val="TableBody"/>
            </w:pPr>
            <w:r w:rsidRPr="006A48BB">
              <w:t>FX3</w:t>
            </w:r>
          </w:p>
        </w:tc>
        <w:tc>
          <w:tcPr>
            <w:tcW w:w="5114" w:type="dxa"/>
            <w:tcMar>
              <w:top w:w="85" w:type="dxa"/>
              <w:bottom w:w="85" w:type="dxa"/>
            </w:tcMar>
            <w:vAlign w:val="center"/>
          </w:tcPr>
          <w:p w14:paraId="349B25C5" w14:textId="77777777" w:rsidR="00217BC7" w:rsidRDefault="00017DF0" w:rsidP="00DE2AFF">
            <w:pPr>
              <w:pStyle w:val="TableBody"/>
              <w:spacing w:after="120"/>
            </w:pPr>
            <w:r w:rsidRPr="006A48BB">
              <w:t xml:space="preserve">Bands used for fixed point-to-point links, as described in </w:t>
            </w:r>
            <w:hyperlink r:id="rId46" w:history="1">
              <w:r w:rsidRPr="006A48BB">
                <w:rPr>
                  <w:rStyle w:val="Hyperlink"/>
                </w:rPr>
                <w:t>RALI FX-3</w:t>
              </w:r>
            </w:hyperlink>
            <w:r w:rsidRPr="006A48BB">
              <w:t>.</w:t>
            </w:r>
            <w:r w:rsidR="00217BC7">
              <w:t xml:space="preserve"> </w:t>
            </w:r>
          </w:p>
          <w:p w14:paraId="4AAD4D4C" w14:textId="6C7DE3DA" w:rsidR="00017DF0" w:rsidRPr="006A48BB" w:rsidRDefault="00017DF0" w:rsidP="00217BC7">
            <w:pPr>
              <w:pStyle w:val="TableBody"/>
            </w:pPr>
            <w:r>
              <w:t>Widely used across all of Australia by many users.</w:t>
            </w:r>
          </w:p>
        </w:tc>
      </w:tr>
      <w:tr w:rsidR="00017DF0" w:rsidRPr="006D46E5" w14:paraId="0EA4F070" w14:textId="77777777" w:rsidTr="0028527D">
        <w:trPr>
          <w:cnfStyle w:val="000000100000" w:firstRow="0" w:lastRow="0" w:firstColumn="0" w:lastColumn="0" w:oddVBand="0" w:evenVBand="0" w:oddHBand="1" w:evenHBand="0" w:firstRowFirstColumn="0" w:firstRowLastColumn="0" w:lastRowFirstColumn="0" w:lastRowLastColumn="0"/>
          <w:cantSplit/>
        </w:trPr>
        <w:tc>
          <w:tcPr>
            <w:tcW w:w="1271" w:type="dxa"/>
            <w:vMerge/>
            <w:tcMar>
              <w:top w:w="85" w:type="dxa"/>
              <w:bottom w:w="85" w:type="dxa"/>
            </w:tcMar>
            <w:vAlign w:val="center"/>
          </w:tcPr>
          <w:p w14:paraId="154FA198" w14:textId="77777777" w:rsidR="00017DF0" w:rsidRDefault="00017DF0" w:rsidP="006A48BB">
            <w:pPr>
              <w:pStyle w:val="TableBody"/>
            </w:pPr>
          </w:p>
        </w:tc>
        <w:tc>
          <w:tcPr>
            <w:tcW w:w="1276" w:type="dxa"/>
            <w:tcMar>
              <w:top w:w="85" w:type="dxa"/>
              <w:bottom w:w="85" w:type="dxa"/>
            </w:tcMar>
            <w:vAlign w:val="center"/>
          </w:tcPr>
          <w:p w14:paraId="2AF7021C" w14:textId="0CF2546F" w:rsidR="00017DF0" w:rsidRPr="006A48BB" w:rsidRDefault="00017DF0" w:rsidP="006A48BB">
            <w:pPr>
              <w:pStyle w:val="TableBody"/>
            </w:pPr>
            <w:r w:rsidRPr="006A48BB">
              <w:t>PMP</w:t>
            </w:r>
          </w:p>
        </w:tc>
        <w:tc>
          <w:tcPr>
            <w:tcW w:w="5114" w:type="dxa"/>
            <w:tcMar>
              <w:top w:w="85" w:type="dxa"/>
              <w:bottom w:w="85" w:type="dxa"/>
            </w:tcMar>
            <w:vAlign w:val="center"/>
          </w:tcPr>
          <w:p w14:paraId="54F77C63" w14:textId="332ED99B" w:rsidR="00017DF0" w:rsidRDefault="00017DF0" w:rsidP="00DE2AFF">
            <w:pPr>
              <w:pStyle w:val="TableBody"/>
              <w:spacing w:after="120"/>
            </w:pPr>
            <w:r w:rsidRPr="006A48BB">
              <w:t>Point</w:t>
            </w:r>
            <w:r w:rsidR="00530B3A">
              <w:t>-</w:t>
            </w:r>
            <w:r w:rsidRPr="006A48BB">
              <w:t>to</w:t>
            </w:r>
            <w:r w:rsidR="00530B3A">
              <w:t>-</w:t>
            </w:r>
            <w:r w:rsidRPr="006A48BB">
              <w:t xml:space="preserve">multipoint services. See </w:t>
            </w:r>
            <w:hyperlink r:id="rId47" w:history="1">
              <w:r w:rsidRPr="006A48BB">
                <w:rPr>
                  <w:rStyle w:val="Hyperlink"/>
                </w:rPr>
                <w:t>RALI FX-23</w:t>
              </w:r>
            </w:hyperlink>
            <w:r w:rsidRPr="006A48BB">
              <w:t>.</w:t>
            </w:r>
          </w:p>
          <w:p w14:paraId="6118C75C" w14:textId="7CB09433" w:rsidR="00017DF0" w:rsidRPr="006A48BB" w:rsidRDefault="00017DF0" w:rsidP="006A48BB">
            <w:pPr>
              <w:pStyle w:val="TableBody"/>
            </w:pPr>
            <w:r>
              <w:t>The main licensees are BHP, Ace Internet and the Queensland Department of Transport.</w:t>
            </w:r>
          </w:p>
        </w:tc>
      </w:tr>
      <w:tr w:rsidR="00017DF0" w:rsidRPr="006D46E5" w14:paraId="275734E0" w14:textId="77777777" w:rsidTr="0028527D">
        <w:trPr>
          <w:cnfStyle w:val="000000010000" w:firstRow="0" w:lastRow="0" w:firstColumn="0" w:lastColumn="0" w:oddVBand="0" w:evenVBand="0" w:oddHBand="0" w:evenHBand="1" w:firstRowFirstColumn="0" w:firstRowLastColumn="0" w:lastRowFirstColumn="0" w:lastRowLastColumn="0"/>
          <w:cantSplit/>
        </w:trPr>
        <w:tc>
          <w:tcPr>
            <w:tcW w:w="1271" w:type="dxa"/>
            <w:vMerge/>
            <w:tcMar>
              <w:top w:w="85" w:type="dxa"/>
              <w:bottom w:w="85" w:type="dxa"/>
            </w:tcMar>
            <w:vAlign w:val="center"/>
          </w:tcPr>
          <w:p w14:paraId="60F05316" w14:textId="77777777" w:rsidR="00017DF0" w:rsidRDefault="00017DF0" w:rsidP="000F1AB7">
            <w:pPr>
              <w:pStyle w:val="TableBody"/>
            </w:pPr>
          </w:p>
        </w:tc>
        <w:tc>
          <w:tcPr>
            <w:tcW w:w="1276" w:type="dxa"/>
            <w:tcMar>
              <w:top w:w="85" w:type="dxa"/>
              <w:bottom w:w="85" w:type="dxa"/>
            </w:tcMar>
            <w:vAlign w:val="center"/>
          </w:tcPr>
          <w:p w14:paraId="7EB069D3" w14:textId="62A8F731" w:rsidR="00017DF0" w:rsidRDefault="00017DF0" w:rsidP="000F1AB7">
            <w:pPr>
              <w:pStyle w:val="TableBody"/>
            </w:pPr>
            <w:r>
              <w:t>TOB</w:t>
            </w:r>
          </w:p>
        </w:tc>
        <w:tc>
          <w:tcPr>
            <w:tcW w:w="5114" w:type="dxa"/>
            <w:tcMar>
              <w:top w:w="85" w:type="dxa"/>
              <w:bottom w:w="85" w:type="dxa"/>
            </w:tcMar>
            <w:vAlign w:val="center"/>
          </w:tcPr>
          <w:p w14:paraId="50D8C700" w14:textId="2A50AC24" w:rsidR="00017DF0" w:rsidRDefault="00017DF0" w:rsidP="000F1AB7">
            <w:pPr>
              <w:pStyle w:val="TableBody"/>
            </w:pPr>
            <w:r>
              <w:t xml:space="preserve">Fixed links used for Television Outside Broadcast services. See </w:t>
            </w:r>
            <w:hyperlink r:id="rId48" w:history="1">
              <w:r w:rsidRPr="00170F87">
                <w:rPr>
                  <w:rStyle w:val="Hyperlink"/>
                </w:rPr>
                <w:t>RALI FX-3</w:t>
              </w:r>
            </w:hyperlink>
            <w:r>
              <w:t>.</w:t>
            </w:r>
          </w:p>
        </w:tc>
      </w:tr>
      <w:tr w:rsidR="00EA6946" w:rsidRPr="006D46E5" w14:paraId="523F1C39" w14:textId="77777777" w:rsidTr="0028527D">
        <w:trPr>
          <w:cnfStyle w:val="000000100000" w:firstRow="0" w:lastRow="0" w:firstColumn="0" w:lastColumn="0" w:oddVBand="0" w:evenVBand="0" w:oddHBand="1" w:evenHBand="0" w:firstRowFirstColumn="0" w:firstRowLastColumn="0" w:lastRowFirstColumn="0" w:lastRowLastColumn="0"/>
          <w:cantSplit/>
          <w:trHeight w:val="760"/>
        </w:trPr>
        <w:tc>
          <w:tcPr>
            <w:tcW w:w="1271" w:type="dxa"/>
            <w:vMerge w:val="restart"/>
            <w:tcMar>
              <w:top w:w="85" w:type="dxa"/>
              <w:bottom w:w="85" w:type="dxa"/>
            </w:tcMar>
            <w:vAlign w:val="center"/>
          </w:tcPr>
          <w:p w14:paraId="355976A6" w14:textId="7CCE0FED" w:rsidR="00EA6946" w:rsidRDefault="00EA6946" w:rsidP="000F1AB7">
            <w:pPr>
              <w:pStyle w:val="TableBody"/>
            </w:pPr>
            <w:r>
              <w:lastRenderedPageBreak/>
              <w:t xml:space="preserve">Space &amp; </w:t>
            </w:r>
            <w:r w:rsidR="00530B3A">
              <w:t>s</w:t>
            </w:r>
            <w:r>
              <w:t>atellite</w:t>
            </w:r>
          </w:p>
        </w:tc>
        <w:tc>
          <w:tcPr>
            <w:tcW w:w="1276" w:type="dxa"/>
            <w:tcMar>
              <w:top w:w="85" w:type="dxa"/>
              <w:bottom w:w="85" w:type="dxa"/>
            </w:tcMar>
            <w:vAlign w:val="center"/>
          </w:tcPr>
          <w:p w14:paraId="44299B5E" w14:textId="084600E5" w:rsidR="00EA6946" w:rsidRDefault="00937AA5" w:rsidP="000F1AB7">
            <w:pPr>
              <w:pStyle w:val="TableBody"/>
            </w:pPr>
            <w:r w:rsidRPr="00937AA5">
              <w:t xml:space="preserve">Earth </w:t>
            </w:r>
            <w:r w:rsidR="00530B3A">
              <w:t>s</w:t>
            </w:r>
            <w:r w:rsidRPr="00937AA5">
              <w:t>tations</w:t>
            </w:r>
          </w:p>
        </w:tc>
        <w:tc>
          <w:tcPr>
            <w:tcW w:w="5114" w:type="dxa"/>
            <w:tcMar>
              <w:top w:w="85" w:type="dxa"/>
              <w:bottom w:w="85" w:type="dxa"/>
            </w:tcMar>
            <w:vAlign w:val="center"/>
          </w:tcPr>
          <w:p w14:paraId="276E1DC7" w14:textId="2DA4BBF4" w:rsidR="00462C8A" w:rsidRPr="00937AA5" w:rsidRDefault="00937AA5" w:rsidP="00406256">
            <w:pPr>
              <w:pStyle w:val="TableBody"/>
              <w:spacing w:after="120"/>
            </w:pPr>
            <w:r w:rsidRPr="00937AA5">
              <w:t xml:space="preserve">Fixed </w:t>
            </w:r>
            <w:r w:rsidR="00530B3A">
              <w:t>e</w:t>
            </w:r>
            <w:r w:rsidRPr="00937AA5">
              <w:t>arth</w:t>
            </w:r>
            <w:r>
              <w:t xml:space="preserve"> (all segments)</w:t>
            </w:r>
            <w:r w:rsidRPr="00937AA5">
              <w:t xml:space="preserve"> and </w:t>
            </w:r>
            <w:r w:rsidR="00530B3A">
              <w:t>e</w:t>
            </w:r>
            <w:r w:rsidRPr="00937AA5">
              <w:t xml:space="preserve">arth </w:t>
            </w:r>
            <w:r w:rsidR="00530B3A">
              <w:t>r</w:t>
            </w:r>
            <w:r w:rsidRPr="00937AA5">
              <w:t xml:space="preserve">eceive (segments </w:t>
            </w:r>
            <w:r>
              <w:t>C and D</w:t>
            </w:r>
            <w:r w:rsidRPr="00937AA5">
              <w:t xml:space="preserve"> only). </w:t>
            </w:r>
          </w:p>
          <w:p w14:paraId="3520C8F8" w14:textId="25810087" w:rsidR="00937AA5" w:rsidRPr="00937AA5" w:rsidRDefault="00937AA5" w:rsidP="00406256">
            <w:pPr>
              <w:pStyle w:val="TableBody"/>
              <w:spacing w:after="120"/>
            </w:pPr>
            <w:r w:rsidRPr="00937AA5">
              <w:t xml:space="preserve">Segment </w:t>
            </w:r>
            <w:r w:rsidR="00C95270">
              <w:t>A</w:t>
            </w:r>
            <w:r>
              <w:t xml:space="preserve"> contains</w:t>
            </w:r>
            <w:r w:rsidRPr="00937AA5">
              <w:t xml:space="preserve"> </w:t>
            </w:r>
            <w:r>
              <w:t>g</w:t>
            </w:r>
            <w:r w:rsidRPr="00937AA5">
              <w:t>ateway stations operating as part of the worldwide Globalstar non-GSO MSS system</w:t>
            </w:r>
            <w:r w:rsidR="0011590B">
              <w:t>.</w:t>
            </w:r>
          </w:p>
          <w:p w14:paraId="0B3A2F8E" w14:textId="0D2F2264" w:rsidR="00EA6946" w:rsidRDefault="00937AA5" w:rsidP="000F1AB7">
            <w:pPr>
              <w:pStyle w:val="TableBody"/>
            </w:pPr>
            <w:r w:rsidRPr="00937AA5">
              <w:t>Seg</w:t>
            </w:r>
            <w:r>
              <w:t>m</w:t>
            </w:r>
            <w:r w:rsidRPr="00937AA5">
              <w:t xml:space="preserve">ents </w:t>
            </w:r>
            <w:r w:rsidR="00E254F8">
              <w:t>A, B and C</w:t>
            </w:r>
            <w:r w:rsidRPr="00937AA5">
              <w:t xml:space="preserve"> are covered by </w:t>
            </w:r>
            <w:hyperlink r:id="rId49" w:history="1">
              <w:r w:rsidRPr="00937AA5">
                <w:rPr>
                  <w:rStyle w:val="Hyperlink"/>
                </w:rPr>
                <w:t>RALI MS-44</w:t>
              </w:r>
            </w:hyperlink>
            <w:r w:rsidRPr="00937AA5">
              <w:t xml:space="preserve"> </w:t>
            </w:r>
            <w:r w:rsidR="00C95270">
              <w:t>a</w:t>
            </w:r>
            <w:r w:rsidRPr="00937AA5">
              <w:t xml:space="preserve">nd </w:t>
            </w:r>
            <w:hyperlink r:id="rId50" w:history="1">
              <w:r w:rsidRPr="00937AA5">
                <w:rPr>
                  <w:rStyle w:val="Hyperlink"/>
                </w:rPr>
                <w:t>RALI MS-45</w:t>
              </w:r>
            </w:hyperlink>
            <w:r w:rsidRPr="00937AA5">
              <w:t>.</w:t>
            </w:r>
          </w:p>
        </w:tc>
      </w:tr>
      <w:tr w:rsidR="00EA6946" w:rsidRPr="006D46E5" w14:paraId="3532E3AF" w14:textId="77777777" w:rsidTr="0028527D">
        <w:trPr>
          <w:cnfStyle w:val="000000010000" w:firstRow="0" w:lastRow="0" w:firstColumn="0" w:lastColumn="0" w:oddVBand="0" w:evenVBand="0" w:oddHBand="0" w:evenHBand="1" w:firstRowFirstColumn="0" w:firstRowLastColumn="0" w:lastRowFirstColumn="0" w:lastRowLastColumn="0"/>
          <w:cantSplit/>
          <w:trHeight w:val="525"/>
        </w:trPr>
        <w:tc>
          <w:tcPr>
            <w:tcW w:w="1271" w:type="dxa"/>
            <w:vMerge/>
            <w:tcMar>
              <w:top w:w="85" w:type="dxa"/>
              <w:bottom w:w="85" w:type="dxa"/>
            </w:tcMar>
            <w:vAlign w:val="center"/>
          </w:tcPr>
          <w:p w14:paraId="3DBB0FDE" w14:textId="77777777" w:rsidR="00EA6946" w:rsidRPr="00BA2F9C" w:rsidRDefault="00EA6946" w:rsidP="000F1AB7">
            <w:pPr>
              <w:pStyle w:val="TableBody"/>
              <w:rPr>
                <w:color w:val="FF0000"/>
              </w:rPr>
            </w:pPr>
          </w:p>
        </w:tc>
        <w:tc>
          <w:tcPr>
            <w:tcW w:w="1276" w:type="dxa"/>
            <w:tcMar>
              <w:top w:w="85" w:type="dxa"/>
              <w:bottom w:w="85" w:type="dxa"/>
            </w:tcMar>
            <w:vAlign w:val="center"/>
          </w:tcPr>
          <w:p w14:paraId="4C5C8353" w14:textId="60EB83CC" w:rsidR="00EA6946" w:rsidRPr="00BA2F9C" w:rsidRDefault="00937AA5" w:rsidP="000F1AB7">
            <w:pPr>
              <w:pStyle w:val="TableBody"/>
              <w:rPr>
                <w:color w:val="FF0000"/>
              </w:rPr>
            </w:pPr>
            <w:r>
              <w:t>New Norcia</w:t>
            </w:r>
          </w:p>
        </w:tc>
        <w:tc>
          <w:tcPr>
            <w:tcW w:w="5114" w:type="dxa"/>
            <w:tcMar>
              <w:top w:w="85" w:type="dxa"/>
              <w:bottom w:w="85" w:type="dxa"/>
            </w:tcMar>
            <w:vAlign w:val="center"/>
          </w:tcPr>
          <w:p w14:paraId="1426F287" w14:textId="23CB3A80" w:rsidR="00EA6946" w:rsidRPr="00BA2F9C" w:rsidRDefault="00937AA5" w:rsidP="000F1AB7">
            <w:pPr>
              <w:pStyle w:val="TableBody"/>
              <w:rPr>
                <w:color w:val="FF0000"/>
              </w:rPr>
            </w:pPr>
            <w:r>
              <w:t xml:space="preserve">The European Space Agency operates earth station transmitters adjacent to the 6 GHz </w:t>
            </w:r>
            <w:r w:rsidR="00530B3A">
              <w:t>b</w:t>
            </w:r>
            <w:r>
              <w:t>and</w:t>
            </w:r>
            <w:r w:rsidR="0011590B">
              <w:t xml:space="preserve"> at New Norcia</w:t>
            </w:r>
            <w:r>
              <w:t xml:space="preserve">. </w:t>
            </w:r>
            <w:hyperlink r:id="rId51" w:history="1">
              <w:r w:rsidRPr="00B46169">
                <w:rPr>
                  <w:rStyle w:val="Hyperlink"/>
                </w:rPr>
                <w:t>RALI MS-43</w:t>
              </w:r>
            </w:hyperlink>
            <w:r>
              <w:t xml:space="preserve"> </w:t>
            </w:r>
            <w:r w:rsidR="0011590B">
              <w:t xml:space="preserve">contains </w:t>
            </w:r>
            <w:r w:rsidR="00EA0D1B">
              <w:t xml:space="preserve">the </w:t>
            </w:r>
            <w:r>
              <w:t>ACMA’s current co-ordination policy.</w:t>
            </w:r>
          </w:p>
        </w:tc>
      </w:tr>
      <w:tr w:rsidR="00EA6946" w:rsidRPr="006D46E5" w14:paraId="381A9FCD" w14:textId="77777777" w:rsidTr="0028527D">
        <w:trPr>
          <w:cnfStyle w:val="000000100000" w:firstRow="0" w:lastRow="0" w:firstColumn="0" w:lastColumn="0" w:oddVBand="0" w:evenVBand="0" w:oddHBand="1" w:evenHBand="0" w:firstRowFirstColumn="0" w:firstRowLastColumn="0" w:lastRowFirstColumn="0" w:lastRowLastColumn="0"/>
          <w:cantSplit/>
          <w:trHeight w:val="525"/>
        </w:trPr>
        <w:tc>
          <w:tcPr>
            <w:tcW w:w="1271" w:type="dxa"/>
            <w:vMerge/>
            <w:tcMar>
              <w:top w:w="85" w:type="dxa"/>
              <w:bottom w:w="85" w:type="dxa"/>
            </w:tcMar>
            <w:vAlign w:val="center"/>
          </w:tcPr>
          <w:p w14:paraId="2AB7B014" w14:textId="77777777" w:rsidR="00EA6946" w:rsidRDefault="00EA6946" w:rsidP="000F1AB7">
            <w:pPr>
              <w:pStyle w:val="TableBody"/>
            </w:pPr>
          </w:p>
        </w:tc>
        <w:tc>
          <w:tcPr>
            <w:tcW w:w="1276" w:type="dxa"/>
            <w:tcMar>
              <w:top w:w="85" w:type="dxa"/>
              <w:bottom w:w="85" w:type="dxa"/>
            </w:tcMar>
            <w:vAlign w:val="center"/>
          </w:tcPr>
          <w:p w14:paraId="63EAB8D8" w14:textId="4EF7053D" w:rsidR="00EA6946" w:rsidRDefault="00937AA5" w:rsidP="000F1AB7">
            <w:pPr>
              <w:pStyle w:val="TableBody"/>
            </w:pPr>
            <w:r w:rsidRPr="0011590B">
              <w:t>Radio astronomy</w:t>
            </w:r>
          </w:p>
        </w:tc>
        <w:tc>
          <w:tcPr>
            <w:tcW w:w="5114" w:type="dxa"/>
            <w:tcMar>
              <w:top w:w="85" w:type="dxa"/>
              <w:bottom w:w="85" w:type="dxa"/>
            </w:tcMar>
            <w:vAlign w:val="center"/>
          </w:tcPr>
          <w:p w14:paraId="3EC21E8B" w14:textId="284F0AE3" w:rsidR="00EA6946" w:rsidRDefault="0011590B" w:rsidP="000F1AB7">
            <w:pPr>
              <w:pStyle w:val="TableBody"/>
            </w:pPr>
            <w:r w:rsidRPr="0011590B">
              <w:t>R</w:t>
            </w:r>
            <w:r w:rsidR="00937AA5" w:rsidRPr="0011590B">
              <w:t xml:space="preserve">adio astronomy observations </w:t>
            </w:r>
            <w:r w:rsidRPr="0011590B">
              <w:t>are made at several sites around Australia</w:t>
            </w:r>
            <w:r w:rsidR="00937AA5" w:rsidRPr="0011590B">
              <w:t>.</w:t>
            </w:r>
            <w:r w:rsidRPr="0011590B">
              <w:t xml:space="preserve"> </w:t>
            </w:r>
            <w:r w:rsidR="00937AA5" w:rsidRPr="0011590B">
              <w:t>The CSIRO must be notified of any apparatus licences to be issued near any of these site</w:t>
            </w:r>
            <w:r w:rsidRPr="0011590B">
              <w:t>s</w:t>
            </w:r>
            <w:r w:rsidR="00937AA5" w:rsidRPr="0011590B">
              <w:t xml:space="preserve">. Details of this process are in </w:t>
            </w:r>
            <w:hyperlink r:id="rId52" w:history="1">
              <w:r w:rsidR="00937AA5" w:rsidRPr="008B0766">
                <w:rPr>
                  <w:rStyle w:val="Hyperlink"/>
                </w:rPr>
                <w:t>RALI MS-31</w:t>
              </w:r>
            </w:hyperlink>
            <w:r w:rsidR="00937AA5" w:rsidRPr="0011590B">
              <w:t>. See also footnote AUS87</w:t>
            </w:r>
            <w:r w:rsidRPr="0011590B">
              <w:t xml:space="preserve"> in the </w:t>
            </w:r>
            <w:hyperlink r:id="rId53" w:history="1">
              <w:r w:rsidRPr="008B0766">
                <w:rPr>
                  <w:rStyle w:val="Hyperlink"/>
                </w:rPr>
                <w:t>ARSP</w:t>
              </w:r>
            </w:hyperlink>
            <w:r w:rsidRPr="0011590B">
              <w:t>.</w:t>
            </w:r>
          </w:p>
        </w:tc>
      </w:tr>
      <w:tr w:rsidR="00937AA5" w:rsidRPr="006D46E5" w14:paraId="73FC9D5D" w14:textId="77777777" w:rsidTr="0028527D">
        <w:trPr>
          <w:cnfStyle w:val="000000010000" w:firstRow="0" w:lastRow="0" w:firstColumn="0" w:lastColumn="0" w:oddVBand="0" w:evenVBand="0" w:oddHBand="0" w:evenHBand="1" w:firstRowFirstColumn="0" w:firstRowLastColumn="0" w:lastRowFirstColumn="0" w:lastRowLastColumn="0"/>
          <w:cantSplit/>
          <w:trHeight w:val="525"/>
        </w:trPr>
        <w:tc>
          <w:tcPr>
            <w:tcW w:w="1271" w:type="dxa"/>
            <w:vMerge w:val="restart"/>
            <w:tcMar>
              <w:top w:w="85" w:type="dxa"/>
              <w:bottom w:w="85" w:type="dxa"/>
            </w:tcMar>
            <w:vAlign w:val="center"/>
          </w:tcPr>
          <w:p w14:paraId="31C8ED56" w14:textId="4D59C195" w:rsidR="00937AA5" w:rsidRDefault="00937AA5" w:rsidP="00937AA5">
            <w:pPr>
              <w:pStyle w:val="TableBody"/>
            </w:pPr>
            <w:r>
              <w:t>Embargoes</w:t>
            </w:r>
          </w:p>
        </w:tc>
        <w:tc>
          <w:tcPr>
            <w:tcW w:w="1276" w:type="dxa"/>
            <w:tcMar>
              <w:top w:w="85" w:type="dxa"/>
              <w:bottom w:w="85" w:type="dxa"/>
            </w:tcMar>
            <w:vAlign w:val="center"/>
          </w:tcPr>
          <w:p w14:paraId="0445DAE1" w14:textId="007EF536" w:rsidR="00937AA5" w:rsidRPr="0011590B" w:rsidRDefault="00937AA5" w:rsidP="00937AA5">
            <w:pPr>
              <w:pStyle w:val="TableBody"/>
            </w:pPr>
            <w:r w:rsidRPr="0011590B">
              <w:t>39</w:t>
            </w:r>
          </w:p>
        </w:tc>
        <w:tc>
          <w:tcPr>
            <w:tcW w:w="5114" w:type="dxa"/>
            <w:tcMar>
              <w:top w:w="85" w:type="dxa"/>
              <w:bottom w:w="85" w:type="dxa"/>
            </w:tcMar>
            <w:vAlign w:val="center"/>
          </w:tcPr>
          <w:p w14:paraId="06EAAD07" w14:textId="468FFAD5" w:rsidR="00937AA5" w:rsidRPr="0011590B" w:rsidRDefault="00937AA5" w:rsidP="00937AA5">
            <w:pPr>
              <w:pStyle w:val="TableBody"/>
            </w:pPr>
            <w:r w:rsidRPr="0011590B">
              <w:t xml:space="preserve">No </w:t>
            </w:r>
            <w:r w:rsidR="0011590B">
              <w:t xml:space="preserve">new </w:t>
            </w:r>
            <w:r w:rsidRPr="0011590B">
              <w:t xml:space="preserve">fixed link assignments in this </w:t>
            </w:r>
            <w:r w:rsidR="0011590B" w:rsidRPr="0011590B">
              <w:t xml:space="preserve">frequency </w:t>
            </w:r>
            <w:r w:rsidRPr="0011590B">
              <w:t>range</w:t>
            </w:r>
            <w:r w:rsidR="0011590B">
              <w:t xml:space="preserve">, </w:t>
            </w:r>
            <w:r w:rsidR="0011590B" w:rsidRPr="0011590B">
              <w:t>t</w:t>
            </w:r>
            <w:r w:rsidRPr="0011590B">
              <w:t>o help protect Defence radar, and to provide more opportunity for class</w:t>
            </w:r>
            <w:r w:rsidR="00530B3A">
              <w:t>-</w:t>
            </w:r>
            <w:r w:rsidRPr="0011590B">
              <w:t>licen</w:t>
            </w:r>
            <w:r w:rsidR="0071215C">
              <w:t>s</w:t>
            </w:r>
            <w:r w:rsidRPr="0011590B">
              <w:t>ed devices in areas of higher population.</w:t>
            </w:r>
          </w:p>
        </w:tc>
      </w:tr>
      <w:tr w:rsidR="00937AA5" w:rsidRPr="006D46E5" w14:paraId="2FA2AEAA" w14:textId="77777777" w:rsidTr="0028527D">
        <w:trPr>
          <w:cnfStyle w:val="000000100000" w:firstRow="0" w:lastRow="0" w:firstColumn="0" w:lastColumn="0" w:oddVBand="0" w:evenVBand="0" w:oddHBand="1" w:evenHBand="0" w:firstRowFirstColumn="0" w:firstRowLastColumn="0" w:lastRowFirstColumn="0" w:lastRowLastColumn="0"/>
          <w:cantSplit/>
          <w:trHeight w:val="525"/>
        </w:trPr>
        <w:tc>
          <w:tcPr>
            <w:tcW w:w="1271" w:type="dxa"/>
            <w:vMerge/>
            <w:tcMar>
              <w:top w:w="85" w:type="dxa"/>
              <w:bottom w:w="85" w:type="dxa"/>
            </w:tcMar>
            <w:vAlign w:val="center"/>
          </w:tcPr>
          <w:p w14:paraId="305C8C91" w14:textId="77777777" w:rsidR="00937AA5" w:rsidRDefault="00937AA5" w:rsidP="00937AA5">
            <w:pPr>
              <w:pStyle w:val="TableBody"/>
            </w:pPr>
          </w:p>
        </w:tc>
        <w:tc>
          <w:tcPr>
            <w:tcW w:w="1276" w:type="dxa"/>
            <w:tcMar>
              <w:top w:w="85" w:type="dxa"/>
              <w:bottom w:w="85" w:type="dxa"/>
            </w:tcMar>
            <w:vAlign w:val="center"/>
          </w:tcPr>
          <w:p w14:paraId="69896413" w14:textId="530183AB" w:rsidR="00937AA5" w:rsidRPr="0011590B" w:rsidRDefault="00937AA5" w:rsidP="00937AA5">
            <w:pPr>
              <w:pStyle w:val="TableBody"/>
            </w:pPr>
            <w:r w:rsidRPr="0011590B">
              <w:t>48</w:t>
            </w:r>
          </w:p>
        </w:tc>
        <w:tc>
          <w:tcPr>
            <w:tcW w:w="5114" w:type="dxa"/>
            <w:tcMar>
              <w:top w:w="85" w:type="dxa"/>
              <w:bottom w:w="85" w:type="dxa"/>
            </w:tcMar>
            <w:vAlign w:val="center"/>
          </w:tcPr>
          <w:p w14:paraId="56D11F18" w14:textId="0605BA75" w:rsidR="00937AA5" w:rsidRPr="0011590B" w:rsidRDefault="00937AA5" w:rsidP="00937AA5">
            <w:pPr>
              <w:pStyle w:val="TableBody"/>
            </w:pPr>
            <w:r w:rsidRPr="0011590B">
              <w:t>No new apparatus licence assignments, to support the use of ITS.</w:t>
            </w:r>
          </w:p>
        </w:tc>
      </w:tr>
      <w:tr w:rsidR="00937AA5" w:rsidRPr="006D46E5" w14:paraId="739345AC" w14:textId="77777777" w:rsidTr="0028527D">
        <w:trPr>
          <w:cnfStyle w:val="000000010000" w:firstRow="0" w:lastRow="0" w:firstColumn="0" w:lastColumn="0" w:oddVBand="0" w:evenVBand="0" w:oddHBand="0" w:evenHBand="1" w:firstRowFirstColumn="0" w:firstRowLastColumn="0" w:lastRowFirstColumn="0" w:lastRowLastColumn="0"/>
          <w:cantSplit/>
          <w:trHeight w:val="525"/>
        </w:trPr>
        <w:tc>
          <w:tcPr>
            <w:tcW w:w="1271" w:type="dxa"/>
            <w:vMerge/>
            <w:tcMar>
              <w:top w:w="85" w:type="dxa"/>
              <w:bottom w:w="85" w:type="dxa"/>
            </w:tcMar>
            <w:vAlign w:val="center"/>
          </w:tcPr>
          <w:p w14:paraId="6543FBAE" w14:textId="77777777" w:rsidR="00937AA5" w:rsidRDefault="00937AA5" w:rsidP="00937AA5">
            <w:pPr>
              <w:pStyle w:val="TableBody"/>
            </w:pPr>
          </w:p>
        </w:tc>
        <w:tc>
          <w:tcPr>
            <w:tcW w:w="1276" w:type="dxa"/>
            <w:tcMar>
              <w:top w:w="85" w:type="dxa"/>
              <w:bottom w:w="85" w:type="dxa"/>
            </w:tcMar>
            <w:vAlign w:val="center"/>
          </w:tcPr>
          <w:p w14:paraId="7C1B1DB2" w14:textId="2D7E9F52" w:rsidR="00937AA5" w:rsidRPr="0011590B" w:rsidRDefault="00937AA5" w:rsidP="00937AA5">
            <w:pPr>
              <w:pStyle w:val="TableBody"/>
            </w:pPr>
            <w:r w:rsidRPr="0011590B">
              <w:t>49</w:t>
            </w:r>
          </w:p>
        </w:tc>
        <w:tc>
          <w:tcPr>
            <w:tcW w:w="5114" w:type="dxa"/>
            <w:tcMar>
              <w:top w:w="85" w:type="dxa"/>
              <w:bottom w:w="85" w:type="dxa"/>
            </w:tcMar>
            <w:vAlign w:val="center"/>
          </w:tcPr>
          <w:p w14:paraId="374F2D8D" w14:textId="5183BFCC" w:rsidR="00937AA5" w:rsidRPr="0011590B" w:rsidRDefault="00937AA5" w:rsidP="00937AA5">
            <w:pPr>
              <w:pStyle w:val="TableBody"/>
            </w:pPr>
            <w:r w:rsidRPr="0011590B">
              <w:t xml:space="preserve">No new </w:t>
            </w:r>
            <w:r w:rsidR="0011590B" w:rsidRPr="0011590B">
              <w:t>assignments</w:t>
            </w:r>
            <w:r w:rsidRPr="0011590B">
              <w:t xml:space="preserve"> of any kind around Mingenew, for protection of the space communications site there.</w:t>
            </w:r>
          </w:p>
        </w:tc>
      </w:tr>
      <w:tr w:rsidR="00017DF0" w:rsidRPr="006D46E5" w14:paraId="0421209D" w14:textId="77777777" w:rsidTr="0028527D">
        <w:trPr>
          <w:cnfStyle w:val="000000100000" w:firstRow="0" w:lastRow="0" w:firstColumn="0" w:lastColumn="0" w:oddVBand="0" w:evenVBand="0" w:oddHBand="1" w:evenHBand="0" w:firstRowFirstColumn="0" w:firstRowLastColumn="0" w:lastRowFirstColumn="0" w:lastRowLastColumn="0"/>
          <w:cantSplit/>
          <w:trHeight w:val="525"/>
        </w:trPr>
        <w:tc>
          <w:tcPr>
            <w:tcW w:w="1271" w:type="dxa"/>
            <w:vMerge w:val="restart"/>
            <w:tcMar>
              <w:top w:w="85" w:type="dxa"/>
              <w:bottom w:w="85" w:type="dxa"/>
            </w:tcMar>
            <w:vAlign w:val="center"/>
          </w:tcPr>
          <w:p w14:paraId="61C3E6CF" w14:textId="57426F8F" w:rsidR="00017DF0" w:rsidRDefault="00017DF0" w:rsidP="000F1AB7">
            <w:pPr>
              <w:pStyle w:val="TableBody"/>
            </w:pPr>
            <w:r>
              <w:t>Defence</w:t>
            </w:r>
          </w:p>
        </w:tc>
        <w:tc>
          <w:tcPr>
            <w:tcW w:w="1276" w:type="dxa"/>
            <w:tcMar>
              <w:top w:w="85" w:type="dxa"/>
              <w:bottom w:w="85" w:type="dxa"/>
            </w:tcMar>
            <w:vAlign w:val="center"/>
          </w:tcPr>
          <w:p w14:paraId="337A7F9F" w14:textId="3525097A" w:rsidR="00017DF0" w:rsidRDefault="00017DF0" w:rsidP="000F1AB7">
            <w:pPr>
              <w:pStyle w:val="TableBody"/>
            </w:pPr>
            <w:r w:rsidRPr="0011590B">
              <w:t>101A</w:t>
            </w:r>
          </w:p>
        </w:tc>
        <w:tc>
          <w:tcPr>
            <w:tcW w:w="5114" w:type="dxa"/>
            <w:tcMar>
              <w:top w:w="85" w:type="dxa"/>
              <w:bottom w:w="85" w:type="dxa"/>
            </w:tcMar>
            <w:vAlign w:val="center"/>
          </w:tcPr>
          <w:p w14:paraId="7D7ECA3A" w14:textId="1C9693A9" w:rsidR="00017DF0" w:rsidRDefault="00017DF0" w:rsidP="000F1AB7">
            <w:pPr>
              <w:pStyle w:val="TableBody"/>
            </w:pPr>
            <w:r w:rsidRPr="0011590B">
              <w:t xml:space="preserve">Australian footnote AUS101A is applied to the </w:t>
            </w:r>
            <w:r w:rsidR="00530B3A">
              <w:t>r</w:t>
            </w:r>
            <w:r w:rsidRPr="0011590B">
              <w:t>adiolocation service in this band. This marks the band as being primarily for use by Defence, and they should be consulted on any other use of the band.</w:t>
            </w:r>
          </w:p>
        </w:tc>
      </w:tr>
      <w:tr w:rsidR="00017DF0" w:rsidRPr="006D46E5" w14:paraId="20635C8C" w14:textId="77777777" w:rsidTr="0028527D">
        <w:trPr>
          <w:cnfStyle w:val="000000010000" w:firstRow="0" w:lastRow="0" w:firstColumn="0" w:lastColumn="0" w:oddVBand="0" w:evenVBand="0" w:oddHBand="0" w:evenHBand="1" w:firstRowFirstColumn="0" w:firstRowLastColumn="0" w:lastRowFirstColumn="0" w:lastRowLastColumn="0"/>
          <w:cantSplit/>
          <w:trHeight w:val="525"/>
        </w:trPr>
        <w:tc>
          <w:tcPr>
            <w:tcW w:w="1271" w:type="dxa"/>
            <w:vMerge/>
            <w:tcMar>
              <w:top w:w="85" w:type="dxa"/>
              <w:bottom w:w="85" w:type="dxa"/>
            </w:tcMar>
            <w:vAlign w:val="center"/>
          </w:tcPr>
          <w:p w14:paraId="5ED2E4E1" w14:textId="77777777" w:rsidR="00017DF0" w:rsidRDefault="00017DF0" w:rsidP="000F1AB7">
            <w:pPr>
              <w:pStyle w:val="TableBody"/>
            </w:pPr>
          </w:p>
        </w:tc>
        <w:tc>
          <w:tcPr>
            <w:tcW w:w="1276" w:type="dxa"/>
            <w:tcMar>
              <w:top w:w="85" w:type="dxa"/>
              <w:bottom w:w="85" w:type="dxa"/>
            </w:tcMar>
            <w:vAlign w:val="center"/>
          </w:tcPr>
          <w:p w14:paraId="5BA366A0" w14:textId="5B4A3708" w:rsidR="00017DF0" w:rsidRDefault="00017DF0" w:rsidP="000F1AB7">
            <w:pPr>
              <w:pStyle w:val="TableBody"/>
            </w:pPr>
            <w:r w:rsidRPr="0011590B">
              <w:t>DAL</w:t>
            </w:r>
          </w:p>
        </w:tc>
        <w:tc>
          <w:tcPr>
            <w:tcW w:w="5114" w:type="dxa"/>
            <w:tcMar>
              <w:top w:w="85" w:type="dxa"/>
              <w:bottom w:w="85" w:type="dxa"/>
            </w:tcMar>
            <w:vAlign w:val="center"/>
          </w:tcPr>
          <w:p w14:paraId="26A4EEA1" w14:textId="31DD0905" w:rsidR="00017DF0" w:rsidRDefault="00017DF0" w:rsidP="000F1AB7">
            <w:pPr>
              <w:pStyle w:val="TableBody"/>
            </w:pPr>
            <w:r w:rsidRPr="0011590B">
              <w:t>The Department of Defence hold Defence apparatus licences in these bands.</w:t>
            </w:r>
          </w:p>
        </w:tc>
      </w:tr>
      <w:tr w:rsidR="00017DF0" w:rsidRPr="006D46E5" w14:paraId="6ED0072D" w14:textId="77777777" w:rsidTr="0028527D">
        <w:trPr>
          <w:cnfStyle w:val="000000100000" w:firstRow="0" w:lastRow="0" w:firstColumn="0" w:lastColumn="0" w:oddVBand="0" w:evenVBand="0" w:oddHBand="1" w:evenHBand="0" w:firstRowFirstColumn="0" w:firstRowLastColumn="0" w:lastRowFirstColumn="0" w:lastRowLastColumn="0"/>
          <w:cantSplit/>
          <w:trHeight w:val="525"/>
        </w:trPr>
        <w:tc>
          <w:tcPr>
            <w:tcW w:w="1271" w:type="dxa"/>
            <w:vMerge/>
            <w:tcMar>
              <w:top w:w="85" w:type="dxa"/>
              <w:bottom w:w="85" w:type="dxa"/>
            </w:tcMar>
            <w:vAlign w:val="center"/>
          </w:tcPr>
          <w:p w14:paraId="0DF4DBEC" w14:textId="77777777" w:rsidR="00017DF0" w:rsidRDefault="00017DF0" w:rsidP="00D503EE">
            <w:pPr>
              <w:pStyle w:val="TableBody"/>
            </w:pPr>
          </w:p>
        </w:tc>
        <w:tc>
          <w:tcPr>
            <w:tcW w:w="1276" w:type="dxa"/>
            <w:tcMar>
              <w:top w:w="85" w:type="dxa"/>
              <w:bottom w:w="85" w:type="dxa"/>
            </w:tcMar>
            <w:vAlign w:val="center"/>
          </w:tcPr>
          <w:p w14:paraId="05A59DBE" w14:textId="57AB871F" w:rsidR="00017DF0" w:rsidRPr="00D503EE" w:rsidRDefault="00017DF0" w:rsidP="00D503EE">
            <w:pPr>
              <w:pStyle w:val="TableBody"/>
            </w:pPr>
            <w:r w:rsidRPr="00D503EE">
              <w:t>D</w:t>
            </w:r>
            <w:r>
              <w:t>efence</w:t>
            </w:r>
            <w:r w:rsidRPr="00D503EE">
              <w:t xml:space="preserve"> </w:t>
            </w:r>
            <w:r w:rsidR="00530B3A">
              <w:t>r</w:t>
            </w:r>
            <w:r w:rsidRPr="00D503EE">
              <w:t>adar</w:t>
            </w:r>
          </w:p>
        </w:tc>
        <w:tc>
          <w:tcPr>
            <w:tcW w:w="5114" w:type="dxa"/>
            <w:tcMar>
              <w:top w:w="85" w:type="dxa"/>
              <w:bottom w:w="85" w:type="dxa"/>
            </w:tcMar>
            <w:vAlign w:val="center"/>
          </w:tcPr>
          <w:p w14:paraId="3DA1448F" w14:textId="6A6B8A19" w:rsidR="00017DF0" w:rsidRPr="00D503EE" w:rsidRDefault="00017DF0" w:rsidP="00D503EE">
            <w:pPr>
              <w:pStyle w:val="TableBody"/>
            </w:pPr>
            <w:r w:rsidRPr="00D503EE">
              <w:t>Defence radiodetermination licences. L</w:t>
            </w:r>
            <w:r w:rsidR="00C95270">
              <w:t>icen</w:t>
            </w:r>
            <w:r w:rsidR="00B80D63">
              <w:t>s</w:t>
            </w:r>
            <w:r w:rsidR="00C95270">
              <w:t>ed for use in either</w:t>
            </w:r>
            <w:r w:rsidRPr="00D503EE">
              <w:t xml:space="preserve"> Exmouth </w:t>
            </w:r>
            <w:r w:rsidR="00C95270">
              <w:t>or</w:t>
            </w:r>
            <w:r w:rsidRPr="00D503EE">
              <w:t xml:space="preserve"> </w:t>
            </w:r>
            <w:r w:rsidR="00C649EC">
              <w:t>Australia-wide</w:t>
            </w:r>
            <w:r w:rsidRPr="00D503EE">
              <w:t xml:space="preserve"> (lower segment) and Delemare (upper segment).</w:t>
            </w:r>
          </w:p>
        </w:tc>
      </w:tr>
      <w:tr w:rsidR="00D503EE" w:rsidRPr="006D46E5" w14:paraId="7BA435DF" w14:textId="77777777" w:rsidTr="0028527D">
        <w:trPr>
          <w:cnfStyle w:val="000000010000" w:firstRow="0" w:lastRow="0" w:firstColumn="0" w:lastColumn="0" w:oddVBand="0" w:evenVBand="0" w:oddHBand="0" w:evenHBand="1" w:firstRowFirstColumn="0" w:firstRowLastColumn="0" w:lastRowFirstColumn="0" w:lastRowLastColumn="0"/>
          <w:cantSplit/>
          <w:trHeight w:val="525"/>
        </w:trPr>
        <w:tc>
          <w:tcPr>
            <w:tcW w:w="1271" w:type="dxa"/>
            <w:vMerge w:val="restart"/>
            <w:tcMar>
              <w:top w:w="85" w:type="dxa"/>
              <w:bottom w:w="85" w:type="dxa"/>
            </w:tcMar>
            <w:vAlign w:val="center"/>
          </w:tcPr>
          <w:p w14:paraId="17972EFF" w14:textId="22555246" w:rsidR="00D503EE" w:rsidRDefault="00D503EE" w:rsidP="00D503EE">
            <w:pPr>
              <w:pStyle w:val="TableBody"/>
            </w:pPr>
            <w:r>
              <w:t>Other</w:t>
            </w:r>
          </w:p>
        </w:tc>
        <w:tc>
          <w:tcPr>
            <w:tcW w:w="1276" w:type="dxa"/>
            <w:tcMar>
              <w:top w:w="85" w:type="dxa"/>
              <w:bottom w:w="85" w:type="dxa"/>
            </w:tcMar>
            <w:vAlign w:val="center"/>
          </w:tcPr>
          <w:p w14:paraId="1DF2B7F1" w14:textId="21047879" w:rsidR="00D503EE" w:rsidRPr="00D503EE" w:rsidRDefault="00D503EE" w:rsidP="00D503EE">
            <w:pPr>
              <w:pStyle w:val="TableBody"/>
            </w:pPr>
            <w:r w:rsidRPr="00D503EE">
              <w:t>Amateu</w:t>
            </w:r>
            <w:r w:rsidR="00462C8A">
              <w:t>r</w:t>
            </w:r>
          </w:p>
        </w:tc>
        <w:tc>
          <w:tcPr>
            <w:tcW w:w="5114" w:type="dxa"/>
            <w:tcMar>
              <w:top w:w="85" w:type="dxa"/>
              <w:bottom w:w="85" w:type="dxa"/>
            </w:tcMar>
            <w:vAlign w:val="center"/>
          </w:tcPr>
          <w:p w14:paraId="03876116" w14:textId="0BFF5896" w:rsidR="00D503EE" w:rsidRPr="00D503EE" w:rsidRDefault="00D503EE" w:rsidP="00D503EE">
            <w:pPr>
              <w:pStyle w:val="TableBody"/>
            </w:pPr>
            <w:r>
              <w:t xml:space="preserve">Amateur </w:t>
            </w:r>
            <w:r w:rsidR="00462C8A">
              <w:t>licences</w:t>
            </w:r>
            <w:r w:rsidRPr="00D503EE">
              <w:t xml:space="preserve">, </w:t>
            </w:r>
            <w:r w:rsidR="0071215C">
              <w:t xml:space="preserve">in accordance with the </w:t>
            </w:r>
            <w:hyperlink r:id="rId54" w:history="1">
              <w:r w:rsidR="0071215C" w:rsidRPr="00406256">
                <w:rPr>
                  <w:rStyle w:val="Hyperlink"/>
                </w:rPr>
                <w:t>Radiocommunications Licence Conditions (A</w:t>
              </w:r>
              <w:r w:rsidRPr="00406256">
                <w:rPr>
                  <w:rStyle w:val="Hyperlink"/>
                </w:rPr>
                <w:t>mateur L</w:t>
              </w:r>
              <w:r w:rsidR="0071215C" w:rsidRPr="00406256">
                <w:rPr>
                  <w:rStyle w:val="Hyperlink"/>
                </w:rPr>
                <w:t>icence) Determination 2015</w:t>
              </w:r>
            </w:hyperlink>
            <w:r w:rsidRPr="00D503EE">
              <w:t>.</w:t>
            </w:r>
          </w:p>
        </w:tc>
      </w:tr>
      <w:tr w:rsidR="00D503EE" w:rsidRPr="006D46E5" w14:paraId="2E4EEF7E" w14:textId="77777777" w:rsidTr="0028527D">
        <w:trPr>
          <w:cnfStyle w:val="000000100000" w:firstRow="0" w:lastRow="0" w:firstColumn="0" w:lastColumn="0" w:oddVBand="0" w:evenVBand="0" w:oddHBand="1" w:evenHBand="0" w:firstRowFirstColumn="0" w:firstRowLastColumn="0" w:lastRowFirstColumn="0" w:lastRowLastColumn="0"/>
          <w:cantSplit/>
          <w:trHeight w:val="525"/>
        </w:trPr>
        <w:tc>
          <w:tcPr>
            <w:tcW w:w="1271" w:type="dxa"/>
            <w:vMerge/>
            <w:tcMar>
              <w:top w:w="85" w:type="dxa"/>
              <w:bottom w:w="85" w:type="dxa"/>
            </w:tcMar>
            <w:vAlign w:val="center"/>
          </w:tcPr>
          <w:p w14:paraId="7E4F6FFA" w14:textId="77777777" w:rsidR="00D503EE" w:rsidRDefault="00D503EE" w:rsidP="00D503EE">
            <w:pPr>
              <w:pStyle w:val="TableBody"/>
            </w:pPr>
          </w:p>
        </w:tc>
        <w:tc>
          <w:tcPr>
            <w:tcW w:w="1276" w:type="dxa"/>
            <w:tcMar>
              <w:top w:w="85" w:type="dxa"/>
              <w:bottom w:w="85" w:type="dxa"/>
            </w:tcMar>
            <w:vAlign w:val="center"/>
          </w:tcPr>
          <w:p w14:paraId="4887B977" w14:textId="79993E1B" w:rsidR="00D503EE" w:rsidRPr="00D503EE" w:rsidRDefault="00D503EE" w:rsidP="00D503EE">
            <w:pPr>
              <w:pStyle w:val="TableBody"/>
            </w:pPr>
            <w:r w:rsidRPr="00D503EE">
              <w:t>BoM</w:t>
            </w:r>
          </w:p>
        </w:tc>
        <w:tc>
          <w:tcPr>
            <w:tcW w:w="5114" w:type="dxa"/>
            <w:tcMar>
              <w:top w:w="85" w:type="dxa"/>
              <w:bottom w:w="85" w:type="dxa"/>
            </w:tcMar>
            <w:vAlign w:val="center"/>
          </w:tcPr>
          <w:p w14:paraId="19E2D696" w14:textId="3D8453E7" w:rsidR="00D503EE" w:rsidRPr="00D503EE" w:rsidRDefault="00D503EE" w:rsidP="00D503EE">
            <w:pPr>
              <w:pStyle w:val="TableBody"/>
            </w:pPr>
            <w:r w:rsidRPr="00D503EE">
              <w:t>Radars</w:t>
            </w:r>
            <w:r w:rsidR="00462C8A">
              <w:t>, which are a</w:t>
            </w:r>
            <w:r w:rsidRPr="00D503EE">
              <w:t>lmost exclusively weather radars licensed to the Bureau of Meteorology.</w:t>
            </w:r>
          </w:p>
        </w:tc>
      </w:tr>
      <w:tr w:rsidR="00D503EE" w:rsidRPr="006D46E5" w14:paraId="7D1BD022" w14:textId="77777777" w:rsidTr="0028527D">
        <w:trPr>
          <w:cnfStyle w:val="000000010000" w:firstRow="0" w:lastRow="0" w:firstColumn="0" w:lastColumn="0" w:oddVBand="0" w:evenVBand="0" w:oddHBand="0" w:evenHBand="1" w:firstRowFirstColumn="0" w:firstRowLastColumn="0" w:lastRowFirstColumn="0" w:lastRowLastColumn="0"/>
          <w:cantSplit/>
          <w:trHeight w:val="525"/>
        </w:trPr>
        <w:tc>
          <w:tcPr>
            <w:tcW w:w="1271" w:type="dxa"/>
            <w:vMerge/>
            <w:tcMar>
              <w:top w:w="85" w:type="dxa"/>
              <w:bottom w:w="85" w:type="dxa"/>
            </w:tcMar>
            <w:vAlign w:val="center"/>
          </w:tcPr>
          <w:p w14:paraId="223B4683" w14:textId="77777777" w:rsidR="00D503EE" w:rsidRDefault="00D503EE" w:rsidP="00D503EE">
            <w:pPr>
              <w:pStyle w:val="TableBody"/>
            </w:pPr>
          </w:p>
        </w:tc>
        <w:tc>
          <w:tcPr>
            <w:tcW w:w="1276" w:type="dxa"/>
            <w:tcMar>
              <w:top w:w="85" w:type="dxa"/>
              <w:bottom w:w="85" w:type="dxa"/>
            </w:tcMar>
            <w:vAlign w:val="center"/>
          </w:tcPr>
          <w:p w14:paraId="570CD233" w14:textId="381D8F0D" w:rsidR="00D503EE" w:rsidRPr="00D503EE" w:rsidRDefault="00D503EE" w:rsidP="00D503EE">
            <w:pPr>
              <w:pStyle w:val="TableBody"/>
            </w:pPr>
            <w:r w:rsidRPr="00D503EE">
              <w:t>SC</w:t>
            </w:r>
          </w:p>
        </w:tc>
        <w:tc>
          <w:tcPr>
            <w:tcW w:w="5114" w:type="dxa"/>
            <w:tcMar>
              <w:top w:w="85" w:type="dxa"/>
              <w:bottom w:w="85" w:type="dxa"/>
            </w:tcMar>
            <w:vAlign w:val="center"/>
          </w:tcPr>
          <w:p w14:paraId="21E8DABA" w14:textId="34E1C2C8" w:rsidR="00D503EE" w:rsidRPr="00D503EE" w:rsidRDefault="00D503EE" w:rsidP="00D503EE">
            <w:pPr>
              <w:pStyle w:val="TableBody"/>
            </w:pPr>
            <w:r w:rsidRPr="00D503EE">
              <w:t xml:space="preserve">Scientific licences operated by Geoscience Australia </w:t>
            </w:r>
            <w:r w:rsidR="0071215C">
              <w:t>i</w:t>
            </w:r>
            <w:r w:rsidRPr="00D503EE">
              <w:t xml:space="preserve">n Canberra. </w:t>
            </w:r>
          </w:p>
        </w:tc>
      </w:tr>
    </w:tbl>
    <w:p w14:paraId="6CE86EBD" w14:textId="4A4A535C" w:rsidR="00DB3C37" w:rsidRDefault="008D0AF0" w:rsidP="00AE1D47">
      <w:pPr>
        <w:pStyle w:val="Heading1"/>
      </w:pPr>
      <w:bookmarkStart w:id="7" w:name="_ITU"/>
      <w:bookmarkStart w:id="8" w:name="_Toc68612225"/>
      <w:bookmarkEnd w:id="7"/>
      <w:r>
        <w:lastRenderedPageBreak/>
        <w:t xml:space="preserve">Discussion, </w:t>
      </w:r>
      <w:r w:rsidR="005806F8">
        <w:t>p</w:t>
      </w:r>
      <w:r w:rsidR="00FD5E7C">
        <w:t xml:space="preserve">reliminary </w:t>
      </w:r>
      <w:r w:rsidR="005806F8">
        <w:t>v</w:t>
      </w:r>
      <w:r w:rsidR="00FD5E7C">
        <w:t>iews</w:t>
      </w:r>
      <w:r>
        <w:t xml:space="preserve"> and </w:t>
      </w:r>
      <w:r w:rsidR="005806F8">
        <w:t>o</w:t>
      </w:r>
      <w:r>
        <w:t>ptions</w:t>
      </w:r>
      <w:bookmarkEnd w:id="8"/>
    </w:p>
    <w:p w14:paraId="16BDA4BD" w14:textId="24142FA4" w:rsidR="009A19B3" w:rsidRDefault="0078602E" w:rsidP="009A19B3">
      <w:pPr>
        <w:pStyle w:val="Paragraph"/>
      </w:pPr>
      <w:r>
        <w:t xml:space="preserve">We invite </w:t>
      </w:r>
      <w:r w:rsidR="00192CF3">
        <w:t xml:space="preserve">evidence and views from </w:t>
      </w:r>
      <w:r w:rsidR="00045AED">
        <w:t>stakeholde</w:t>
      </w:r>
      <w:r w:rsidR="00192CF3">
        <w:t xml:space="preserve">rs </w:t>
      </w:r>
      <w:r>
        <w:t xml:space="preserve">on issues relating to the </w:t>
      </w:r>
      <w:r w:rsidR="001C719A">
        <w:t xml:space="preserve">5 GHz and </w:t>
      </w:r>
      <w:r>
        <w:t>6 GHz band</w:t>
      </w:r>
      <w:r w:rsidR="001C719A">
        <w:t>s</w:t>
      </w:r>
      <w:r>
        <w:t xml:space="preserve">, </w:t>
      </w:r>
      <w:r w:rsidR="00A26446">
        <w:t>including potential</w:t>
      </w:r>
      <w:r>
        <w:t xml:space="preserve"> future </w:t>
      </w:r>
      <w:r w:rsidR="00A26446">
        <w:t xml:space="preserve">uses </w:t>
      </w:r>
      <w:r>
        <w:t xml:space="preserve">of the </w:t>
      </w:r>
      <w:r w:rsidR="007B04FB">
        <w:t xml:space="preserve">6 GHz </w:t>
      </w:r>
      <w:r>
        <w:t>band</w:t>
      </w:r>
      <w:r w:rsidR="00FA14FD">
        <w:t>, potential planning options</w:t>
      </w:r>
      <w:r w:rsidR="00A26446">
        <w:t xml:space="preserve"> and/or incumbency</w:t>
      </w:r>
      <w:r w:rsidR="00FA14FD">
        <w:t>/</w:t>
      </w:r>
      <w:r w:rsidR="00A26446">
        <w:t>p</w:t>
      </w:r>
      <w:r w:rsidR="00FA14FD">
        <w:t>rotection issues</w:t>
      </w:r>
      <w:r>
        <w:t xml:space="preserve"> in</w:t>
      </w:r>
      <w:r w:rsidR="00FA14FD">
        <w:t xml:space="preserve"> the</w:t>
      </w:r>
      <w:r>
        <w:t xml:space="preserve"> Australia</w:t>
      </w:r>
      <w:r w:rsidR="00FA14FD">
        <w:t>n</w:t>
      </w:r>
      <w:r w:rsidR="005702B1">
        <w:t xml:space="preserve"> context</w:t>
      </w:r>
      <w:r>
        <w:t>.</w:t>
      </w:r>
      <w:r w:rsidR="009A19B3" w:rsidRPr="009A19B3">
        <w:t xml:space="preserve"> </w:t>
      </w:r>
    </w:p>
    <w:p w14:paraId="50A069A1" w14:textId="336BD355" w:rsidR="0078602E" w:rsidRDefault="009A19B3" w:rsidP="0078602E">
      <w:pPr>
        <w:pStyle w:val="Paragraph"/>
      </w:pPr>
      <w:r>
        <w:t>Below we have outlined our preliminary views on the use of the 6 GHz band for RLANs</w:t>
      </w:r>
      <w:r w:rsidR="008D0AF0">
        <w:t xml:space="preserve"> </w:t>
      </w:r>
      <w:r w:rsidR="00FA0479">
        <w:t>along</w:t>
      </w:r>
      <w:r w:rsidR="008D0AF0">
        <w:t xml:space="preserve"> with </w:t>
      </w:r>
      <w:r w:rsidR="00FA0479">
        <w:t>some alternative or complimentary options</w:t>
      </w:r>
      <w:r w:rsidR="00C95270">
        <w:t>,</w:t>
      </w:r>
      <w:r>
        <w:t xml:space="preserve"> and some potential changes to arrangements for RLANs </w:t>
      </w:r>
      <w:r w:rsidR="00C95270">
        <w:t xml:space="preserve">in </w:t>
      </w:r>
      <w:r>
        <w:t>parts of the 5 GHz band.</w:t>
      </w:r>
    </w:p>
    <w:p w14:paraId="51A56347" w14:textId="310CE0DF" w:rsidR="00050AD3" w:rsidRPr="00050AD3" w:rsidRDefault="00050AD3" w:rsidP="00D14D72">
      <w:pPr>
        <w:pStyle w:val="Heading2"/>
      </w:pPr>
      <w:bookmarkStart w:id="9" w:name="_Toc68612226"/>
      <w:r>
        <w:t>6</w:t>
      </w:r>
      <w:r w:rsidR="0032496D">
        <w:t xml:space="preserve"> </w:t>
      </w:r>
      <w:r>
        <w:t>GHz band</w:t>
      </w:r>
      <w:bookmarkEnd w:id="9"/>
    </w:p>
    <w:p w14:paraId="7ECE432D" w14:textId="58A1513E" w:rsidR="00FA0479" w:rsidRDefault="0032612A" w:rsidP="0032612A">
      <w:pPr>
        <w:pStyle w:val="Paragraph"/>
      </w:pPr>
      <w:r>
        <w:t xml:space="preserve">Given the relative </w:t>
      </w:r>
      <w:r w:rsidR="00192CF3">
        <w:t>scarcity</w:t>
      </w:r>
      <w:r>
        <w:t xml:space="preserve"> of available spectrum in RLAN-standardised bands</w:t>
      </w:r>
      <w:r w:rsidR="00FA0479">
        <w:t xml:space="preserve"> available to support future growth in RALN capacity</w:t>
      </w:r>
      <w:r>
        <w:t xml:space="preserve">, </w:t>
      </w:r>
      <w:r w:rsidR="000200F4">
        <w:t>we have</w:t>
      </w:r>
      <w:r w:rsidR="00192CF3">
        <w:t xml:space="preserve"> identified </w:t>
      </w:r>
      <w:r>
        <w:t>these bands (or parts thereof) as strong candidates for potential class-licen</w:t>
      </w:r>
      <w:r w:rsidR="00B80D63">
        <w:t>s</w:t>
      </w:r>
      <w:r>
        <w:t xml:space="preserve">ed access. </w:t>
      </w:r>
      <w:r w:rsidR="00FA0479">
        <w:t>Importantly</w:t>
      </w:r>
      <w:r w:rsidR="00612D94">
        <w:t xml:space="preserve">, we </w:t>
      </w:r>
      <w:r w:rsidR="00192CF3">
        <w:t>consider</w:t>
      </w:r>
      <w:r w:rsidR="00FA0479">
        <w:t xml:space="preserve"> such class</w:t>
      </w:r>
      <w:r w:rsidR="000200F4">
        <w:t>-</w:t>
      </w:r>
      <w:r w:rsidR="00FA0479">
        <w:t>licensed</w:t>
      </w:r>
      <w:r w:rsidR="00612D94">
        <w:t xml:space="preserve"> access</w:t>
      </w:r>
      <w:r w:rsidR="00FA0479">
        <w:t xml:space="preserve"> </w:t>
      </w:r>
      <w:r w:rsidR="00612D94">
        <w:t>may be</w:t>
      </w:r>
      <w:r w:rsidR="00FA0479">
        <w:t xml:space="preserve"> </w:t>
      </w:r>
      <w:r w:rsidR="00612D94">
        <w:t xml:space="preserve">achieved </w:t>
      </w:r>
      <w:r w:rsidR="00FA0479">
        <w:t xml:space="preserve">in a </w:t>
      </w:r>
      <w:r w:rsidR="000200F4">
        <w:t xml:space="preserve">way </w:t>
      </w:r>
      <w:r w:rsidR="00FA0479">
        <w:t>that does not impact existing uses and users of the spectrum.</w:t>
      </w:r>
    </w:p>
    <w:p w14:paraId="5DF2AA37" w14:textId="7F73CFCF" w:rsidR="0032612A" w:rsidRDefault="0032612A" w:rsidP="0032612A">
      <w:pPr>
        <w:pStyle w:val="Paragraph"/>
      </w:pPr>
      <w:r>
        <w:t xml:space="preserve">Conversely, a clear case for wide-area </w:t>
      </w:r>
      <w:r w:rsidR="002D7BF6">
        <w:t>International Mobile Telecommunications</w:t>
      </w:r>
      <w:r w:rsidR="002D7BF6" w:rsidRPr="000A442C">
        <w:t xml:space="preserve"> (</w:t>
      </w:r>
      <w:r w:rsidRPr="002D7BF6">
        <w:t>IMT</w:t>
      </w:r>
      <w:r w:rsidR="002D7BF6" w:rsidRPr="002D7BF6">
        <w:t>)</w:t>
      </w:r>
      <w:r>
        <w:t xml:space="preserve"> in either band is yet to </w:t>
      </w:r>
      <w:r w:rsidR="00192CF3">
        <w:t>develop</w:t>
      </w:r>
      <w:r>
        <w:t xml:space="preserve">. While the WRC-23 study process is looking at the upper portion of the 6 GHz band for a potential </w:t>
      </w:r>
      <w:r w:rsidR="00612D94">
        <w:t xml:space="preserve">IMT </w:t>
      </w:r>
      <w:r>
        <w:t>identification</w:t>
      </w:r>
      <w:r w:rsidR="00612D94">
        <w:t xml:space="preserve"> (mostly in ITU Region 1)</w:t>
      </w:r>
      <w:r>
        <w:t>, there does not appear to be any immediate demand for these services, noting the significant amount of spectrum currently available (or being made available) for mobile</w:t>
      </w:r>
      <w:r w:rsidR="00631871">
        <w:t xml:space="preserve"> use</w:t>
      </w:r>
      <w:r>
        <w:t xml:space="preserve"> in Australia. </w:t>
      </w:r>
    </w:p>
    <w:p w14:paraId="4178F8B1" w14:textId="2C14EB2C" w:rsidR="0032612A" w:rsidRDefault="0032612A" w:rsidP="0032612A">
      <w:pPr>
        <w:pStyle w:val="Paragraph"/>
      </w:pPr>
      <w:r>
        <w:t>Furthermore, there is clear momentum for the lower 500 MHz portion of the 6 GHz band to be made available for unlicen</w:t>
      </w:r>
      <w:r w:rsidR="00E217B6">
        <w:t>s</w:t>
      </w:r>
      <w:r>
        <w:t>ed (</w:t>
      </w:r>
      <w:r w:rsidR="00E217B6">
        <w:t xml:space="preserve">or </w:t>
      </w:r>
      <w:r>
        <w:t>class</w:t>
      </w:r>
      <w:r w:rsidR="00631871">
        <w:t>-</w:t>
      </w:r>
      <w:r>
        <w:t>licen</w:t>
      </w:r>
      <w:r w:rsidR="00B80D63">
        <w:t>s</w:t>
      </w:r>
      <w:r>
        <w:t xml:space="preserve">ed) access by localised networks, including (but not limited to) RLANs and/or </w:t>
      </w:r>
      <w:r w:rsidR="0073569B">
        <w:t>New Radio Unlicen</w:t>
      </w:r>
      <w:r w:rsidR="00B80D63">
        <w:t>s</w:t>
      </w:r>
      <w:r w:rsidR="0073569B">
        <w:t>ed (</w:t>
      </w:r>
      <w:r>
        <w:t>NR-U</w:t>
      </w:r>
      <w:r w:rsidR="0073569B">
        <w:t>)</w:t>
      </w:r>
      <w:r>
        <w:t xml:space="preserve"> systems</w:t>
      </w:r>
      <w:r w:rsidR="00142E02">
        <w:t xml:space="preserve"> (see </w:t>
      </w:r>
      <w:hyperlink w:anchor="_IMT_2020_and" w:history="1">
        <w:r w:rsidR="00142E02" w:rsidRPr="00142E02">
          <w:rPr>
            <w:rStyle w:val="Hyperlink"/>
          </w:rPr>
          <w:t>th</w:t>
        </w:r>
        <w:r w:rsidR="00142E02">
          <w:rPr>
            <w:rStyle w:val="Hyperlink"/>
          </w:rPr>
          <w:t>e</w:t>
        </w:r>
        <w:r w:rsidR="00142E02" w:rsidRPr="00142E02">
          <w:rPr>
            <w:rStyle w:val="Hyperlink"/>
          </w:rPr>
          <w:t xml:space="preserve"> sectio</w:t>
        </w:r>
        <w:r w:rsidR="00142E02">
          <w:rPr>
            <w:rStyle w:val="Hyperlink"/>
          </w:rPr>
          <w:t>n on IMT-2020</w:t>
        </w:r>
      </w:hyperlink>
      <w:r w:rsidR="00142E02">
        <w:t xml:space="preserve"> in Appendix A)</w:t>
      </w:r>
      <w:r>
        <w:t>, so it is proposed that this spectrum will be considered for addition to the LIPD class licence at a future</w:t>
      </w:r>
      <w:r w:rsidR="00E217B6">
        <w:t xml:space="preserve"> time</w:t>
      </w:r>
      <w:r>
        <w:t xml:space="preserve">. </w:t>
      </w:r>
    </w:p>
    <w:p w14:paraId="5502FCEF" w14:textId="29C35FF5" w:rsidR="00EA2A81" w:rsidRDefault="00EA2A81" w:rsidP="008E32DD">
      <w:pPr>
        <w:pStyle w:val="Paragraphbeforelist"/>
      </w:pPr>
      <w:r>
        <w:t xml:space="preserve">Internationally, different jurisdictions are introducing or proposing </w:t>
      </w:r>
      <w:r w:rsidR="001F6AFD">
        <w:t xml:space="preserve">arrangements in the 6 GHz band </w:t>
      </w:r>
      <w:r w:rsidR="00631871">
        <w:t xml:space="preserve">that </w:t>
      </w:r>
      <w:r w:rsidR="001F6AFD">
        <w:t>are broadly</w:t>
      </w:r>
      <w:r>
        <w:t xml:space="preserve"> similar</w:t>
      </w:r>
      <w:r w:rsidR="001F6AFD">
        <w:t xml:space="preserve"> to each other</w:t>
      </w:r>
      <w:r>
        <w:t xml:space="preserve">, </w:t>
      </w:r>
      <w:r w:rsidR="001F6AFD">
        <w:t xml:space="preserve">but </w:t>
      </w:r>
      <w:r>
        <w:t>var</w:t>
      </w:r>
      <w:r w:rsidR="001F6AFD">
        <w:t>y</w:t>
      </w:r>
      <w:r>
        <w:t xml:space="preserve"> </w:t>
      </w:r>
      <w:r w:rsidR="001F6AFD">
        <w:t>in</w:t>
      </w:r>
      <w:r>
        <w:t xml:space="preserve"> the </w:t>
      </w:r>
      <w:r w:rsidR="001F6AFD">
        <w:t>amount of spectrum</w:t>
      </w:r>
      <w:r>
        <w:t>, power l</w:t>
      </w:r>
      <w:r w:rsidR="001F6AFD">
        <w:t>imits</w:t>
      </w:r>
      <w:r>
        <w:t xml:space="preserve"> and other </w:t>
      </w:r>
      <w:r w:rsidR="001F6AFD">
        <w:t xml:space="preserve">implementation </w:t>
      </w:r>
      <w:r>
        <w:t>details. Generally, arrangements are trending towards:</w:t>
      </w:r>
    </w:p>
    <w:p w14:paraId="58C432EB" w14:textId="4744F8B8" w:rsidR="00EA2A81" w:rsidRDefault="00EA2A81" w:rsidP="008E32DD">
      <w:pPr>
        <w:pStyle w:val="Bulletlevel1"/>
      </w:pPr>
      <w:r>
        <w:t>operation of radiocommunications equipment</w:t>
      </w:r>
      <w:r w:rsidR="00FA0479">
        <w:t xml:space="preserve"> without individual licences (</w:t>
      </w:r>
      <w:r w:rsidR="00631871">
        <w:t>that is,</w:t>
      </w:r>
      <w:r w:rsidR="00FA0479">
        <w:t xml:space="preserve"> unlicensed</w:t>
      </w:r>
      <w:r w:rsidR="00612D94">
        <w:t xml:space="preserve"> or </w:t>
      </w:r>
      <w:r w:rsidR="00FA0479">
        <w:t>licensed</w:t>
      </w:r>
      <w:r w:rsidR="00612D94">
        <w:t xml:space="preserve"> e</w:t>
      </w:r>
      <w:r w:rsidR="00BD0F0A">
        <w:t>xempt</w:t>
      </w:r>
      <w:r w:rsidR="00FA0479">
        <w:t>)</w:t>
      </w:r>
      <w:r>
        <w:t>, with a focus on RLANs</w:t>
      </w:r>
    </w:p>
    <w:p w14:paraId="172A9B3C" w14:textId="4F6A475E" w:rsidR="00EA2A81" w:rsidRDefault="00FA0479" w:rsidP="008E32DD">
      <w:pPr>
        <w:pStyle w:val="Bulletlevel1"/>
      </w:pPr>
      <w:r>
        <w:t>operating in</w:t>
      </w:r>
      <w:r w:rsidR="00EA2A81">
        <w:t xml:space="preserve"> either the bottom 500 MHz (5925–6425 MHz) or the entire band (5925–7125 MHz) </w:t>
      </w:r>
    </w:p>
    <w:p w14:paraId="746C0BBC" w14:textId="2F5EF419" w:rsidR="00EA2A81" w:rsidRDefault="00EA2A81" w:rsidP="008E32DD">
      <w:pPr>
        <w:pStyle w:val="Bulletlevel1"/>
      </w:pPr>
      <w:r>
        <w:t xml:space="preserve">some combination of </w:t>
      </w:r>
      <w:r w:rsidR="00073B40">
        <w:t>3</w:t>
      </w:r>
      <w:r w:rsidR="00631871">
        <w:t xml:space="preserve"> </w:t>
      </w:r>
      <w:r>
        <w:t>different power limits, with different restrictions:</w:t>
      </w:r>
    </w:p>
    <w:p w14:paraId="3A205C8D" w14:textId="7B9F70F4" w:rsidR="00EA2A81" w:rsidRDefault="00631871" w:rsidP="00073B40">
      <w:pPr>
        <w:pStyle w:val="Bulletlevel2"/>
      </w:pPr>
      <w:r>
        <w:t>v</w:t>
      </w:r>
      <w:r w:rsidR="00EA2A81">
        <w:t xml:space="preserve">ery low power </w:t>
      </w:r>
      <w:r w:rsidR="000E5753">
        <w:t xml:space="preserve">(VLP) </w:t>
      </w:r>
      <w:r w:rsidR="00EA2A81">
        <w:t xml:space="preserve">devices </w:t>
      </w:r>
      <w:r w:rsidR="005806F8">
        <w:t xml:space="preserve">– </w:t>
      </w:r>
      <w:r w:rsidR="00EA2A81">
        <w:t>commonly 14 dBm</w:t>
      </w:r>
    </w:p>
    <w:p w14:paraId="7FB088FE" w14:textId="2B3169E1" w:rsidR="00EA2A81" w:rsidRDefault="00631871" w:rsidP="00073B40">
      <w:pPr>
        <w:pStyle w:val="Bulletlevel2"/>
      </w:pPr>
      <w:r>
        <w:t>l</w:t>
      </w:r>
      <w:r w:rsidR="00EA2A81">
        <w:t>ow power devices, indoor use only</w:t>
      </w:r>
      <w:r w:rsidR="000E5753">
        <w:t xml:space="preserve"> (LPI)</w:t>
      </w:r>
      <w:r w:rsidR="00EA2A81">
        <w:t xml:space="preserve"> </w:t>
      </w:r>
      <w:r w:rsidR="005806F8">
        <w:t>– ranges from 23</w:t>
      </w:r>
      <w:r w:rsidR="00EA2A81">
        <w:t xml:space="preserve"> </w:t>
      </w:r>
      <w:r w:rsidR="005806F8">
        <w:t xml:space="preserve">to </w:t>
      </w:r>
      <w:r w:rsidR="00EA2A81">
        <w:t>30 dBm</w:t>
      </w:r>
      <w:r w:rsidR="005806F8">
        <w:t xml:space="preserve"> in different jurisdictions and may also require lower limits for client terminals</w:t>
      </w:r>
    </w:p>
    <w:p w14:paraId="25C6ADD5" w14:textId="1C3DE779" w:rsidR="00EA2A81" w:rsidRDefault="00631871" w:rsidP="00073B40">
      <w:pPr>
        <w:pStyle w:val="Bulletlevel2"/>
      </w:pPr>
      <w:r>
        <w:t>h</w:t>
      </w:r>
      <w:r w:rsidR="00EA2A81">
        <w:t xml:space="preserve">igher (‘standard’) power, requiring use of an AFC system </w:t>
      </w:r>
      <w:r w:rsidR="005806F8">
        <w:t xml:space="preserve">– </w:t>
      </w:r>
      <w:r w:rsidR="00EA2A81">
        <w:t>either 30 or 36 dBm</w:t>
      </w:r>
      <w:r w:rsidR="005806F8">
        <w:t>, again with lower power for client devices</w:t>
      </w:r>
      <w:r>
        <w:t>.</w:t>
      </w:r>
    </w:p>
    <w:p w14:paraId="47D63EC7" w14:textId="254C8CE7" w:rsidR="00EA2A81" w:rsidRDefault="00AD32EC" w:rsidP="00073B40">
      <w:pPr>
        <w:pStyle w:val="Bulletlevel1last"/>
      </w:pPr>
      <w:r>
        <w:t>additional power or frequency range restrictions for protection of satellite receivers and/or ENG</w:t>
      </w:r>
      <w:r w:rsidR="00631871">
        <w:t>.</w:t>
      </w:r>
    </w:p>
    <w:p w14:paraId="3B36B97C" w14:textId="4E953945" w:rsidR="00185B1E" w:rsidRDefault="00631871" w:rsidP="009F4C11">
      <w:pPr>
        <w:pStyle w:val="Paragraph"/>
        <w:pageBreakBefore/>
      </w:pPr>
      <w:r>
        <w:lastRenderedPageBreak/>
        <w:t xml:space="preserve">We </w:t>
      </w:r>
      <w:r w:rsidR="00185B1E">
        <w:t>note that the existing</w:t>
      </w:r>
      <w:r w:rsidR="00116F31">
        <w:t xml:space="preserve"> primary</w:t>
      </w:r>
      <w:r w:rsidR="00185B1E">
        <w:t xml:space="preserve"> uses of the lower 500 MHz band in Australia (</w:t>
      </w:r>
      <w:r w:rsidR="00116F31">
        <w:t>FSS</w:t>
      </w:r>
      <w:r w:rsidR="00185B1E">
        <w:t xml:space="preserve"> and FS) are consistent with those elsewhere in the world.</w:t>
      </w:r>
      <w:r w:rsidR="00847ABE">
        <w:t xml:space="preserve"> Accordingly, </w:t>
      </w:r>
      <w:r>
        <w:t xml:space="preserve">we have </w:t>
      </w:r>
      <w:r w:rsidR="00847ABE">
        <w:t>formed the preliminary view</w:t>
      </w:r>
      <w:r>
        <w:t>, informed by studies in Europe and the UK discussed later in the paper,</w:t>
      </w:r>
      <w:r w:rsidR="00847ABE">
        <w:t xml:space="preserve"> that RLAN use can coexist with exi</w:t>
      </w:r>
      <w:r w:rsidR="00116F31">
        <w:t>s</w:t>
      </w:r>
      <w:r w:rsidR="00847ABE">
        <w:t xml:space="preserve">ting primary </w:t>
      </w:r>
      <w:r w:rsidR="00116F31">
        <w:t>services</w:t>
      </w:r>
      <w:r w:rsidR="00CD61D8">
        <w:t xml:space="preserve">. </w:t>
      </w:r>
    </w:p>
    <w:p w14:paraId="158F44BA" w14:textId="6D5428C5" w:rsidR="00116F31" w:rsidRPr="00BD0F0A" w:rsidRDefault="00116F31" w:rsidP="009F4C11">
      <w:pPr>
        <w:pStyle w:val="Heading3"/>
      </w:pPr>
      <w:bookmarkStart w:id="10" w:name="_Toc68167237"/>
      <w:bookmarkStart w:id="11" w:name="_Toc68612227"/>
      <w:r w:rsidRPr="00116F31">
        <w:t>Preliminary</w:t>
      </w:r>
      <w:r w:rsidRPr="00BD0F0A">
        <w:t xml:space="preserve"> view</w:t>
      </w:r>
      <w:bookmarkEnd w:id="10"/>
      <w:bookmarkEnd w:id="11"/>
    </w:p>
    <w:p w14:paraId="194BC2B0" w14:textId="6FC1EBD6" w:rsidR="00AD32EC" w:rsidRDefault="00631871" w:rsidP="009F4C11">
      <w:pPr>
        <w:pStyle w:val="Paragraphbeforelist"/>
      </w:pPr>
      <w:r>
        <w:t>We have</w:t>
      </w:r>
      <w:r w:rsidR="00116F31">
        <w:t xml:space="preserve"> formed the preliminary view that </w:t>
      </w:r>
      <w:r w:rsidR="00591D97">
        <w:t>to expedite opportunities for 6</w:t>
      </w:r>
      <w:r w:rsidR="00973924">
        <w:t> </w:t>
      </w:r>
      <w:r w:rsidR="00591D97">
        <w:t>GHz RLANs in Australia in a manner co</w:t>
      </w:r>
      <w:r w:rsidR="000F6DAA">
        <w:t>mpatible</w:t>
      </w:r>
      <w:r w:rsidR="00591D97">
        <w:t xml:space="preserve"> with existing uses, </w:t>
      </w:r>
      <w:r w:rsidR="00116F31">
        <w:t xml:space="preserve">adopting the arrangements recently implemented in the UK </w:t>
      </w:r>
      <w:r w:rsidR="007A6850">
        <w:t>c</w:t>
      </w:r>
      <w:r w:rsidR="00116F31">
        <w:t>ould be reasonable</w:t>
      </w:r>
      <w:r w:rsidR="000F6DAA">
        <w:t xml:space="preserve"> for Australia</w:t>
      </w:r>
      <w:r w:rsidR="00116F31">
        <w:t>. Specifically</w:t>
      </w:r>
      <w:r w:rsidR="00AD32EC">
        <w:t>:</w:t>
      </w:r>
    </w:p>
    <w:p w14:paraId="74A5BC75" w14:textId="5D98A49D" w:rsidR="00AD32EC" w:rsidRDefault="00AD32EC" w:rsidP="009F4C11">
      <w:pPr>
        <w:pStyle w:val="Bulletlevel1"/>
      </w:pPr>
      <w:r>
        <w:t xml:space="preserve">that the bottom 500 MHz (5925–6425 MHz) be made available for use in Australia under the LIPD </w:t>
      </w:r>
      <w:r w:rsidR="00E217B6">
        <w:t>c</w:t>
      </w:r>
      <w:r>
        <w:t xml:space="preserve">lass </w:t>
      </w:r>
      <w:r w:rsidR="00E217B6">
        <w:t>l</w:t>
      </w:r>
      <w:r>
        <w:t>icence</w:t>
      </w:r>
    </w:p>
    <w:p w14:paraId="7A528643" w14:textId="7D81616E" w:rsidR="00AD32EC" w:rsidRDefault="00AD32EC" w:rsidP="009F4C11">
      <w:pPr>
        <w:pStyle w:val="Bulletlevel1"/>
      </w:pPr>
      <w:r>
        <w:t xml:space="preserve">that these devices be allowed to operate at </w:t>
      </w:r>
      <w:r w:rsidR="00631871">
        <w:t xml:space="preserve">2 </w:t>
      </w:r>
      <w:r>
        <w:t>different power limits</w:t>
      </w:r>
      <w:r w:rsidR="00631871">
        <w:t>:</w:t>
      </w:r>
      <w:r>
        <w:t xml:space="preserve"> </w:t>
      </w:r>
    </w:p>
    <w:p w14:paraId="44150BEB" w14:textId="6783C05B" w:rsidR="00AD32EC" w:rsidRDefault="00116F31" w:rsidP="009F4C11">
      <w:pPr>
        <w:pStyle w:val="Bulletlevel2"/>
      </w:pPr>
      <w:r>
        <w:t>24 </w:t>
      </w:r>
      <w:r w:rsidR="00AD32EC">
        <w:t>dBm</w:t>
      </w:r>
      <w:r w:rsidR="000D0A60">
        <w:t xml:space="preserve"> (11 dBm/MHz)</w:t>
      </w:r>
      <w:r w:rsidR="00AD32EC">
        <w:t>, if only used indoors (LPI)</w:t>
      </w:r>
    </w:p>
    <w:p w14:paraId="4BBCD908" w14:textId="368E3A34" w:rsidR="008E6643" w:rsidRDefault="00AD32EC" w:rsidP="009F4C11">
      <w:pPr>
        <w:pStyle w:val="Bulletlevel2last"/>
      </w:pPr>
      <w:r>
        <w:t>14 dBm</w:t>
      </w:r>
      <w:r w:rsidR="000D0A60">
        <w:t xml:space="preserve"> (1 dBm/MHz)</w:t>
      </w:r>
      <w:r>
        <w:t xml:space="preserve"> in all locations (VLP)</w:t>
      </w:r>
      <w:r w:rsidR="00631871">
        <w:t>.</w:t>
      </w:r>
    </w:p>
    <w:p w14:paraId="5421FF33" w14:textId="69228F14" w:rsidR="00050AD3" w:rsidRDefault="008E6643" w:rsidP="00AD32EC">
      <w:pPr>
        <w:pStyle w:val="Paragraph"/>
      </w:pPr>
      <w:r>
        <w:t xml:space="preserve">These arrangements are </w:t>
      </w:r>
      <w:r w:rsidR="000D0A60">
        <w:t xml:space="preserve">similar to those </w:t>
      </w:r>
      <w:r w:rsidR="001F6AFD">
        <w:t>commonly used or suggested</w:t>
      </w:r>
      <w:r>
        <w:t xml:space="preserve"> in current regulations</w:t>
      </w:r>
      <w:r w:rsidR="00135B0C">
        <w:t xml:space="preserve"> and/or</w:t>
      </w:r>
      <w:r>
        <w:t xml:space="preserve"> international proposals and </w:t>
      </w:r>
      <w:r w:rsidR="00BD0F0A">
        <w:t xml:space="preserve">are </w:t>
      </w:r>
      <w:r w:rsidR="00116F31">
        <w:t xml:space="preserve">consistent with </w:t>
      </w:r>
      <w:r w:rsidR="000F6DAA">
        <w:t xml:space="preserve">outcomes of technical </w:t>
      </w:r>
      <w:r>
        <w:t>studies</w:t>
      </w:r>
      <w:r w:rsidR="00135B0C">
        <w:t>.</w:t>
      </w:r>
      <w:r>
        <w:t xml:space="preserve"> There is widespread acceptance that operation under these </w:t>
      </w:r>
      <w:r w:rsidR="00050AD3">
        <w:t xml:space="preserve">broad </w:t>
      </w:r>
      <w:r>
        <w:t>restrictions is sufficient to protect incumbent services</w:t>
      </w:r>
      <w:r w:rsidR="001F6AFD">
        <w:t xml:space="preserve">, so long as the </w:t>
      </w:r>
      <w:r w:rsidR="00050AD3">
        <w:t xml:space="preserve">details of the regulations </w:t>
      </w:r>
      <w:r w:rsidR="001F6AFD">
        <w:t>are</w:t>
      </w:r>
      <w:r w:rsidR="00050AD3">
        <w:t xml:space="preserve"> fine-tuned for the </w:t>
      </w:r>
      <w:r w:rsidR="001F6AFD">
        <w:t>jurisdiction</w:t>
      </w:r>
      <w:r w:rsidR="00050AD3">
        <w:t xml:space="preserve"> in which they are implemented.</w:t>
      </w:r>
      <w:r w:rsidR="00591D97">
        <w:t xml:space="preserve"> </w:t>
      </w:r>
      <w:r w:rsidR="00631871">
        <w:t>We have</w:t>
      </w:r>
      <w:r w:rsidR="00116F31">
        <w:t xml:space="preserve"> </w:t>
      </w:r>
      <w:r w:rsidR="000F6DAA">
        <w:t xml:space="preserve">not </w:t>
      </w:r>
      <w:r w:rsidR="00116F31">
        <w:t xml:space="preserve">identified </w:t>
      </w:r>
      <w:r w:rsidR="000F6DAA">
        <w:t xml:space="preserve">any specific </w:t>
      </w:r>
      <w:r w:rsidR="00116F31">
        <w:t xml:space="preserve">domestic </w:t>
      </w:r>
      <w:r w:rsidR="00591D97">
        <w:t>issues</w:t>
      </w:r>
      <w:r w:rsidR="00116F31">
        <w:t xml:space="preserve"> that would lead to </w:t>
      </w:r>
      <w:r w:rsidR="00050AD3">
        <w:t>any further</w:t>
      </w:r>
      <w:r w:rsidR="00AD32EC">
        <w:t xml:space="preserve"> </w:t>
      </w:r>
      <w:r w:rsidR="00591D97">
        <w:t xml:space="preserve">limitations </w:t>
      </w:r>
      <w:r w:rsidR="00AD32EC">
        <w:t>on how these devices should operate</w:t>
      </w:r>
      <w:r w:rsidR="00050AD3">
        <w:t xml:space="preserve"> in Australia</w:t>
      </w:r>
      <w:r w:rsidR="000F6DAA">
        <w:t xml:space="preserve"> at the moment</w:t>
      </w:r>
      <w:r>
        <w:t>.</w:t>
      </w:r>
    </w:p>
    <w:p w14:paraId="0595F6FF" w14:textId="6DD7EC9F" w:rsidR="00591D97" w:rsidRDefault="00591D97" w:rsidP="00AD32EC">
      <w:pPr>
        <w:pStyle w:val="Paragraph"/>
      </w:pPr>
      <w:r>
        <w:t xml:space="preserve">Furthermore, by limiting the proposed RLAN use to the </w:t>
      </w:r>
      <w:r w:rsidR="00135B0C">
        <w:t xml:space="preserve">lower </w:t>
      </w:r>
      <w:r>
        <w:t>500 MHz band for now, it enables additional time for further developments in the rest of the band to become clear</w:t>
      </w:r>
      <w:r w:rsidR="007A6850">
        <w:t>er (for example</w:t>
      </w:r>
      <w:r w:rsidR="00631871">
        <w:t>,</w:t>
      </w:r>
      <w:r w:rsidR="007A6850">
        <w:t xml:space="preserve"> possible interest in wide area wireless broadband use)</w:t>
      </w:r>
      <w:r>
        <w:t xml:space="preserve"> before making any decisions in Australia.</w:t>
      </w:r>
    </w:p>
    <w:p w14:paraId="13F331B2" w14:textId="73C64484" w:rsidR="00116F31" w:rsidRDefault="00116F31" w:rsidP="009F4C11">
      <w:pPr>
        <w:pStyle w:val="Heading3"/>
      </w:pPr>
      <w:bookmarkStart w:id="12" w:name="_Toc68167238"/>
      <w:bookmarkStart w:id="13" w:name="_Toc68612228"/>
      <w:r w:rsidRPr="00BD0F0A">
        <w:t>Options</w:t>
      </w:r>
      <w:bookmarkEnd w:id="12"/>
      <w:bookmarkEnd w:id="13"/>
    </w:p>
    <w:p w14:paraId="183F6767" w14:textId="287A4821" w:rsidR="00116F31" w:rsidRDefault="00631871" w:rsidP="009F4C11">
      <w:pPr>
        <w:pStyle w:val="Paragraphbeforelist"/>
      </w:pPr>
      <w:r>
        <w:t>We</w:t>
      </w:r>
      <w:r w:rsidR="00591D97">
        <w:t xml:space="preserve"> </w:t>
      </w:r>
      <w:r w:rsidR="00135B0C">
        <w:t xml:space="preserve">acknowledge </w:t>
      </w:r>
      <w:r w:rsidR="00591D97">
        <w:t>that the preliminary view on 6 GHz RLAN use outlined above does not go as far as a number of other jurisdictions and</w:t>
      </w:r>
      <w:r>
        <w:t>,</w:t>
      </w:r>
      <w:r w:rsidR="00591D97">
        <w:t xml:space="preserve"> therefore</w:t>
      </w:r>
      <w:r>
        <w:t>,</w:t>
      </w:r>
      <w:r w:rsidR="00591D97">
        <w:t xml:space="preserve"> </w:t>
      </w:r>
      <w:r w:rsidR="000F6DAA">
        <w:t xml:space="preserve">there are </w:t>
      </w:r>
      <w:r w:rsidR="00591D97">
        <w:t xml:space="preserve">a range of </w:t>
      </w:r>
      <w:r w:rsidR="000F6DAA">
        <w:t>additional</w:t>
      </w:r>
      <w:r w:rsidR="00591D97">
        <w:t xml:space="preserve"> options that could be considered. </w:t>
      </w:r>
      <w:r w:rsidR="00135B0C">
        <w:t>Some</w:t>
      </w:r>
      <w:r w:rsidR="00591D97">
        <w:t xml:space="preserve"> alternative options </w:t>
      </w:r>
      <w:r>
        <w:t xml:space="preserve">may </w:t>
      </w:r>
      <w:r w:rsidR="00591D97">
        <w:t>include:</w:t>
      </w:r>
    </w:p>
    <w:p w14:paraId="37A09C95" w14:textId="6FFB88F1" w:rsidR="00591D97" w:rsidRDefault="00F14540" w:rsidP="003154CD">
      <w:pPr>
        <w:pStyle w:val="Bulletlevel1"/>
      </w:pPr>
      <w:r>
        <w:t>Continuing to limit RLAN use (at least initially) to the lower 500 MHz but with revised power limits and/or additional limitations.</w:t>
      </w:r>
    </w:p>
    <w:p w14:paraId="01710C4E" w14:textId="58885F43" w:rsidR="00050AD3" w:rsidRDefault="00F14540" w:rsidP="003154CD">
      <w:pPr>
        <w:pStyle w:val="Bulletlevel1"/>
      </w:pPr>
      <w:r>
        <w:t>Making the</w:t>
      </w:r>
      <w:r w:rsidR="00050AD3">
        <w:t xml:space="preserve"> entire band available</w:t>
      </w:r>
      <w:r>
        <w:t xml:space="preserve"> for </w:t>
      </w:r>
      <w:r w:rsidRPr="002D7BF6">
        <w:t>LPI</w:t>
      </w:r>
      <w:r>
        <w:t xml:space="preserve"> and VLP</w:t>
      </w:r>
      <w:r w:rsidR="00050AD3">
        <w:t>, rather than restricting operation under the class licence to the lower 500 MHz</w:t>
      </w:r>
      <w:r>
        <w:t>.</w:t>
      </w:r>
    </w:p>
    <w:p w14:paraId="54CAD019" w14:textId="247B7F32" w:rsidR="00050AD3" w:rsidRDefault="00F14540" w:rsidP="003154CD">
      <w:pPr>
        <w:pStyle w:val="Bulletlevel1last"/>
      </w:pPr>
      <w:r>
        <w:t xml:space="preserve">Permitting standard </w:t>
      </w:r>
      <w:r w:rsidR="00050AD3">
        <w:t xml:space="preserve">power </w:t>
      </w:r>
      <w:r w:rsidR="000F6DAA">
        <w:t xml:space="preserve">devices </w:t>
      </w:r>
      <w:r>
        <w:t>(</w:t>
      </w:r>
      <w:r w:rsidR="00631871">
        <w:t>that is,</w:t>
      </w:r>
      <w:r>
        <w:t xml:space="preserve"> higher power devices including outdoor</w:t>
      </w:r>
      <w:r w:rsidR="000F6DAA">
        <w:t xml:space="preserve"> operation</w:t>
      </w:r>
      <w:r>
        <w:t>)</w:t>
      </w:r>
      <w:r w:rsidR="00050AD3">
        <w:t xml:space="preserve"> under a </w:t>
      </w:r>
      <w:r>
        <w:t>DSA</w:t>
      </w:r>
      <w:r w:rsidR="007A3F03">
        <w:t>-like</w:t>
      </w:r>
      <w:r>
        <w:t xml:space="preserve"> </w:t>
      </w:r>
      <w:r w:rsidR="00135B0C">
        <w:t xml:space="preserve">arrangement </w:t>
      </w:r>
      <w:r>
        <w:t xml:space="preserve">such as the </w:t>
      </w:r>
      <w:r w:rsidR="00050AD3">
        <w:t>AFC</w:t>
      </w:r>
      <w:r>
        <w:t xml:space="preserve"> system adopted in the US</w:t>
      </w:r>
      <w:r w:rsidR="00631871">
        <w:t>.</w:t>
      </w:r>
      <w:r w:rsidR="00C145F3">
        <w:rPr>
          <w:rStyle w:val="FootnoteReference"/>
        </w:rPr>
        <w:footnoteReference w:id="6"/>
      </w:r>
      <w:r w:rsidR="00050AD3">
        <w:t xml:space="preserve"> </w:t>
      </w:r>
      <w:r w:rsidR="00CD4711">
        <w:t>Under this approach</w:t>
      </w:r>
      <w:r w:rsidR="007A3F03">
        <w:t>,</w:t>
      </w:r>
      <w:r w:rsidR="00CD4711">
        <w:t xml:space="preserve"> the ACMA would not develop and manage the DSA/AFC system and would instead look to industry to provide this service. </w:t>
      </w:r>
    </w:p>
    <w:p w14:paraId="29E92420" w14:textId="003098BA" w:rsidR="00BA5530" w:rsidRDefault="00BA5530" w:rsidP="00FC22CD">
      <w:pPr>
        <w:pStyle w:val="Paragraph"/>
      </w:pPr>
      <w:r>
        <w:t xml:space="preserve">While our preliminary view is to expedite availability of the bottom 500 MHz (5925–6425 MHz) for use under the LIPD class licence, we invite submitters to provide evidence and views about the demand for alternative uses </w:t>
      </w:r>
      <w:r w:rsidR="00BC4CAC">
        <w:t>and/or regulatory implementations (</w:t>
      </w:r>
      <w:r w:rsidR="00631871">
        <w:t>for example,</w:t>
      </w:r>
      <w:r w:rsidR="00BC4CAC">
        <w:t xml:space="preserve"> AFC) </w:t>
      </w:r>
      <w:r>
        <w:t xml:space="preserve">in the </w:t>
      </w:r>
      <w:r w:rsidR="00BC4CAC">
        <w:t xml:space="preserve">broader 6 GHz </w:t>
      </w:r>
      <w:r>
        <w:t>band</w:t>
      </w:r>
      <w:r w:rsidR="00BC4CAC">
        <w:t>, including potential IMT above 6425 MHz</w:t>
      </w:r>
      <w:r w:rsidR="00FC22CD">
        <w:t>.</w:t>
      </w:r>
    </w:p>
    <w:p w14:paraId="28984542" w14:textId="6DEF9A70" w:rsidR="00AD32EC" w:rsidRDefault="00050AD3" w:rsidP="003154CD">
      <w:pPr>
        <w:pStyle w:val="Heading2"/>
        <w:keepLines/>
      </w:pPr>
      <w:bookmarkStart w:id="14" w:name="_Toc68612229"/>
      <w:r>
        <w:lastRenderedPageBreak/>
        <w:t>5 GHz band</w:t>
      </w:r>
      <w:bookmarkEnd w:id="14"/>
    </w:p>
    <w:p w14:paraId="57E1E2F4" w14:textId="69ECA056" w:rsidR="00C30848" w:rsidRDefault="00631871" w:rsidP="003154CD">
      <w:pPr>
        <w:pStyle w:val="Paragraphbeforelist"/>
        <w:keepNext/>
        <w:keepLines/>
      </w:pPr>
      <w:r>
        <w:t>We have</w:t>
      </w:r>
      <w:r w:rsidR="00050AD3">
        <w:t xml:space="preserve"> no specific proposals for changes to class-licensed </w:t>
      </w:r>
      <w:r w:rsidR="00C95E6C">
        <w:t>arrangements</w:t>
      </w:r>
      <w:r w:rsidR="00050AD3">
        <w:t xml:space="preserve"> in the 5 GHz band</w:t>
      </w:r>
      <w:r w:rsidR="007B6E88">
        <w:t xml:space="preserve">, however we </w:t>
      </w:r>
      <w:r w:rsidR="00050AD3">
        <w:t xml:space="preserve">seek </w:t>
      </w:r>
      <w:r w:rsidR="00C30848">
        <w:t xml:space="preserve">industry views on the following </w:t>
      </w:r>
      <w:r w:rsidR="00E217B6">
        <w:t>questions</w:t>
      </w:r>
      <w:r w:rsidR="00C30848">
        <w:t>:</w:t>
      </w:r>
    </w:p>
    <w:p w14:paraId="1C049E7F" w14:textId="73EEFD93" w:rsidR="00050AD3" w:rsidRDefault="00C30848" w:rsidP="003154CD">
      <w:pPr>
        <w:pStyle w:val="Bulletlevel1"/>
        <w:keepNext/>
        <w:keepLines/>
      </w:pPr>
      <w:r>
        <w:t xml:space="preserve">Should Australia implement the changes introduced to the </w:t>
      </w:r>
      <w:r w:rsidR="00440C71">
        <w:t>5150–5250 MHz</w:t>
      </w:r>
      <w:r>
        <w:t xml:space="preserve"> frequency range at WRC-19</w:t>
      </w:r>
      <w:r w:rsidR="000F6DAA">
        <w:t xml:space="preserve"> (</w:t>
      </w:r>
      <w:r w:rsidR="000F6DAA" w:rsidRPr="00B4118E">
        <w:t>see</w:t>
      </w:r>
      <w:r w:rsidR="00B4118E">
        <w:t xml:space="preserve"> the </w:t>
      </w:r>
      <w:hyperlink w:anchor="_ITU_developments" w:history="1">
        <w:r w:rsidR="00B4118E" w:rsidRPr="00B4118E">
          <w:rPr>
            <w:rStyle w:val="Hyperlink"/>
          </w:rPr>
          <w:t>ITU section</w:t>
        </w:r>
      </w:hyperlink>
      <w:r w:rsidR="00B4118E">
        <w:t xml:space="preserve"> in</w:t>
      </w:r>
      <w:r w:rsidR="000F6DAA" w:rsidRPr="00B4118E">
        <w:t xml:space="preserve"> Appendix B</w:t>
      </w:r>
      <w:r w:rsidR="000F6DAA">
        <w:t>)</w:t>
      </w:r>
      <w:r>
        <w:t>?</w:t>
      </w:r>
    </w:p>
    <w:p w14:paraId="4764A42D" w14:textId="46296870" w:rsidR="00C30848" w:rsidRDefault="00C30848" w:rsidP="003154CD">
      <w:pPr>
        <w:pStyle w:val="Bulletlevel1"/>
        <w:keepNext/>
        <w:keepLines/>
      </w:pPr>
      <w:r>
        <w:t>Are there other arrangements in place internationally that could be beneficial to be incorporated into Australian regulations?</w:t>
      </w:r>
    </w:p>
    <w:p w14:paraId="3D987850" w14:textId="35CFF788" w:rsidR="00C30848" w:rsidRDefault="00C30848" w:rsidP="003154CD">
      <w:pPr>
        <w:pStyle w:val="Bulletlevel1last"/>
      </w:pPr>
      <w:r>
        <w:t xml:space="preserve">Are there other </w:t>
      </w:r>
      <w:r w:rsidR="00E217B6">
        <w:t>changes</w:t>
      </w:r>
      <w:r>
        <w:t xml:space="preserve"> to the </w:t>
      </w:r>
      <w:r w:rsidR="00E217B6">
        <w:t xml:space="preserve">LIPD </w:t>
      </w:r>
      <w:r>
        <w:t xml:space="preserve">class licence </w:t>
      </w:r>
      <w:r w:rsidR="00E217B6">
        <w:t>for</w:t>
      </w:r>
      <w:r>
        <w:t xml:space="preserve"> the 5 GHz band that</w:t>
      </w:r>
      <w:r w:rsidR="00EA0D1B">
        <w:t xml:space="preserve"> the</w:t>
      </w:r>
      <w:r>
        <w:t xml:space="preserve"> ACMA should be investigating?</w:t>
      </w:r>
    </w:p>
    <w:p w14:paraId="14332BDE" w14:textId="460585D0" w:rsidR="005F2D29" w:rsidRDefault="006B7299" w:rsidP="005F2D29">
      <w:pPr>
        <w:pStyle w:val="Heading2"/>
      </w:pPr>
      <w:bookmarkStart w:id="15" w:name="_Toc68612230"/>
      <w:r>
        <w:t>Next steps</w:t>
      </w:r>
      <w:bookmarkEnd w:id="15"/>
    </w:p>
    <w:p w14:paraId="744B816A" w14:textId="76F3A646" w:rsidR="0092336D" w:rsidRDefault="00457226" w:rsidP="00E420DC">
      <w:pPr>
        <w:pStyle w:val="Paragraph"/>
      </w:pPr>
      <w:r>
        <w:t xml:space="preserve">Our </w:t>
      </w:r>
      <w:r w:rsidR="000F6DAA">
        <w:t>next steps wi</w:t>
      </w:r>
      <w:r w:rsidR="00685D23">
        <w:t>ll</w:t>
      </w:r>
      <w:r w:rsidR="000F6DAA">
        <w:t xml:space="preserve"> d</w:t>
      </w:r>
      <w:r w:rsidR="00B855D5">
        <w:t>epend</w:t>
      </w:r>
      <w:r w:rsidR="000F6DAA">
        <w:t xml:space="preserve"> </w:t>
      </w:r>
      <w:r w:rsidR="00B855D5">
        <w:t>on</w:t>
      </w:r>
      <w:r w:rsidR="000A54E8">
        <w:t xml:space="preserve"> responses </w:t>
      </w:r>
      <w:r w:rsidR="00D25C44">
        <w:t>to this paper</w:t>
      </w:r>
      <w:r w:rsidR="000F6DAA">
        <w:t xml:space="preserve">. </w:t>
      </w:r>
      <w:r>
        <w:t>We</w:t>
      </w:r>
      <w:r w:rsidR="00B855D5">
        <w:t xml:space="preserve"> may determine that implementing </w:t>
      </w:r>
      <w:r>
        <w:t xml:space="preserve">our </w:t>
      </w:r>
      <w:r w:rsidR="00B855D5">
        <w:t xml:space="preserve">preliminary view on </w:t>
      </w:r>
      <w:r w:rsidR="000F6DAA">
        <w:t>including</w:t>
      </w:r>
      <w:r w:rsidR="00B855D5">
        <w:t xml:space="preserve"> the lower 500 MHz </w:t>
      </w:r>
      <w:r w:rsidR="00030FBA">
        <w:t xml:space="preserve">of the 6 GHz band </w:t>
      </w:r>
      <w:r w:rsidR="000F6DAA">
        <w:t>in the LIPD class licence</w:t>
      </w:r>
      <w:r w:rsidR="00030FBA">
        <w:t xml:space="preserve"> is</w:t>
      </w:r>
      <w:r w:rsidR="00B855D5">
        <w:t xml:space="preserve"> an appropriate next step</w:t>
      </w:r>
      <w:r w:rsidR="00685D23">
        <w:t>,</w:t>
      </w:r>
      <w:r w:rsidR="00B855D5">
        <w:t xml:space="preserve"> and</w:t>
      </w:r>
      <w:r w:rsidR="00030FBA">
        <w:t xml:space="preserve"> </w:t>
      </w:r>
      <w:r w:rsidR="00685D23">
        <w:t xml:space="preserve">therefore </w:t>
      </w:r>
      <w:r w:rsidR="00030FBA">
        <w:t>proceed to</w:t>
      </w:r>
      <w:r w:rsidR="00B855D5">
        <w:t xml:space="preserve"> consult on a variation to th</w:t>
      </w:r>
      <w:r w:rsidR="000F6DAA">
        <w:t>at</w:t>
      </w:r>
      <w:r w:rsidR="00B855D5">
        <w:t xml:space="preserve"> </w:t>
      </w:r>
      <w:r w:rsidR="000F6DAA">
        <w:t>class licence</w:t>
      </w:r>
      <w:r w:rsidR="00D25C44">
        <w:t xml:space="preserve">. </w:t>
      </w:r>
      <w:r w:rsidR="000F6DAA">
        <w:t>Alternatively</w:t>
      </w:r>
      <w:r w:rsidR="00685D23">
        <w:t xml:space="preserve">, </w:t>
      </w:r>
      <w:r w:rsidR="000F6DAA">
        <w:t>or additionally</w:t>
      </w:r>
      <w:r w:rsidR="00030FBA">
        <w:t xml:space="preserve">, </w:t>
      </w:r>
      <w:r>
        <w:t>we</w:t>
      </w:r>
      <w:r w:rsidR="00030FBA">
        <w:t xml:space="preserve"> may </w:t>
      </w:r>
      <w:r w:rsidR="00053A6B">
        <w:t>consult</w:t>
      </w:r>
      <w:r w:rsidR="00685D23">
        <w:t xml:space="preserve"> further</w:t>
      </w:r>
      <w:r w:rsidR="00053A6B">
        <w:t xml:space="preserve"> on </w:t>
      </w:r>
      <w:r w:rsidR="00685D23">
        <w:t>other</w:t>
      </w:r>
      <w:r w:rsidR="00030FBA">
        <w:t xml:space="preserve"> </w:t>
      </w:r>
      <w:r w:rsidR="00B52AC4">
        <w:t xml:space="preserve">specific </w:t>
      </w:r>
      <w:r w:rsidR="00053A6B">
        <w:t xml:space="preserve">potential </w:t>
      </w:r>
      <w:r w:rsidR="00792815">
        <w:t xml:space="preserve">planning </w:t>
      </w:r>
      <w:r w:rsidR="006808AA">
        <w:t xml:space="preserve">options </w:t>
      </w:r>
      <w:r>
        <w:t xml:space="preserve">for </w:t>
      </w:r>
      <w:r w:rsidR="005237CB">
        <w:t>increase</w:t>
      </w:r>
      <w:r w:rsidR="00685D23">
        <w:t>d</w:t>
      </w:r>
      <w:r w:rsidR="005237CB">
        <w:t xml:space="preserve"> RLAN access to </w:t>
      </w:r>
      <w:r w:rsidR="00030FBA">
        <w:t>the 5 GHz and</w:t>
      </w:r>
      <w:r w:rsidR="00685D23">
        <w:t>/or</w:t>
      </w:r>
      <w:r w:rsidR="00030FBA">
        <w:t xml:space="preserve"> 6 GHz band</w:t>
      </w:r>
      <w:r w:rsidR="00685D23">
        <w:t>s</w:t>
      </w:r>
      <w:r w:rsidR="00D731E9">
        <w:t>.</w:t>
      </w:r>
    </w:p>
    <w:p w14:paraId="39E02DB1" w14:textId="77777777" w:rsidR="006C1631" w:rsidRDefault="006C1631" w:rsidP="006C1631">
      <w:pPr>
        <w:pStyle w:val="Heading1"/>
      </w:pPr>
      <w:bookmarkStart w:id="16" w:name="_Toc68612231"/>
      <w:r>
        <w:lastRenderedPageBreak/>
        <w:t>Invitation to comment</w:t>
      </w:r>
      <w:bookmarkEnd w:id="16"/>
    </w:p>
    <w:p w14:paraId="6845C4D4" w14:textId="77777777" w:rsidR="006C1631" w:rsidRDefault="006C1631" w:rsidP="006C1631">
      <w:pPr>
        <w:pStyle w:val="Heading2"/>
      </w:pPr>
      <w:bookmarkStart w:id="17" w:name="_Toc433122131"/>
      <w:bookmarkStart w:id="18" w:name="_Toc348105637"/>
      <w:bookmarkStart w:id="19" w:name="_Toc300909556"/>
      <w:bookmarkStart w:id="20" w:name="_Toc298924673"/>
      <w:bookmarkStart w:id="21" w:name="_Toc68612232"/>
      <w:bookmarkStart w:id="22" w:name="_Toc348105638"/>
      <w:bookmarkStart w:id="23" w:name="_Toc300909557"/>
      <w:bookmarkStart w:id="24" w:name="_Toc298924674"/>
      <w:bookmarkStart w:id="25" w:name="_Toc274296357"/>
      <w:r>
        <w:t>Making a submission</w:t>
      </w:r>
      <w:bookmarkEnd w:id="17"/>
      <w:bookmarkEnd w:id="18"/>
      <w:bookmarkEnd w:id="19"/>
      <w:bookmarkEnd w:id="20"/>
      <w:bookmarkEnd w:id="21"/>
    </w:p>
    <w:p w14:paraId="579CD793" w14:textId="77777777" w:rsidR="006C1631" w:rsidRDefault="006C1631" w:rsidP="006C1631">
      <w:r>
        <w:t xml:space="preserve">The ACMA invites comments on the issues set out in this discussion paper. </w:t>
      </w:r>
    </w:p>
    <w:p w14:paraId="37070515" w14:textId="77777777" w:rsidR="0070133D" w:rsidRDefault="00EF1348" w:rsidP="0070133D">
      <w:pPr>
        <w:pStyle w:val="Bulletlevel1"/>
      </w:pPr>
      <w:hyperlink r:id="rId55" w:history="1">
        <w:r w:rsidR="0070133D">
          <w:rPr>
            <w:rStyle w:val="Hyperlink"/>
          </w:rPr>
          <w:t>Online submissions</w:t>
        </w:r>
      </w:hyperlink>
      <w:r w:rsidR="0070133D">
        <w:t xml:space="preserve"> can be made by </w:t>
      </w:r>
      <w:r w:rsidR="0070133D" w:rsidRPr="0070133D">
        <w:t>uploading</w:t>
      </w:r>
      <w:r w:rsidR="0070133D">
        <w:t xml:space="preserve"> a document. Submissions in</w:t>
      </w:r>
      <w:r w:rsidR="00396DC2">
        <w:t xml:space="preserve"> PDF, </w:t>
      </w:r>
      <w:r w:rsidR="0070133D">
        <w:t>Microsoft Word or Rich Text Format are preferred.</w:t>
      </w:r>
    </w:p>
    <w:p w14:paraId="235AD8F0" w14:textId="77777777" w:rsidR="006C1631" w:rsidRDefault="006C1631" w:rsidP="0070133D">
      <w:pPr>
        <w:pStyle w:val="Bulletlevel1"/>
      </w:pPr>
      <w:r>
        <w:t xml:space="preserve">Submissions by post can be sent to: </w:t>
      </w:r>
    </w:p>
    <w:p w14:paraId="6F412EA6" w14:textId="77777777" w:rsidR="006C1631" w:rsidRPr="00FF3BE9" w:rsidRDefault="006C1631" w:rsidP="006C1631">
      <w:pPr>
        <w:tabs>
          <w:tab w:val="num" w:pos="295"/>
        </w:tabs>
        <w:spacing w:after="0"/>
        <w:ind w:left="295"/>
        <w:rPr>
          <w:szCs w:val="20"/>
        </w:rPr>
      </w:pPr>
      <w:r w:rsidRPr="00FF3BE9">
        <w:rPr>
          <w:szCs w:val="20"/>
        </w:rPr>
        <w:t>The Manager</w:t>
      </w:r>
    </w:p>
    <w:p w14:paraId="32A790BD" w14:textId="564DF2C1" w:rsidR="006C1631" w:rsidRPr="00FF3BE9" w:rsidRDefault="006C1631" w:rsidP="006C1631">
      <w:pPr>
        <w:spacing w:after="0"/>
        <w:ind w:left="295"/>
        <w:rPr>
          <w:szCs w:val="20"/>
        </w:rPr>
      </w:pPr>
      <w:r w:rsidRPr="00FF3BE9">
        <w:rPr>
          <w:szCs w:val="20"/>
        </w:rPr>
        <w:t>S</w:t>
      </w:r>
      <w:r w:rsidR="00FF3BE9" w:rsidRPr="00FF3BE9">
        <w:rPr>
          <w:szCs w:val="20"/>
        </w:rPr>
        <w:t>pectrum Planning Section</w:t>
      </w:r>
    </w:p>
    <w:p w14:paraId="61687501" w14:textId="77777777" w:rsidR="006C1631" w:rsidRPr="00FF3BE9" w:rsidRDefault="006C1631" w:rsidP="006C1631">
      <w:pPr>
        <w:spacing w:after="0"/>
        <w:ind w:left="295"/>
        <w:rPr>
          <w:szCs w:val="20"/>
        </w:rPr>
      </w:pPr>
      <w:r w:rsidRPr="00FF3BE9">
        <w:rPr>
          <w:szCs w:val="20"/>
        </w:rPr>
        <w:t>Australian Communications and Media Authority</w:t>
      </w:r>
    </w:p>
    <w:p w14:paraId="7F5D991A" w14:textId="77777777" w:rsidR="006C1631" w:rsidRPr="00FF3BE9" w:rsidRDefault="006C1631" w:rsidP="006C1631">
      <w:pPr>
        <w:spacing w:after="0"/>
        <w:ind w:left="295"/>
        <w:rPr>
          <w:szCs w:val="20"/>
        </w:rPr>
      </w:pPr>
      <w:r w:rsidRPr="00FF3BE9">
        <w:rPr>
          <w:szCs w:val="20"/>
        </w:rPr>
        <w:t>PO Box 78</w:t>
      </w:r>
    </w:p>
    <w:p w14:paraId="44C7704F" w14:textId="77777777" w:rsidR="006C1631" w:rsidRDefault="006C1631" w:rsidP="006C1631">
      <w:pPr>
        <w:ind w:left="295"/>
        <w:rPr>
          <w:szCs w:val="20"/>
        </w:rPr>
      </w:pPr>
      <w:r w:rsidRPr="00FF3BE9">
        <w:rPr>
          <w:szCs w:val="20"/>
        </w:rPr>
        <w:t>Belconnen ACT 2616</w:t>
      </w:r>
    </w:p>
    <w:p w14:paraId="322C55E6" w14:textId="7D59A0E3" w:rsidR="006C1631" w:rsidRPr="00695234" w:rsidRDefault="006C1631" w:rsidP="006C1631">
      <w:r w:rsidRPr="00695234">
        <w:t xml:space="preserve">The closing date for submissions is COB, </w:t>
      </w:r>
      <w:r w:rsidR="000A62F9" w:rsidRPr="00695234">
        <w:t>5 May</w:t>
      </w:r>
      <w:r w:rsidRPr="00695234">
        <w:t xml:space="preserve"> 20</w:t>
      </w:r>
      <w:r w:rsidR="000A62F9" w:rsidRPr="00695234">
        <w:t>21</w:t>
      </w:r>
      <w:r w:rsidRPr="00695234">
        <w:t>.</w:t>
      </w:r>
    </w:p>
    <w:p w14:paraId="69E8322B" w14:textId="56010EFD" w:rsidR="006C1631" w:rsidRPr="00695234" w:rsidRDefault="006C1631" w:rsidP="006C1631">
      <w:pPr>
        <w:rPr>
          <w:szCs w:val="20"/>
        </w:rPr>
      </w:pPr>
      <w:r w:rsidRPr="00695234">
        <w:t xml:space="preserve">Consultation enquiries can be emailed </w:t>
      </w:r>
      <w:r w:rsidRPr="00695234">
        <w:rPr>
          <w:szCs w:val="20"/>
        </w:rPr>
        <w:t xml:space="preserve">to </w:t>
      </w:r>
      <w:hyperlink r:id="rId56" w:history="1">
        <w:r w:rsidR="000A62F9" w:rsidRPr="00695234">
          <w:rPr>
            <w:rStyle w:val="Hyperlink"/>
            <w:szCs w:val="20"/>
          </w:rPr>
          <w:t>xavier.halliwell@acma.gov.au</w:t>
        </w:r>
      </w:hyperlink>
      <w:r w:rsidRPr="00695234">
        <w:rPr>
          <w:szCs w:val="20"/>
        </w:rPr>
        <w:t>.</w:t>
      </w:r>
    </w:p>
    <w:p w14:paraId="0BD97EC1" w14:textId="77777777" w:rsidR="006C1631" w:rsidRPr="00695234" w:rsidRDefault="006C1631" w:rsidP="005B2F0D">
      <w:pPr>
        <w:pStyle w:val="Heading4"/>
      </w:pPr>
      <w:bookmarkStart w:id="26" w:name="_Toc348105639"/>
      <w:bookmarkStart w:id="27" w:name="_Toc300909558"/>
      <w:bookmarkEnd w:id="22"/>
      <w:bookmarkEnd w:id="23"/>
      <w:r w:rsidRPr="00695234">
        <w:t>Publication of submissions</w:t>
      </w:r>
      <w:bookmarkEnd w:id="24"/>
      <w:bookmarkEnd w:id="25"/>
      <w:bookmarkEnd w:id="26"/>
      <w:bookmarkEnd w:id="27"/>
    </w:p>
    <w:p w14:paraId="31E07181" w14:textId="77777777" w:rsidR="006C1631" w:rsidRDefault="006C1631" w:rsidP="006C1631">
      <w:bookmarkStart w:id="28" w:name="_Toc348105640"/>
      <w:bookmarkStart w:id="29" w:name="_Toc300909559"/>
      <w:bookmarkStart w:id="30" w:name="_Toc265246234"/>
      <w:r w:rsidRPr="00695234">
        <w:t>The ACMA publishes submissions on our website</w:t>
      </w:r>
      <w:r w:rsidRPr="00695234">
        <w:rPr>
          <w:rFonts w:cs="Arial"/>
        </w:rPr>
        <w:t>, including personal information (such as names and contact details)</w:t>
      </w:r>
      <w:r w:rsidRPr="00695234">
        <w:t>, except for information that you have claimed (and we have accepted) is confidential.</w:t>
      </w:r>
      <w:r>
        <w:t xml:space="preserve"> </w:t>
      </w:r>
    </w:p>
    <w:p w14:paraId="0A6F2EF8" w14:textId="77777777" w:rsidR="006C1631" w:rsidRDefault="006C1631" w:rsidP="006C1631">
      <w:r>
        <w:t>Confidential information will not be published or otherwise released unless required or authorised by law.</w:t>
      </w:r>
    </w:p>
    <w:p w14:paraId="6669900C" w14:textId="77777777" w:rsidR="006C1631" w:rsidRDefault="006C1631" w:rsidP="005B2F0D">
      <w:pPr>
        <w:pStyle w:val="Heading4"/>
      </w:pPr>
      <w:r>
        <w:t>Privacy</w:t>
      </w:r>
    </w:p>
    <w:p w14:paraId="7AC7FFC9" w14:textId="77777777" w:rsidR="006C1631" w:rsidRDefault="00E21056" w:rsidP="005B2F0D">
      <w:pPr>
        <w:pStyle w:val="Paragraph"/>
      </w:pPr>
      <w:r>
        <w:t>View</w:t>
      </w:r>
      <w:r w:rsidR="006C1631">
        <w:t xml:space="preserve"> information about </w:t>
      </w:r>
      <w:r>
        <w:t xml:space="preserve">our policy on the </w:t>
      </w:r>
      <w:hyperlink r:id="rId57" w:history="1">
        <w:r>
          <w:rPr>
            <w:rStyle w:val="Hyperlink"/>
          </w:rPr>
          <w:t>p</w:t>
        </w:r>
        <w:r w:rsidRPr="00E21056">
          <w:rPr>
            <w:rStyle w:val="Hyperlink"/>
          </w:rPr>
          <w:t>ublication of submissions</w:t>
        </w:r>
      </w:hyperlink>
      <w:r>
        <w:t xml:space="preserve">, including </w:t>
      </w:r>
      <w:r w:rsidR="006C1631">
        <w:t>collection of personal information during consultation and how we handle that information</w:t>
      </w:r>
      <w:r>
        <w:t>.</w:t>
      </w:r>
    </w:p>
    <w:bookmarkEnd w:id="28"/>
    <w:bookmarkEnd w:id="29"/>
    <w:bookmarkEnd w:id="30"/>
    <w:p w14:paraId="7AFF5BD3" w14:textId="23FD999C" w:rsidR="00E40494" w:rsidRDefault="006C1631" w:rsidP="00E40494">
      <w:pPr>
        <w:pStyle w:val="Paragraph"/>
      </w:pPr>
      <w:r>
        <w:t xml:space="preserve">Information on the </w:t>
      </w:r>
      <w:r>
        <w:rPr>
          <w:i/>
        </w:rPr>
        <w:t>Privacy Act 1988</w:t>
      </w:r>
      <w:r w:rsidR="006A4CCA">
        <w:rPr>
          <w:i/>
        </w:rPr>
        <w:t xml:space="preserve">, </w:t>
      </w:r>
      <w:r>
        <w:t>how to access or correct personal information, how to make a privacy complaint and how we will deal with the complaint</w:t>
      </w:r>
      <w:r w:rsidR="00BB6335">
        <w:t>,</w:t>
      </w:r>
      <w:r w:rsidR="00CF0BFE">
        <w:t xml:space="preserve"> </w:t>
      </w:r>
      <w:r>
        <w:t xml:space="preserve">is available </w:t>
      </w:r>
      <w:r w:rsidR="00E21056">
        <w:t xml:space="preserve">in our </w:t>
      </w:r>
      <w:hyperlink r:id="rId58" w:history="1">
        <w:r w:rsidR="00E21056" w:rsidRPr="00E21056">
          <w:rPr>
            <w:rStyle w:val="Hyperlink"/>
          </w:rPr>
          <w:t>privacy policy</w:t>
        </w:r>
      </w:hyperlink>
      <w:r>
        <w:t>.</w:t>
      </w:r>
      <w:r w:rsidR="00A4193E">
        <w:t xml:space="preserve"> </w:t>
      </w:r>
    </w:p>
    <w:p w14:paraId="4F372D0F" w14:textId="77777777" w:rsidR="00E40494" w:rsidRPr="00E40494" w:rsidRDefault="00E40494" w:rsidP="00E40494">
      <w:pPr>
        <w:pStyle w:val="Paragraph"/>
      </w:pPr>
    </w:p>
    <w:p w14:paraId="12C866C1" w14:textId="2389E0E3" w:rsidR="00E40494" w:rsidRDefault="00E40494" w:rsidP="00E40494">
      <w:pPr>
        <w:pStyle w:val="Heading1"/>
      </w:pPr>
      <w:bookmarkStart w:id="31" w:name="_Toc348105641"/>
      <w:bookmarkStart w:id="32" w:name="_Toc59624872"/>
      <w:bookmarkStart w:id="33" w:name="_Toc68612233"/>
      <w:r w:rsidRPr="006D46E5">
        <w:lastRenderedPageBreak/>
        <w:t>Appendix A</w:t>
      </w:r>
      <w:bookmarkEnd w:id="31"/>
      <w:r>
        <w:t xml:space="preserve">: </w:t>
      </w:r>
      <w:bookmarkEnd w:id="32"/>
      <w:r>
        <w:t>Technology overview</w:t>
      </w:r>
      <w:bookmarkEnd w:id="33"/>
    </w:p>
    <w:p w14:paraId="2D1AA679" w14:textId="23F4EDA5" w:rsidR="00E40494" w:rsidRDefault="00E40494" w:rsidP="00E40494">
      <w:pPr>
        <w:pStyle w:val="Heading2"/>
      </w:pPr>
      <w:bookmarkStart w:id="34" w:name="_Toc68612234"/>
      <w:r>
        <w:t xml:space="preserve">Radio </w:t>
      </w:r>
      <w:r w:rsidR="00457226">
        <w:t>l</w:t>
      </w:r>
      <w:r>
        <w:t xml:space="preserve">ocal </w:t>
      </w:r>
      <w:r w:rsidR="00457226">
        <w:t>a</w:t>
      </w:r>
      <w:r>
        <w:t xml:space="preserve">rea </w:t>
      </w:r>
      <w:r w:rsidR="00457226">
        <w:t>n</w:t>
      </w:r>
      <w:r>
        <w:t>etworks (RLANs)</w:t>
      </w:r>
      <w:bookmarkEnd w:id="34"/>
      <w:r>
        <w:t xml:space="preserve"> </w:t>
      </w:r>
    </w:p>
    <w:p w14:paraId="727137CF" w14:textId="22902D3B" w:rsidR="00E40494" w:rsidRDefault="00E40494" w:rsidP="00E40494">
      <w:pPr>
        <w:pStyle w:val="Paragraph"/>
      </w:pPr>
      <w:r>
        <w:t>An RLAN is a network of computers, or related devices that are connected wirelessly, and are confined to a local geographic area such as a single house, building, school, or place of business.</w:t>
      </w:r>
    </w:p>
    <w:p w14:paraId="7C7707D1" w14:textId="1C25BB36" w:rsidR="00E40494" w:rsidRDefault="00E40494" w:rsidP="00E40494">
      <w:pPr>
        <w:pStyle w:val="Paragraph"/>
      </w:pPr>
      <w:r>
        <w:t xml:space="preserve">By far the most common protocols used for wireless connections in RLANs are the IEEE 802.11 family of standards – more commonly known as </w:t>
      </w:r>
      <w:r w:rsidR="00457226">
        <w:t>w</w:t>
      </w:r>
      <w:r>
        <w:t>i-</w:t>
      </w:r>
      <w:r w:rsidR="00457226">
        <w:t>f</w:t>
      </w:r>
      <w:r>
        <w:t xml:space="preserve">i. Advances in </w:t>
      </w:r>
      <w:r w:rsidR="00457226">
        <w:t>w</w:t>
      </w:r>
      <w:r>
        <w:t>i-</w:t>
      </w:r>
      <w:r w:rsidR="00457226">
        <w:t>f</w:t>
      </w:r>
      <w:r>
        <w:t>i standards are often drivers for changes in spectrum arrangements for RLAN devices in general</w:t>
      </w:r>
      <w:r w:rsidR="00142E02">
        <w:t>. Wi-</w:t>
      </w:r>
      <w:r w:rsidR="00457226">
        <w:t>f</w:t>
      </w:r>
      <w:r w:rsidR="00142E02">
        <w:t>i</w:t>
      </w:r>
      <w:r>
        <w:t xml:space="preserve"> is expected to again be the main driver for any changes</w:t>
      </w:r>
      <w:r w:rsidR="00142E02">
        <w:t xml:space="preserve"> in the 6 GHz band</w:t>
      </w:r>
      <w:r>
        <w:t>, and is the technology that most stakeholders will have an interest in.</w:t>
      </w:r>
    </w:p>
    <w:p w14:paraId="7D73D46F" w14:textId="2FA9B65C" w:rsidR="00E40494" w:rsidRDefault="00E40494" w:rsidP="003154CD">
      <w:pPr>
        <w:pStyle w:val="Paragraph"/>
      </w:pPr>
      <w:r w:rsidRPr="00221598">
        <w:t>Wi-</w:t>
      </w:r>
      <w:r w:rsidR="00457226">
        <w:t>f</w:t>
      </w:r>
      <w:r w:rsidRPr="00221598">
        <w:t>i</w:t>
      </w:r>
      <w:r>
        <w:t>,</w:t>
      </w:r>
      <w:r w:rsidRPr="00221598">
        <w:t xml:space="preserve"> in its various evolving forms</w:t>
      </w:r>
      <w:r>
        <w:t>,</w:t>
      </w:r>
      <w:r w:rsidRPr="00221598">
        <w:t xml:space="preserve"> has been around for many years. </w:t>
      </w:r>
      <w:r>
        <w:t xml:space="preserve">The </w:t>
      </w:r>
      <w:r w:rsidRPr="00221598">
        <w:t xml:space="preserve">IEEE 802.11n </w:t>
      </w:r>
      <w:r>
        <w:t xml:space="preserve">standard </w:t>
      </w:r>
      <w:r w:rsidRPr="00221598">
        <w:t>(</w:t>
      </w:r>
      <w:r>
        <w:t xml:space="preserve">now also commonly </w:t>
      </w:r>
      <w:r w:rsidRPr="00221598">
        <w:t xml:space="preserve">called Wi-Fi 4) </w:t>
      </w:r>
      <w:r>
        <w:t xml:space="preserve">was published in 2009 </w:t>
      </w:r>
      <w:r w:rsidRPr="00221598">
        <w:t>and is ubiquitous in many households. Wi-Fi 5 and the recently specified Wi-Fi 6 are most relevant to the 5 and 6</w:t>
      </w:r>
      <w:r>
        <w:t> </w:t>
      </w:r>
      <w:r w:rsidRPr="00221598">
        <w:t>GHz bands.</w:t>
      </w:r>
      <w:r w:rsidRPr="00736D75">
        <w:t xml:space="preserve"> </w:t>
      </w:r>
      <w:r w:rsidRPr="00BB1677">
        <w:t xml:space="preserve">Key features of these technologies are </w:t>
      </w:r>
      <w:r>
        <w:t>t</w:t>
      </w:r>
      <w:r w:rsidRPr="00BB1677">
        <w:t>ransmit power control (TPC) and dynamic frequency selection (DFS)</w:t>
      </w:r>
      <w:r>
        <w:t xml:space="preserve">. </w:t>
      </w:r>
      <w:r w:rsidRPr="00BB1677">
        <w:t>AFC</w:t>
      </w:r>
      <w:r w:rsidR="005B55FC">
        <w:t xml:space="preserve"> systems</w:t>
      </w:r>
      <w:r>
        <w:t xml:space="preserve"> </w:t>
      </w:r>
      <w:r w:rsidR="005B55FC">
        <w:t>are</w:t>
      </w:r>
      <w:r>
        <w:t xml:space="preserve"> also being introduced as a separate third-party access control measure in some jurisdictions. Wi-</w:t>
      </w:r>
      <w:r w:rsidR="00457226">
        <w:t>f</w:t>
      </w:r>
      <w:r>
        <w:t xml:space="preserve">i 5 and 6 also use a specific implementation of advanced antenna systems (AAS) to increase capacity </w:t>
      </w:r>
      <w:r w:rsidR="005B55FC">
        <w:t>and/</w:t>
      </w:r>
      <w:r>
        <w:t>or coverage – see below for a description of all of these features.</w:t>
      </w:r>
    </w:p>
    <w:p w14:paraId="5FA99BBC" w14:textId="77777777" w:rsidR="00E40494" w:rsidRDefault="00E40494" w:rsidP="00457226">
      <w:pPr>
        <w:pStyle w:val="Heading3"/>
      </w:pPr>
      <w:bookmarkStart w:id="35" w:name="_Toc68167245"/>
      <w:bookmarkStart w:id="36" w:name="_Toc68612235"/>
      <w:r>
        <w:t>Wi-Fi 5</w:t>
      </w:r>
      <w:bookmarkEnd w:id="35"/>
      <w:bookmarkEnd w:id="36"/>
    </w:p>
    <w:p w14:paraId="08C86D6B" w14:textId="05B0B06C" w:rsidR="00E40494" w:rsidRDefault="00E40494" w:rsidP="00E40494">
      <w:pPr>
        <w:pStyle w:val="Paragraph"/>
      </w:pPr>
      <w:r>
        <w:t>IEEE 802.11ac– known as Wi-Fi 5 – was introduced in 2014. By specifying 80 MHz channels in the 5 GHz band and increasing modulation to 2</w:t>
      </w:r>
      <w:r w:rsidRPr="002D7BF6">
        <w:t>56-QAM</w:t>
      </w:r>
      <w:r>
        <w:t xml:space="preserve">, the data throughput was significantly increased relative to its predecessors. Another key improvement over previous technologies was </w:t>
      </w:r>
      <w:r w:rsidR="00D86F93">
        <w:t xml:space="preserve">the </w:t>
      </w:r>
      <w:r>
        <w:t>implementation of multi-user-multiple input/multiple output (MU-MIMO) antenna configurations for downlink</w:t>
      </w:r>
      <w:r w:rsidR="00457871">
        <w:t>s</w:t>
      </w:r>
      <w:r>
        <w:t xml:space="preserve"> (access point to user terminal), which also added significant capacity increases over existing single</w:t>
      </w:r>
      <w:r w:rsidR="003832A2">
        <w:noBreakHyphen/>
      </w:r>
      <w:r>
        <w:t>user MIMO (SU-MIMO) configurations.</w:t>
      </w:r>
    </w:p>
    <w:p w14:paraId="0C1A477D" w14:textId="1CC5AC5C" w:rsidR="00E40494" w:rsidRDefault="00E40494" w:rsidP="00E40494">
      <w:pPr>
        <w:pStyle w:val="Heading3"/>
      </w:pPr>
      <w:bookmarkStart w:id="37" w:name="_Toc68167246"/>
      <w:bookmarkStart w:id="38" w:name="_Toc68612236"/>
      <w:r>
        <w:t>Wi-</w:t>
      </w:r>
      <w:r w:rsidR="00457871">
        <w:t>f</w:t>
      </w:r>
      <w:r>
        <w:t>i 6 and 6e</w:t>
      </w:r>
      <w:bookmarkEnd w:id="37"/>
      <w:bookmarkEnd w:id="38"/>
    </w:p>
    <w:p w14:paraId="673540ED" w14:textId="68C9DF23" w:rsidR="00E40494" w:rsidRDefault="00E40494" w:rsidP="00E40494">
      <w:pPr>
        <w:pStyle w:val="Paragraph"/>
      </w:pPr>
      <w:r>
        <w:t xml:space="preserve">The IEEE 802.11ax standard – known as Wi-Fi 6 – is the latest </w:t>
      </w:r>
      <w:r w:rsidR="00457871">
        <w:t>w</w:t>
      </w:r>
      <w:r>
        <w:t>i-</w:t>
      </w:r>
      <w:r w:rsidR="00457871">
        <w:t>f</w:t>
      </w:r>
      <w:r>
        <w:t>i standard. Wi-</w:t>
      </w:r>
      <w:r w:rsidR="00457871">
        <w:t>f</w:t>
      </w:r>
      <w:r>
        <w:t xml:space="preserve">i devices are expected to be the main users of any existing unlicensed 6 GHz </w:t>
      </w:r>
      <w:r w:rsidR="00457871">
        <w:t>b</w:t>
      </w:r>
      <w:r>
        <w:t xml:space="preserve">and arrangements worldwide. 802.11ax devices that can operate in the 6 GHz band are being marketed as </w:t>
      </w:r>
      <w:r w:rsidR="003832A2">
        <w:t>‘</w:t>
      </w:r>
      <w:r>
        <w:t>Wi-Fi 6e</w:t>
      </w:r>
      <w:r w:rsidR="003832A2">
        <w:t>’</w:t>
      </w:r>
      <w:r>
        <w:t xml:space="preserve"> and are expected to provide further improvements in wireless network speeds and performance due to not having to share the band with older, less efficient devices.</w:t>
      </w:r>
    </w:p>
    <w:p w14:paraId="0108BEFC" w14:textId="3AB8C958" w:rsidR="00E40494" w:rsidRDefault="00E40494" w:rsidP="00E40494">
      <w:pPr>
        <w:pStyle w:val="Paragraph"/>
      </w:pPr>
      <w:r>
        <w:t xml:space="preserve">Other than specifying </w:t>
      </w:r>
      <w:r w:rsidR="003832A2">
        <w:t xml:space="preserve">the </w:t>
      </w:r>
      <w:r>
        <w:t xml:space="preserve">6 GHz </w:t>
      </w:r>
      <w:r w:rsidR="003832A2">
        <w:t xml:space="preserve">band </w:t>
      </w:r>
      <w:r>
        <w:t>as a new operating frequency</w:t>
      </w:r>
      <w:r w:rsidR="003832A2">
        <w:t xml:space="preserve"> band</w:t>
      </w:r>
      <w:r>
        <w:t>, the new standard also includes numerous other features to improve network performance. The major changes are support for larger bandwidths (up to 320 MHz), more clients per access point, higher order modulation scheme, and spatial frequency reuse – a method to help differentiate wanted signals from those produced in neighbouring networks.</w:t>
      </w:r>
      <w:r w:rsidRPr="006636E5">
        <w:t xml:space="preserve"> </w:t>
      </w:r>
    </w:p>
    <w:p w14:paraId="479378D4" w14:textId="40FAEEE0" w:rsidR="00E40494" w:rsidRDefault="00E40494" w:rsidP="00E40494">
      <w:pPr>
        <w:pStyle w:val="Paragraph"/>
      </w:pPr>
      <w:r>
        <w:t xml:space="preserve">Support for many more </w:t>
      </w:r>
      <w:r w:rsidR="00457871">
        <w:t>interconnect</w:t>
      </w:r>
      <w:r w:rsidR="004E212C">
        <w:t>ions</w:t>
      </w:r>
      <w:r w:rsidR="00457871">
        <w:t xml:space="preserve"> </w:t>
      </w:r>
      <w:r>
        <w:t xml:space="preserve">and device types will make it another option for </w:t>
      </w:r>
      <w:r w:rsidR="00457871">
        <w:t>I</w:t>
      </w:r>
      <w:r>
        <w:t xml:space="preserve">nternet of </w:t>
      </w:r>
      <w:r w:rsidR="00457871">
        <w:t>T</w:t>
      </w:r>
      <w:r>
        <w:t xml:space="preserve">hings (IoT) interlinking. Implementation of an orthogonal frequency division multiple access scheme (OFDMA) – as opposed to the orthogonal frequency division multiplex (OFDM) scheme used by previous generations – will make it far more effective in dense environments. The improved spatial reuse, enabled by </w:t>
      </w:r>
      <w:r>
        <w:lastRenderedPageBreak/>
        <w:t>significant enhancements in MU-MIMO arrangements (expanding it to uplinks), will contribute heavily to the abovementioned capacity and efficiency improvements.</w:t>
      </w:r>
    </w:p>
    <w:p w14:paraId="6F953B9A" w14:textId="77777777" w:rsidR="00E40494" w:rsidRDefault="00E40494" w:rsidP="00E40494">
      <w:pPr>
        <w:pStyle w:val="Heading2"/>
      </w:pPr>
      <w:bookmarkStart w:id="39" w:name="_IMT_2020_and"/>
      <w:bookmarkStart w:id="40" w:name="_Toc68612237"/>
      <w:bookmarkEnd w:id="39"/>
      <w:r>
        <w:t>IMT 2020 and Fixed Wireless Access (FWA)</w:t>
      </w:r>
      <w:bookmarkEnd w:id="40"/>
    </w:p>
    <w:p w14:paraId="4B1C6D0B" w14:textId="3ABA3230" w:rsidR="00E40494" w:rsidRDefault="00E40494" w:rsidP="00E40494">
      <w:pPr>
        <w:pStyle w:val="Paragraph"/>
      </w:pPr>
      <w:r>
        <w:t>IMT is a regulatory construct used to describe a group of cellular technologies for the purposes of identification in the ITU Radio Regulations. Those technologies broadly comprise (although are not limited to) 3GPP-standardised technologies such as 3G, 4G and 5G network technologies. IMT 2020 specifically aligns with 5G new radio (NR). While being mobile</w:t>
      </w:r>
      <w:r>
        <w:rPr>
          <w:i/>
          <w:iCs/>
        </w:rPr>
        <w:t xml:space="preserve"> </w:t>
      </w:r>
      <w:r>
        <w:t xml:space="preserve">is obviously a key characteristic of these technologies, and a </w:t>
      </w:r>
      <w:r w:rsidRPr="007A387A">
        <w:rPr>
          <w:i/>
          <w:iCs/>
        </w:rPr>
        <w:t>mobile</w:t>
      </w:r>
      <w:r>
        <w:t xml:space="preserve"> allocation in the </w:t>
      </w:r>
      <w:r w:rsidR="00EA0D1B">
        <w:t>ITU R</w:t>
      </w:r>
      <w:r>
        <w:t xml:space="preserve">adio </w:t>
      </w:r>
      <w:r w:rsidR="00EA0D1B">
        <w:t>R</w:t>
      </w:r>
      <w:r>
        <w:t>egulations is a prerequisite for identification for IMT in a specific frequency band, the same technologies, or elements of them, may also be applied to FWA networks.</w:t>
      </w:r>
    </w:p>
    <w:p w14:paraId="1C9020A1" w14:textId="633449C8" w:rsidR="00E40494" w:rsidRDefault="00E40494" w:rsidP="00E40494">
      <w:pPr>
        <w:pStyle w:val="Paragraph"/>
      </w:pPr>
      <w:r w:rsidRPr="00DB564A">
        <w:t>In the 6 GHz band, 3GPP is developing specifications for NR, including ‘unlicen</w:t>
      </w:r>
      <w:r w:rsidR="00B80D63">
        <w:t>s</w:t>
      </w:r>
      <w:r w:rsidRPr="00DB564A">
        <w:t xml:space="preserve">ed’ NR (NR-U), for </w:t>
      </w:r>
      <w:r w:rsidR="00B80D63">
        <w:t>2</w:t>
      </w:r>
      <w:r w:rsidR="00B80D63" w:rsidRPr="00DB564A">
        <w:t xml:space="preserve"> </w:t>
      </w:r>
      <w:r w:rsidRPr="00DB564A">
        <w:t>frequency bands – band n69 (5925–6425 MHz) and n97 (5925–7125 MHz). NR-U could conceivably operate under the same regulatory provisions as class-licen</w:t>
      </w:r>
      <w:r w:rsidR="00747351">
        <w:t>s</w:t>
      </w:r>
      <w:r w:rsidRPr="00DB564A">
        <w:t xml:space="preserve">ed </w:t>
      </w:r>
      <w:r w:rsidR="00254674" w:rsidRPr="00DB564A">
        <w:t>RLANs</w:t>
      </w:r>
      <w:r w:rsidR="00254674">
        <w:t xml:space="preserve"> and</w:t>
      </w:r>
      <w:r w:rsidRPr="00DB564A">
        <w:t xml:space="preserve"> </w:t>
      </w:r>
      <w:r w:rsidR="00B80D63">
        <w:t>is</w:t>
      </w:r>
      <w:r w:rsidR="00B80D63" w:rsidRPr="00DB564A">
        <w:t xml:space="preserve"> </w:t>
      </w:r>
      <w:r w:rsidRPr="00DB564A">
        <w:t>considered a candidate technology for the 6 GHz band.</w:t>
      </w:r>
      <w:bookmarkStart w:id="41" w:name="_Automatic_Frequency_Coordination"/>
      <w:bookmarkEnd w:id="41"/>
    </w:p>
    <w:p w14:paraId="60408DF6" w14:textId="77777777" w:rsidR="00E40494" w:rsidRPr="00A51DB4" w:rsidRDefault="00E40494" w:rsidP="00E40494">
      <w:pPr>
        <w:pStyle w:val="Heading2"/>
      </w:pPr>
      <w:bookmarkStart w:id="42" w:name="_Toc68612238"/>
      <w:bookmarkStart w:id="43" w:name="_Hlk68082509"/>
      <w:r w:rsidRPr="00A51DB4">
        <w:t>Technology features</w:t>
      </w:r>
      <w:bookmarkEnd w:id="42"/>
    </w:p>
    <w:p w14:paraId="27930F87" w14:textId="77777777" w:rsidR="00E40494" w:rsidRPr="00180D94" w:rsidRDefault="00E40494" w:rsidP="00E40494">
      <w:pPr>
        <w:pStyle w:val="Heading3"/>
      </w:pPr>
      <w:bookmarkStart w:id="44" w:name="_Toc68167249"/>
      <w:bookmarkStart w:id="45" w:name="_Toc68612239"/>
      <w:bookmarkEnd w:id="43"/>
      <w:r w:rsidRPr="00180D94">
        <w:t>Transmit power control (TPC) and dynamic frequency selection (DFS)</w:t>
      </w:r>
      <w:bookmarkEnd w:id="44"/>
      <w:bookmarkEnd w:id="45"/>
    </w:p>
    <w:p w14:paraId="4FC77CDE" w14:textId="77777777" w:rsidR="00E40494" w:rsidRPr="00180D94" w:rsidRDefault="00E40494" w:rsidP="00E40494">
      <w:pPr>
        <w:pStyle w:val="Paragraph"/>
      </w:pPr>
      <w:r>
        <w:t>TPC and DFS</w:t>
      </w:r>
      <w:r w:rsidRPr="00180D94">
        <w:t xml:space="preserve"> are mechanisms used by some radiocommunications devices to assist with reducing interference to other devices, to extend battery life or make more efficient use of spectrum within a system of multiple devices.</w:t>
      </w:r>
    </w:p>
    <w:p w14:paraId="330E2DC9" w14:textId="77777777" w:rsidR="00E40494" w:rsidRPr="00180D94" w:rsidRDefault="00E40494" w:rsidP="00E40494">
      <w:pPr>
        <w:pStyle w:val="Paragraph"/>
      </w:pPr>
      <w:r w:rsidRPr="00180D94">
        <w:t>A device using TPC will use information about the signal being received and lower its transmit power to the minimum level needed to achieve a certain signal quality at the receiver. DFS, sometimes known as listen-before-talk, will monitor the frequencies it is able to operate on and select the channel(s) to use based on current channel occupancy.</w:t>
      </w:r>
    </w:p>
    <w:p w14:paraId="41FF4964" w14:textId="77777777" w:rsidR="00E40494" w:rsidRPr="009E28B0" w:rsidRDefault="00E40494" w:rsidP="00E40494">
      <w:pPr>
        <w:pStyle w:val="Paragraph"/>
      </w:pPr>
      <w:r w:rsidRPr="00180D94">
        <w:t>TPC and DFS are commonly required by existing regulations for RLAN devices in the 5 GHz band</w:t>
      </w:r>
      <w:r>
        <w:t xml:space="preserve"> </w:t>
      </w:r>
      <w:r w:rsidRPr="0046291C">
        <w:t>and are expected to feature in 6</w:t>
      </w:r>
      <w:r>
        <w:t> </w:t>
      </w:r>
      <w:r w:rsidRPr="0046291C">
        <w:t>GHz deployments.</w:t>
      </w:r>
    </w:p>
    <w:p w14:paraId="79AF6534" w14:textId="77777777" w:rsidR="00E40494" w:rsidRDefault="00E40494" w:rsidP="00E40494">
      <w:pPr>
        <w:pStyle w:val="Heading3"/>
      </w:pPr>
      <w:bookmarkStart w:id="46" w:name="_Toc68167250"/>
      <w:bookmarkStart w:id="47" w:name="_Toc68612240"/>
      <w:r>
        <w:t>Automatic Frequency Coordination (AFC)</w:t>
      </w:r>
      <w:bookmarkEnd w:id="46"/>
      <w:bookmarkEnd w:id="47"/>
    </w:p>
    <w:p w14:paraId="58CA80F6" w14:textId="55C14DED" w:rsidR="00E40494" w:rsidRDefault="00E40494" w:rsidP="00E40494">
      <w:pPr>
        <w:pStyle w:val="Paragraph"/>
      </w:pPr>
      <w:r>
        <w:t xml:space="preserve">In </w:t>
      </w:r>
      <w:r w:rsidRPr="0046291C">
        <w:t>the US, several frequency bands that are available for use by unlicen</w:t>
      </w:r>
      <w:r w:rsidR="00B80D63">
        <w:t>s</w:t>
      </w:r>
      <w:r w:rsidRPr="0046291C">
        <w:t xml:space="preserve">ed devices use an AFC system. Under these systems, unlicensed devices seeking to access the spectrum must first contact an accredited AFC </w:t>
      </w:r>
      <w:r>
        <w:t>service</w:t>
      </w:r>
      <w:r w:rsidRPr="0046291C">
        <w:t xml:space="preserve"> to de</w:t>
      </w:r>
      <w:r>
        <w:t>termine its allowable operating parameters.</w:t>
      </w:r>
    </w:p>
    <w:p w14:paraId="6BC24DFB" w14:textId="3982347D" w:rsidR="00E40494" w:rsidRDefault="00E40494" w:rsidP="00131889">
      <w:pPr>
        <w:pStyle w:val="Paragraphbeforelist"/>
      </w:pPr>
      <w:r>
        <w:t xml:space="preserve">The AFC is an online service that accesses the </w:t>
      </w:r>
      <w:r w:rsidR="00747351">
        <w:t>Federal Communication Commission</w:t>
      </w:r>
      <w:r w:rsidR="00816672">
        <w:t>’s</w:t>
      </w:r>
      <w:r w:rsidR="00747351">
        <w:t xml:space="preserve"> </w:t>
      </w:r>
      <w:r w:rsidR="00816672">
        <w:t>(</w:t>
      </w:r>
      <w:r>
        <w:t>FCC’s</w:t>
      </w:r>
      <w:r w:rsidR="00816672">
        <w:t>)</w:t>
      </w:r>
      <w:r>
        <w:t xml:space="preserve"> Universal Licensing System (ULS) data and can calculate the maximum allowable power for an unlicensed device based on:</w:t>
      </w:r>
    </w:p>
    <w:p w14:paraId="1836969D" w14:textId="73D77042" w:rsidR="00E40494" w:rsidRDefault="00B80D63" w:rsidP="00131889">
      <w:pPr>
        <w:pStyle w:val="Bulletlevel1"/>
      </w:pPr>
      <w:r>
        <w:t>t</w:t>
      </w:r>
      <w:r w:rsidR="00E40494">
        <w:t>he device’s geographic location</w:t>
      </w:r>
    </w:p>
    <w:p w14:paraId="013CC567" w14:textId="6B1ECE5A" w:rsidR="00E40494" w:rsidRDefault="00B80D63" w:rsidP="00131889">
      <w:pPr>
        <w:pStyle w:val="Bulletlevel1"/>
      </w:pPr>
      <w:r>
        <w:t>i</w:t>
      </w:r>
      <w:r w:rsidR="00E40494">
        <w:t>nformation in the ULS database about nearby licen</w:t>
      </w:r>
      <w:r>
        <w:t>s</w:t>
      </w:r>
      <w:r w:rsidR="00E40494">
        <w:t>ed services</w:t>
      </w:r>
    </w:p>
    <w:p w14:paraId="136DB505" w14:textId="17DF52D3" w:rsidR="00E40494" w:rsidRDefault="00B80D63" w:rsidP="00131889">
      <w:pPr>
        <w:pStyle w:val="Bulletlevel1last"/>
      </w:pPr>
      <w:r>
        <w:t>a</w:t>
      </w:r>
      <w:r w:rsidR="00E40494">
        <w:t xml:space="preserve"> predefined calculation method and set of parameters for protecting licen</w:t>
      </w:r>
      <w:r w:rsidR="00816672">
        <w:t>s</w:t>
      </w:r>
      <w:r w:rsidR="00E40494">
        <w:t>ed services.</w:t>
      </w:r>
    </w:p>
    <w:p w14:paraId="72C647EC" w14:textId="08A7E6CC" w:rsidR="00E40494" w:rsidRDefault="00E40494" w:rsidP="00E40494">
      <w:pPr>
        <w:pStyle w:val="Paragraph"/>
      </w:pPr>
      <w:r>
        <w:t>A device seeking access to certain parts of the spectrum on an unlicensed basis must report its location to the AFC, which then calculates which channels that device is able to use, and the maximum allowed power on each of those channels. Those results are sent back to the device, which must then operate within those restrictions. As well as protecting existing licensed devices, an AFC system allows interference to be more easily traced when it occurs.</w:t>
      </w:r>
    </w:p>
    <w:p w14:paraId="3BC21C89" w14:textId="0955C6A8" w:rsidR="00E40494" w:rsidRDefault="00E40494" w:rsidP="00E40494">
      <w:r>
        <w:lastRenderedPageBreak/>
        <w:t>The FCC ha</w:t>
      </w:r>
      <w:r w:rsidR="00816672">
        <w:t>s</w:t>
      </w:r>
      <w:r>
        <w:t xml:space="preserve"> mandated the use of AFC systems for several frequency bands, including the 6 GHz band and for whitespace between TV broadcast channels.</w:t>
      </w:r>
    </w:p>
    <w:p w14:paraId="20CD964D" w14:textId="2CFAB8E3" w:rsidR="00E40494" w:rsidRDefault="00E40494" w:rsidP="00E40494">
      <w:r>
        <w:t>The Wi-Fi Alliance ha</w:t>
      </w:r>
      <w:r w:rsidR="00816672">
        <w:t>s</w:t>
      </w:r>
      <w:r>
        <w:t xml:space="preserve"> recently released a draft proposed specification for the operation of AFC systems in the 6 GHz band. </w:t>
      </w:r>
    </w:p>
    <w:p w14:paraId="0A0BDC58" w14:textId="77777777" w:rsidR="00E40494" w:rsidRDefault="00E40494" w:rsidP="00A67541">
      <w:pPr>
        <w:pStyle w:val="Heading3"/>
      </w:pPr>
      <w:bookmarkStart w:id="48" w:name="_Toc68167251"/>
      <w:bookmarkStart w:id="49" w:name="_Toc68612241"/>
      <w:r>
        <w:t>Advanced antenna systems (AAS)</w:t>
      </w:r>
      <w:bookmarkEnd w:id="48"/>
      <w:bookmarkEnd w:id="49"/>
    </w:p>
    <w:p w14:paraId="0410E3AE" w14:textId="781E2267" w:rsidR="00E40494" w:rsidRDefault="00E40494" w:rsidP="00E40494">
      <w:r>
        <w:t>All the potential applications that may benefit from new arrangements in the 5</w:t>
      </w:r>
      <w:r w:rsidR="00816672">
        <w:t> GHz</w:t>
      </w:r>
      <w:r>
        <w:t xml:space="preserve"> and 6 GHz bands, including more recent </w:t>
      </w:r>
      <w:r w:rsidR="00A67541">
        <w:t>w</w:t>
      </w:r>
      <w:r>
        <w:t>i-</w:t>
      </w:r>
      <w:r w:rsidR="00A67541">
        <w:t>f</w:t>
      </w:r>
      <w:r>
        <w:t>i technologies and localised NR-U networks, employ AAS in some form. AAS are also commonly referred to as ‘active’ antenna systems, a term historically used to describe antenna units that contain active electronic components (usually transistors) at the feed point. In the context of IMT</w:t>
      </w:r>
      <w:r w:rsidR="00816672">
        <w:noBreakHyphen/>
      </w:r>
      <w:r>
        <w:t>2020 and more recent RLAN technologies, the term has been used to describe systems of multiple spatially separated antennas connected to a single device.</w:t>
      </w:r>
    </w:p>
    <w:p w14:paraId="16FB372C" w14:textId="1332960C" w:rsidR="00E40494" w:rsidRDefault="00E40494" w:rsidP="00E40494">
      <w:r>
        <w:t xml:space="preserve">Individual AAS antennas can either be fed with different data streams to increase capacity or a single data stream with electronically-controlled phase offsets to create directional beams in the wanted direction – methods known as </w:t>
      </w:r>
      <w:r w:rsidR="0073569B">
        <w:t>multiple-input multiple-output (</w:t>
      </w:r>
      <w:r>
        <w:t>MIMO</w:t>
      </w:r>
      <w:r w:rsidR="0073569B">
        <w:t>)</w:t>
      </w:r>
      <w:r>
        <w:t xml:space="preserve"> and beamforming</w:t>
      </w:r>
      <w:r w:rsidR="00816672">
        <w:t>,</w:t>
      </w:r>
      <w:r>
        <w:t xml:space="preserve"> respectively.</w:t>
      </w:r>
    </w:p>
    <w:p w14:paraId="3E8045DC" w14:textId="77777777" w:rsidR="00E40494" w:rsidRDefault="00E40494" w:rsidP="00E40494">
      <w:r>
        <w:t xml:space="preserve">MIMO works by exploiting path diversity in cluttered environments. In a sufficiently dense multipath radiofrequency environment, small spatial separations of transmit and/or receive antennas (depending on the type of MIMO configuration) can result in significant diversity between the physical environmental channels linking a transmitter and receiver. Applying unique coding to the individual data streams carried over these different physical channels enables multiple parallel streams to be transmitted, which increases overall data throughput. </w:t>
      </w:r>
    </w:p>
    <w:p w14:paraId="5A04EF93" w14:textId="3FB5D68E" w:rsidR="00E40494" w:rsidRDefault="00E40494" w:rsidP="00E40494">
      <w:r>
        <w:t>Beamforming has been around for many years. Dynamic steering of antenna beams through phased array antenna systems has long been employed by a range of military (among other) applications. However, the technology to implement it in small</w:t>
      </w:r>
      <w:r w:rsidR="00763731">
        <w:t xml:space="preserve"> consumer </w:t>
      </w:r>
      <w:r>
        <w:t xml:space="preserve">applications has only recently become available. It has been particularly critical in the development </w:t>
      </w:r>
      <w:r w:rsidRPr="002D7BF6">
        <w:t>of millimetre wave (mmWave) m</w:t>
      </w:r>
      <w:r>
        <w:t>obile technologies, where the additional gain afforded by mutual coupling of dynamically formed beams helps, in part, to overcome the very high propagation losses at those frequencies. This has helped high-bandwidth spectrum that was once unusable for mobile due to poor coverage to be used, albeit limited to localised applications.</w:t>
      </w:r>
    </w:p>
    <w:p w14:paraId="0A67AE67" w14:textId="49C99D93" w:rsidR="00E40494" w:rsidRDefault="00E40494" w:rsidP="00E40494">
      <w:r>
        <w:t xml:space="preserve">The minimum antenna separation distance in an AAS is </w:t>
      </w:r>
      <w:r w:rsidR="00FD273B">
        <w:t>wavelength-</w:t>
      </w:r>
      <w:r>
        <w:t>dependant, so larger, more complex AAS are more likely at higher frequencies for a given equipment size.</w:t>
      </w:r>
    </w:p>
    <w:p w14:paraId="469A4A48" w14:textId="2DDCD337" w:rsidR="00E40494" w:rsidRDefault="00E40494" w:rsidP="00E40494">
      <w:r>
        <w:t>Given the higher propagation losses at higher frequencies, it is more likely that AAS will be used for beamforming at higher frequencies (</w:t>
      </w:r>
      <w:r w:rsidR="00A67541">
        <w:t>for example,</w:t>
      </w:r>
      <w:r>
        <w:t xml:space="preserve"> mmWave) to compensate for coverage limitations, noting capacity is generally abundant given the very large bandwidths available. Conversely, it is more likely that AAS will be used for MIMO at lower frequencies, such as 3.6 GHz, given the more favourable coverage but lower available bandwidths. </w:t>
      </w:r>
    </w:p>
    <w:p w14:paraId="28209415" w14:textId="08182A9B" w:rsidR="00E40494" w:rsidRDefault="00E40494" w:rsidP="00E40494">
      <w:r>
        <w:t xml:space="preserve">Ultimately, use of these features are network optimisation decisions for operators. In IMT deployments, for example, there are likely to be various combinations of MIMO and beamforming delivered by AAS at different operating frequencies. At 6 GHz, it is unclear what an optimal MIMO/beamforming combination might look like. Anecdotally, implementation of beamforming is being </w:t>
      </w:r>
      <w:r w:rsidR="000B587F">
        <w:t xml:space="preserve">looked at </w:t>
      </w:r>
      <w:r>
        <w:t>in jurisdictions considering part of the band for wide-area IMT, but how these networks are practically implemented is unlikely to be clear for some time.</w:t>
      </w:r>
    </w:p>
    <w:p w14:paraId="441412B6" w14:textId="22273448" w:rsidR="00F142F0" w:rsidRDefault="00F142F0" w:rsidP="00F142F0">
      <w:pPr>
        <w:pStyle w:val="Heading1"/>
      </w:pPr>
      <w:bookmarkStart w:id="50" w:name="_Toc68612242"/>
      <w:r w:rsidRPr="006D46E5">
        <w:lastRenderedPageBreak/>
        <w:t xml:space="preserve">Appendix </w:t>
      </w:r>
      <w:r>
        <w:t xml:space="preserve">B: International </w:t>
      </w:r>
      <w:r w:rsidR="000B587F">
        <w:t>a</w:t>
      </w:r>
      <w:r>
        <w:t>rrangements</w:t>
      </w:r>
      <w:bookmarkEnd w:id="50"/>
    </w:p>
    <w:p w14:paraId="511E9C48" w14:textId="1B16656E" w:rsidR="00F142F0" w:rsidRDefault="00F142F0" w:rsidP="00F142F0">
      <w:pPr>
        <w:pStyle w:val="Paragraph"/>
      </w:pPr>
      <w:r>
        <w:t>Internationally, the types of services in use in the 5 GHz and 6 GHz bands are generally similar to those in use in Australia. There are examples of regulation</w:t>
      </w:r>
      <w:r w:rsidR="000B587F">
        <w:t xml:space="preserve"> – in the US and UK – </w:t>
      </w:r>
      <w:r>
        <w:t>that have enabled successful sharing between RLAN and some of the other services in the 6 GHz band</w:t>
      </w:r>
      <w:r w:rsidR="000B587F">
        <w:t>, which</w:t>
      </w:r>
      <w:r>
        <w:t xml:space="preserve"> would need to be considered in Australia if new spectrum were to be made available for RLAN use. Arrangements in the UK are based on a series of studies done by </w:t>
      </w:r>
      <w:r w:rsidR="002D7BF6">
        <w:t>European Conference of Postal and Telecommunications Administrations</w:t>
      </w:r>
      <w:r w:rsidR="002D7BF6" w:rsidRPr="002D7BF6">
        <w:t xml:space="preserve"> </w:t>
      </w:r>
      <w:r w:rsidR="002D7BF6">
        <w:t>(</w:t>
      </w:r>
      <w:r w:rsidRPr="002D7BF6">
        <w:t>CEPT</w:t>
      </w:r>
      <w:r w:rsidR="002D7BF6">
        <w:t>)</w:t>
      </w:r>
      <w:r>
        <w:t>, while the US</w:t>
      </w:r>
      <w:r w:rsidR="000B587F">
        <w:t xml:space="preserve">, </w:t>
      </w:r>
      <w:r w:rsidR="00507232">
        <w:t>which was</w:t>
      </w:r>
      <w:r>
        <w:t xml:space="preserve"> the first to open the 6 GHz band</w:t>
      </w:r>
      <w:r w:rsidR="000B587F">
        <w:t xml:space="preserve">, </w:t>
      </w:r>
      <w:r>
        <w:t xml:space="preserve">based </w:t>
      </w:r>
      <w:r w:rsidR="00507232">
        <w:t>its</w:t>
      </w:r>
      <w:r>
        <w:t xml:space="preserve"> regulation on studies undertaken by the FCC in consultation with industry stakeholders.</w:t>
      </w:r>
    </w:p>
    <w:p w14:paraId="1E5E5551" w14:textId="153D830B" w:rsidR="00F142F0" w:rsidRDefault="00F142F0" w:rsidP="00F142F0">
      <w:pPr>
        <w:pStyle w:val="Paragraph"/>
      </w:pPr>
      <w:r>
        <w:t xml:space="preserve">WRC-19 included an agenda item (AI 1.16) </w:t>
      </w:r>
      <w:r w:rsidR="000B587F">
        <w:t xml:space="preserve">that </w:t>
      </w:r>
      <w:r>
        <w:t xml:space="preserve">looked at making changes to RLAN use in the 5 GHz </w:t>
      </w:r>
      <w:r w:rsidR="000B587F">
        <w:t>b</w:t>
      </w:r>
      <w:r>
        <w:t xml:space="preserve">and. For WRC-23, there is a related item (AI 1.2) considering allocations for IMT in part of the 6 GHz </w:t>
      </w:r>
      <w:r w:rsidR="000B587F">
        <w:t>b</w:t>
      </w:r>
      <w:r>
        <w:t>and (6425</w:t>
      </w:r>
      <w:r w:rsidR="000B587F">
        <w:t>–</w:t>
      </w:r>
      <w:r>
        <w:t>7125 MHz).</w:t>
      </w:r>
      <w:r>
        <w:rPr>
          <w:rStyle w:val="FootnoteReference"/>
        </w:rPr>
        <w:footnoteReference w:id="7"/>
      </w:r>
    </w:p>
    <w:p w14:paraId="23FBD221" w14:textId="676B22A6" w:rsidR="00F142F0" w:rsidRDefault="00F142F0" w:rsidP="00F142F0">
      <w:pPr>
        <w:pStyle w:val="Paragraph"/>
      </w:pPr>
      <w:r>
        <w:t xml:space="preserve">Figure 2 illustrates the arrangements for RLAN use that are implemented, recommended, or proposed by various international bodies. Segments marked with ** indicate that changes have recently been made or proposed. </w:t>
      </w:r>
    </w:p>
    <w:p w14:paraId="0EB8FD54" w14:textId="141D2B13" w:rsidR="00F142F0" w:rsidRDefault="00F142F0" w:rsidP="00F142F0">
      <w:pPr>
        <w:pStyle w:val="Paragraph"/>
      </w:pPr>
      <w:r>
        <w:t xml:space="preserve">Allocations have been made in the ITU Radio Regulations in </w:t>
      </w:r>
      <w:r w:rsidR="000B587F">
        <w:t xml:space="preserve">3 </w:t>
      </w:r>
      <w:r>
        <w:t xml:space="preserve">different frequency ranges in the 5 GHz band for </w:t>
      </w:r>
      <w:r w:rsidR="00507232">
        <w:t>wireless access services (</w:t>
      </w:r>
      <w:r>
        <w:t>WAS</w:t>
      </w:r>
      <w:r w:rsidR="00507232">
        <w:t xml:space="preserve">) and </w:t>
      </w:r>
      <w:r>
        <w:t>RLAN use. Parts of the R</w:t>
      </w:r>
      <w:r w:rsidR="00055360">
        <w:t xml:space="preserve">adio </w:t>
      </w:r>
      <w:r>
        <w:t>R</w:t>
      </w:r>
      <w:r w:rsidR="00055360">
        <w:t>egulation</w:t>
      </w:r>
      <w:r>
        <w:t>s relating to the 5150–5250 MHz range were updated at WRC</w:t>
      </w:r>
      <w:r w:rsidR="00507232">
        <w:noBreakHyphen/>
        <w:t>19</w:t>
      </w:r>
      <w:r>
        <w:t xml:space="preserve">. Parts of the 6 GHz </w:t>
      </w:r>
      <w:r w:rsidR="00507232">
        <w:t>b</w:t>
      </w:r>
      <w:r>
        <w:t xml:space="preserve">and are being investigated as part of the agenda for the </w:t>
      </w:r>
      <w:r w:rsidR="00507232">
        <w:t>WRC</w:t>
      </w:r>
      <w:r w:rsidR="00507232">
        <w:noBreakHyphen/>
        <w:t>23</w:t>
      </w:r>
      <w:r>
        <w:t>.</w:t>
      </w:r>
    </w:p>
    <w:p w14:paraId="69DB41FA" w14:textId="4659A8AE" w:rsidR="00F142F0" w:rsidRPr="00503919" w:rsidRDefault="00F142F0" w:rsidP="00F142F0">
      <w:pPr>
        <w:pStyle w:val="Paragraph"/>
      </w:pPr>
      <w:r>
        <w:t xml:space="preserve">There are 2 bands available in the US for 5 GHz </w:t>
      </w:r>
      <w:r w:rsidR="00A901C8">
        <w:t>RLAN</w:t>
      </w:r>
      <w:r>
        <w:t xml:space="preserve"> use, which allow operation at 4 W. The entire 6 GHz band has also recently been made available for unlicensed use, some segments of which requires the use of an AFC system.</w:t>
      </w:r>
    </w:p>
    <w:p w14:paraId="1B7EF215" w14:textId="294E4178" w:rsidR="00F142F0" w:rsidRDefault="00F142F0" w:rsidP="00F142F0">
      <w:pPr>
        <w:pStyle w:val="Paragraph"/>
        <w:rPr>
          <w:lang w:val="en-GB"/>
        </w:rPr>
      </w:pPr>
      <w:r>
        <w:t xml:space="preserve">In the UK, most of the 5 GHz band is available for RLAN use, and in most </w:t>
      </w:r>
      <w:r w:rsidR="000B587F">
        <w:t>cases,</w:t>
      </w:r>
      <w:r>
        <w:t xml:space="preserve"> devices are required to implement DFS. In July</w:t>
      </w:r>
      <w:r w:rsidR="00C9504B">
        <w:t xml:space="preserve"> 202</w:t>
      </w:r>
      <w:r w:rsidR="00C9504B" w:rsidRPr="002D7BF6">
        <w:t>0</w:t>
      </w:r>
      <w:r w:rsidRPr="002D7BF6">
        <w:t>, the UK regulator, Ofcom,</w:t>
      </w:r>
      <w:r>
        <w:t xml:space="preserve"> made </w:t>
      </w:r>
      <w:r w:rsidR="000B587F">
        <w:t xml:space="preserve">2 </w:t>
      </w:r>
      <w:r>
        <w:t>changes to arrangements in the band: opening up part of the 6</w:t>
      </w:r>
      <w:r>
        <w:rPr>
          <w:lang w:val="en-GB"/>
        </w:rPr>
        <w:t> GHz band</w:t>
      </w:r>
      <w:r w:rsidR="000B587F">
        <w:rPr>
          <w:lang w:val="en-GB"/>
        </w:rPr>
        <w:t>,</w:t>
      </w:r>
      <w:r>
        <w:rPr>
          <w:lang w:val="en-GB"/>
        </w:rPr>
        <w:t xml:space="preserve"> and removing the DFS requirement from one segment of the 5 GHz band. Most of the UK arrangements are based on recommendations and reports from CEPT (or its European Electronics Commission, the ECC).</w:t>
      </w:r>
    </w:p>
    <w:p w14:paraId="7019D66F" w14:textId="657F75A2" w:rsidR="00F142F0" w:rsidRDefault="000B587F" w:rsidP="00F142F0">
      <w:pPr>
        <w:pStyle w:val="Paragraph"/>
        <w:sectPr w:rsidR="00F142F0" w:rsidSect="00D81582">
          <w:headerReference w:type="default" r:id="rId59"/>
          <w:footerReference w:type="default" r:id="rId60"/>
          <w:pgSz w:w="11906" w:h="16838" w:code="9"/>
          <w:pgMar w:top="1945" w:right="3101" w:bottom="1134" w:left="1134" w:header="709" w:footer="119" w:gutter="0"/>
          <w:cols w:space="708"/>
          <w:docGrid w:linePitch="360"/>
        </w:sectPr>
      </w:pPr>
      <w:r>
        <w:rPr>
          <w:lang w:val="en-GB"/>
        </w:rPr>
        <w:t xml:space="preserve">Several </w:t>
      </w:r>
      <w:r w:rsidR="00C9504B">
        <w:rPr>
          <w:lang w:val="en-GB"/>
        </w:rPr>
        <w:t xml:space="preserve">other countries </w:t>
      </w:r>
      <w:r w:rsidR="00F142F0">
        <w:rPr>
          <w:lang w:val="en-GB"/>
        </w:rPr>
        <w:t>have also recently announced their intentions to allow RLAN use in the 6 GHz band</w:t>
      </w:r>
      <w:r w:rsidR="00C9504B">
        <w:rPr>
          <w:lang w:val="en-GB"/>
        </w:rPr>
        <w:t xml:space="preserve"> including Canada, South </w:t>
      </w:r>
      <w:r w:rsidR="00254674">
        <w:rPr>
          <w:lang w:val="en-GB"/>
        </w:rPr>
        <w:t>Korea,</w:t>
      </w:r>
      <w:r w:rsidR="00C9504B">
        <w:rPr>
          <w:lang w:val="en-GB"/>
        </w:rPr>
        <w:t xml:space="preserve"> and Brazil.</w:t>
      </w:r>
    </w:p>
    <w:p w14:paraId="2A44531E" w14:textId="479D1143" w:rsidR="00F142F0" w:rsidRDefault="00F142F0" w:rsidP="00F142F0">
      <w:pPr>
        <w:pStyle w:val="ACMAFigureHeader"/>
      </w:pPr>
      <w:r>
        <w:lastRenderedPageBreak/>
        <w:t>International arrangements and proposals</w:t>
      </w:r>
      <w:r w:rsidR="00AA58C0">
        <w:t xml:space="preserve"> </w:t>
      </w:r>
      <w:r w:rsidR="00AA58C0" w:rsidRPr="00AA58C0">
        <w:t>for use of RLAN in the 5 GHz and 6 GHz bands</w:t>
      </w:r>
    </w:p>
    <w:p w14:paraId="0D44F772" w14:textId="3FBE8761" w:rsidR="00F142F0" w:rsidRPr="00CD084F" w:rsidRDefault="00B37949" w:rsidP="00CD084F">
      <w:pPr>
        <w:pStyle w:val="Tableorfigurenotemultiple"/>
      </w:pPr>
      <w:r w:rsidRPr="00B37949">
        <w:rPr>
          <w:noProof/>
        </w:rPr>
        <w:drawing>
          <wp:inline distT="0" distB="0" distL="0" distR="0" wp14:anchorId="13AE838A" wp14:editId="62E015BE">
            <wp:extent cx="9009367" cy="4752000"/>
            <wp:effectExtent l="0" t="0" r="1905" b="0"/>
            <wp:docPr id="2" name="Picture 2" descr="Diagram shows international  arrangements that are mostly explained in the text. However, if you would like help to access this diagram, please tel 1300 850 115 or email info@acma.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 shows international  arrangements that are mostly explained in the text. However, if you would like help to access this diagram, please tel 1300 850 115 or email info@acma.gov.au"/>
                    <pic:cNvPicPr/>
                  </pic:nvPicPr>
                  <pic:blipFill>
                    <a:blip r:embed="rId61"/>
                    <a:stretch>
                      <a:fillRect/>
                    </a:stretch>
                  </pic:blipFill>
                  <pic:spPr>
                    <a:xfrm>
                      <a:off x="0" y="0"/>
                      <a:ext cx="9009367" cy="4752000"/>
                    </a:xfrm>
                    <a:prstGeom prst="rect">
                      <a:avLst/>
                    </a:prstGeom>
                  </pic:spPr>
                </pic:pic>
              </a:graphicData>
            </a:graphic>
          </wp:inline>
        </w:drawing>
      </w:r>
      <w:r w:rsidR="00AA58C0" w:rsidRPr="00CD084F" w:rsidDel="00AA58C0">
        <w:t xml:space="preserve"> </w:t>
      </w:r>
      <w:r w:rsidR="00F142F0" w:rsidRPr="00CD084F">
        <w:br/>
        <w:t>Segments marked with ** indicate where changes have recently been made</w:t>
      </w:r>
      <w:r w:rsidR="00BD5FD1" w:rsidRPr="00CD084F">
        <w:t>, or current proposals are being considered</w:t>
      </w:r>
      <w:r w:rsidR="00F142F0" w:rsidRPr="00CD084F">
        <w:t>.</w:t>
      </w:r>
    </w:p>
    <w:p w14:paraId="29D581F1" w14:textId="77777777" w:rsidR="00F142F0" w:rsidRDefault="00F142F0" w:rsidP="00F142F0">
      <w:pPr>
        <w:pStyle w:val="Paragraph"/>
        <w:sectPr w:rsidR="00F142F0" w:rsidSect="00B37949">
          <w:headerReference w:type="default" r:id="rId62"/>
          <w:footerReference w:type="default" r:id="rId63"/>
          <w:pgSz w:w="16838" w:h="11906" w:orient="landscape" w:code="9"/>
          <w:pgMar w:top="1134" w:right="1945" w:bottom="1134" w:left="1134" w:header="227" w:footer="119" w:gutter="0"/>
          <w:cols w:space="708"/>
          <w:docGrid w:linePitch="360"/>
        </w:sectPr>
      </w:pPr>
    </w:p>
    <w:p w14:paraId="7EE6D6DC" w14:textId="74853117" w:rsidR="00F142F0" w:rsidRDefault="00F142F0" w:rsidP="00F142F0">
      <w:pPr>
        <w:pStyle w:val="Heading2"/>
      </w:pPr>
      <w:bookmarkStart w:id="51" w:name="_ITU_developments"/>
      <w:bookmarkStart w:id="52" w:name="_Toc68612243"/>
      <w:bookmarkEnd w:id="51"/>
      <w:r>
        <w:lastRenderedPageBreak/>
        <w:t>ITU developments</w:t>
      </w:r>
      <w:bookmarkEnd w:id="52"/>
    </w:p>
    <w:p w14:paraId="78CDADBB" w14:textId="7CD8A4BD" w:rsidR="00F142F0" w:rsidRPr="00183DAA" w:rsidRDefault="00F142F0" w:rsidP="00183DAA">
      <w:pPr>
        <w:pStyle w:val="Heading3"/>
        <w:rPr>
          <w:b w:val="0"/>
          <w:bCs w:val="0"/>
        </w:rPr>
      </w:pPr>
      <w:bookmarkStart w:id="53" w:name="_Toc68167254"/>
      <w:bookmarkStart w:id="54" w:name="_Toc68612244"/>
      <w:r w:rsidRPr="00D00879">
        <w:t xml:space="preserve">5 GHz </w:t>
      </w:r>
      <w:r w:rsidR="00AA58C0" w:rsidRPr="004A4DA3">
        <w:t>b</w:t>
      </w:r>
      <w:r w:rsidRPr="008678C7">
        <w:t>and</w:t>
      </w:r>
      <w:bookmarkEnd w:id="53"/>
      <w:bookmarkEnd w:id="54"/>
    </w:p>
    <w:p w14:paraId="058EC9DC" w14:textId="48105AD0" w:rsidR="00F142F0" w:rsidRPr="008678C7" w:rsidRDefault="00F142F0" w:rsidP="00F142F0">
      <w:pPr>
        <w:pStyle w:val="Paragraph"/>
      </w:pPr>
      <w:r w:rsidRPr="00D00879">
        <w:t xml:space="preserve">Agenda item 1.16 at WRC-19 was a general consideration of issues relating to the use of WAS/RLAN in the 5 GHz </w:t>
      </w:r>
      <w:r w:rsidR="00C9504B" w:rsidRPr="004A4DA3">
        <w:t>b</w:t>
      </w:r>
      <w:r w:rsidRPr="004A4DA3">
        <w:t>and</w:t>
      </w:r>
      <w:r w:rsidR="004A4DA3">
        <w:t>,</w:t>
      </w:r>
      <w:r w:rsidRPr="004A4DA3">
        <w:t xml:space="preserve"> which are set out in </w:t>
      </w:r>
      <w:hyperlink r:id="rId64" w:history="1">
        <w:r w:rsidRPr="004A4DA3">
          <w:rPr>
            <w:rStyle w:val="Hyperlink"/>
          </w:rPr>
          <w:t>ITU-R Resolution 229 (Rev. WRC-19)</w:t>
        </w:r>
      </w:hyperlink>
      <w:r w:rsidRPr="00D00879">
        <w:t xml:space="preserve">. The </w:t>
      </w:r>
      <w:r w:rsidRPr="004A4DA3">
        <w:t xml:space="preserve">outcome was an update to the 5150–5250 MHz range. The changes allow higher power and outdoor devices to operate but impose restrictions to protect satellite receivers from aggregate interference from the expected large number of devices that would operate </w:t>
      </w:r>
      <w:r w:rsidRPr="008678C7">
        <w:t>in the future.</w:t>
      </w:r>
    </w:p>
    <w:p w14:paraId="51E2B830" w14:textId="77777777" w:rsidR="00F142F0" w:rsidRDefault="00F142F0" w:rsidP="00F142F0">
      <w:pPr>
        <w:pStyle w:val="Paragraph"/>
      </w:pPr>
      <w:r w:rsidRPr="008678C7">
        <w:t>Following is a summary of the requirements in ITU Resolution 229 (Rev. WRC-19).</w:t>
      </w:r>
    </w:p>
    <w:p w14:paraId="01C0FD48" w14:textId="77777777" w:rsidR="00F142F0" w:rsidRPr="002613DD" w:rsidRDefault="00F142F0" w:rsidP="00183DAA">
      <w:pPr>
        <w:pStyle w:val="Heading4"/>
      </w:pPr>
      <w:r w:rsidRPr="002613DD">
        <w:t>5150–5250 MHz</w:t>
      </w:r>
    </w:p>
    <w:p w14:paraId="63C15F96" w14:textId="77777777" w:rsidR="00F142F0" w:rsidRDefault="00F142F0" w:rsidP="00183DAA">
      <w:pPr>
        <w:pStyle w:val="Paragraphbeforelist"/>
      </w:pPr>
      <w:r>
        <w:t>Prior to WRC-19,</w:t>
      </w:r>
      <w:r w:rsidRPr="00DC077E">
        <w:t xml:space="preserve"> </w:t>
      </w:r>
      <w:r>
        <w:t>ITU Resolution 229 (Rev. WRC-15) provided for:</w:t>
      </w:r>
    </w:p>
    <w:p w14:paraId="0C7CF2B0" w14:textId="3387F177" w:rsidR="00F142F0" w:rsidRDefault="00C9504B" w:rsidP="00183DAA">
      <w:pPr>
        <w:pStyle w:val="Bulletlevel1"/>
      </w:pPr>
      <w:r>
        <w:t>i</w:t>
      </w:r>
      <w:r w:rsidR="00F142F0">
        <w:t>ndoor use only, with maximum EIRP of 200 mW</w:t>
      </w:r>
      <w:r w:rsidR="00BD5FD1">
        <w:t xml:space="preserve"> (23 dBm) </w:t>
      </w:r>
      <w:r w:rsidR="00F142F0">
        <w:t>or 10 mW/MHz</w:t>
      </w:r>
      <w:r w:rsidR="00BD5FD1">
        <w:t xml:space="preserve"> (10 dBm/MHz)</w:t>
      </w:r>
      <w:r w:rsidR="00F142F0">
        <w:t xml:space="preserve"> measured within any 1 MHz</w:t>
      </w:r>
    </w:p>
    <w:p w14:paraId="3076F15A" w14:textId="070EB402" w:rsidR="00F142F0" w:rsidRDefault="00C9504B" w:rsidP="00183DAA">
      <w:pPr>
        <w:pStyle w:val="Bulletlevel1last"/>
      </w:pPr>
      <w:r>
        <w:t>m</w:t>
      </w:r>
      <w:r w:rsidR="00F142F0">
        <w:t>aximum EIRP 40 mW</w:t>
      </w:r>
      <w:r w:rsidR="00BD5FD1">
        <w:t xml:space="preserve"> (16 dBm)</w:t>
      </w:r>
      <w:r w:rsidR="00F142F0">
        <w:t>, when used in vehicles.</w:t>
      </w:r>
    </w:p>
    <w:p w14:paraId="5E15D200" w14:textId="1E34D867" w:rsidR="00F142F0" w:rsidRDefault="00F142F0" w:rsidP="00183DAA">
      <w:pPr>
        <w:pStyle w:val="Paragraphbeforelist"/>
      </w:pPr>
      <w:r>
        <w:t xml:space="preserve">The WRC-19 </w:t>
      </w:r>
      <w:r w:rsidR="008678C7">
        <w:t xml:space="preserve">outcome </w:t>
      </w:r>
      <w:r>
        <w:t>was to add the following options for administrations using RLAN systems in this band:</w:t>
      </w:r>
    </w:p>
    <w:p w14:paraId="06262EB5" w14:textId="10F2FBED" w:rsidR="00F142F0" w:rsidRDefault="008678C7" w:rsidP="00B91F53">
      <w:pPr>
        <w:pStyle w:val="Bulletlevel1"/>
      </w:pPr>
      <w:r>
        <w:t>i</w:t>
      </w:r>
      <w:r w:rsidR="00F142F0">
        <w:t>ndividual administrations can choose to allow outdoor use with a maximum EIRP of 200 mW</w:t>
      </w:r>
      <w:r w:rsidR="00BD5FD1">
        <w:t xml:space="preserve"> (23 dBm)</w:t>
      </w:r>
      <w:r w:rsidR="0095663B">
        <w:t>.</w:t>
      </w:r>
    </w:p>
    <w:p w14:paraId="01DA8E07" w14:textId="1A099109" w:rsidR="00F142F0" w:rsidRDefault="008678C7" w:rsidP="00B977D3">
      <w:pPr>
        <w:pStyle w:val="Bulletlevel1"/>
      </w:pPr>
      <w:r>
        <w:t>t</w:t>
      </w:r>
      <w:r w:rsidR="00F142F0">
        <w:t xml:space="preserve">he EIRP limit </w:t>
      </w:r>
      <w:r>
        <w:t xml:space="preserve">can be </w:t>
      </w:r>
      <w:r w:rsidR="00F142F0">
        <w:t xml:space="preserve">increased to 1 W if an appropriate antenna pointing mask is applied. </w:t>
      </w:r>
      <w:r w:rsidR="006B0DF6">
        <w:t>Appropriate masks are:</w:t>
      </w:r>
    </w:p>
    <w:p w14:paraId="388765D4" w14:textId="06B1E33A" w:rsidR="00F142F0" w:rsidRDefault="00F142F0" w:rsidP="00B977D3">
      <w:pPr>
        <w:pStyle w:val="Bulletlevel2"/>
      </w:pPr>
      <w:r>
        <w:t xml:space="preserve">200 mW </w:t>
      </w:r>
      <w:r w:rsidR="00BD5FD1">
        <w:t xml:space="preserve">(23 dBm) </w:t>
      </w:r>
      <w:r>
        <w:t>limit in any direction above 5 degrees of elevation,</w:t>
      </w:r>
    </w:p>
    <w:p w14:paraId="3D5A5434" w14:textId="42D2E48A" w:rsidR="00F142F0" w:rsidRDefault="00F142F0" w:rsidP="00B977D3">
      <w:pPr>
        <w:pStyle w:val="Bulletlevel2"/>
      </w:pPr>
      <w:r>
        <w:t xml:space="preserve">125 mW </w:t>
      </w:r>
      <w:r w:rsidR="00BD5FD1">
        <w:t xml:space="preserve">(21 dBm) </w:t>
      </w:r>
      <w:r>
        <w:t>limit in any direction above 30 degrees of elevation</w:t>
      </w:r>
      <w:r>
        <w:rPr>
          <w:rStyle w:val="FootnoteReference"/>
        </w:rPr>
        <w:footnoteReference w:id="8"/>
      </w:r>
    </w:p>
    <w:p w14:paraId="4D5D25BB" w14:textId="79D36A5E" w:rsidR="00F142F0" w:rsidRDefault="00C9504B" w:rsidP="00B977D3">
      <w:pPr>
        <w:pStyle w:val="Bulletlevel2"/>
      </w:pPr>
      <w:r>
        <w:t>a</w:t>
      </w:r>
      <w:r w:rsidR="00F142F0">
        <w:t xml:space="preserve"> specific (and more detailed) emission mask</w:t>
      </w:r>
      <w:r w:rsidR="00254674">
        <w:t>,</w:t>
      </w:r>
      <w:r w:rsidR="00F142F0">
        <w:t xml:space="preserve"> which is set out in ITU Resolution 229 (Rev. WRC-19).</w:t>
      </w:r>
    </w:p>
    <w:p w14:paraId="097D64C8" w14:textId="7C0DC3B5" w:rsidR="00F142F0" w:rsidRDefault="00961571" w:rsidP="00B91F53">
      <w:pPr>
        <w:pStyle w:val="Bulletlevel1"/>
      </w:pPr>
      <w:r>
        <w:t>t</w:t>
      </w:r>
      <w:r w:rsidR="00F142F0">
        <w:t>o protect satellite receivers from aggregate interference, either:</w:t>
      </w:r>
    </w:p>
    <w:p w14:paraId="2A900B13" w14:textId="600E19DC" w:rsidR="00F142F0" w:rsidRDefault="00C9504B" w:rsidP="00B91F53">
      <w:pPr>
        <w:pStyle w:val="Bulletlevel2"/>
      </w:pPr>
      <w:r>
        <w:t>n</w:t>
      </w:r>
      <w:r w:rsidR="00F142F0">
        <w:t>o more than 2% of all devices should be operating with the 1 W limit, or</w:t>
      </w:r>
    </w:p>
    <w:p w14:paraId="73059724" w14:textId="44EAFB07" w:rsidR="00F142F0" w:rsidRDefault="00C9504B" w:rsidP="00B91F53">
      <w:pPr>
        <w:pStyle w:val="Bulletlevel2last"/>
      </w:pPr>
      <w:r>
        <w:t>t</w:t>
      </w:r>
      <w:r w:rsidR="00F142F0">
        <w:t>he total unwanted power from all devices should not exceed the current level.</w:t>
      </w:r>
    </w:p>
    <w:p w14:paraId="3884259B" w14:textId="77777777" w:rsidR="00F142F0" w:rsidRPr="002613DD" w:rsidRDefault="00F142F0" w:rsidP="00C4529F">
      <w:pPr>
        <w:pStyle w:val="Heading4"/>
      </w:pPr>
      <w:r w:rsidRPr="002613DD">
        <w:t>5250–5350 MHz</w:t>
      </w:r>
    </w:p>
    <w:p w14:paraId="40A389F1" w14:textId="3F066C25" w:rsidR="00F142F0" w:rsidRDefault="00F142F0" w:rsidP="00C4529F">
      <w:pPr>
        <w:pStyle w:val="Bulletlevel1"/>
      </w:pPr>
      <w:r>
        <w:t>No changes at WRC-19</w:t>
      </w:r>
      <w:r w:rsidR="0095663B">
        <w:t>.</w:t>
      </w:r>
    </w:p>
    <w:p w14:paraId="5CEFCC33" w14:textId="2D568A8C" w:rsidR="00F142F0" w:rsidRDefault="00F142F0" w:rsidP="00C4529F">
      <w:pPr>
        <w:pStyle w:val="Bulletlevel1"/>
      </w:pPr>
      <w:r>
        <w:t>Maximum EIRP of 200 mW</w:t>
      </w:r>
      <w:r w:rsidR="00BD5FD1">
        <w:t xml:space="preserve"> (23 dBm)</w:t>
      </w:r>
      <w:r w:rsidR="0095663B">
        <w:t>.</w:t>
      </w:r>
    </w:p>
    <w:p w14:paraId="76799EB6" w14:textId="05D57CE1" w:rsidR="00F142F0" w:rsidRDefault="00F142F0" w:rsidP="00C4529F">
      <w:pPr>
        <w:pStyle w:val="Bulletlevel1"/>
      </w:pPr>
      <w:r>
        <w:t>Maximum EIRP density of 10 mW/MHz</w:t>
      </w:r>
      <w:r w:rsidR="00BD5FD1">
        <w:t xml:space="preserve"> (10 dBm/MHz)</w:t>
      </w:r>
      <w:r>
        <w:t xml:space="preserve"> in any 1 MHz band</w:t>
      </w:r>
      <w:r w:rsidR="0095663B">
        <w:t>.</w:t>
      </w:r>
    </w:p>
    <w:p w14:paraId="32CA9252" w14:textId="5A00425C" w:rsidR="00F142F0" w:rsidRDefault="00F142F0" w:rsidP="00C4529F">
      <w:pPr>
        <w:pStyle w:val="Bulletlevel1"/>
      </w:pPr>
      <w:r>
        <w:t>Appropriate measures should be taken to ensure most RLANs are operated indoors</w:t>
      </w:r>
      <w:r w:rsidR="0095663B">
        <w:t>.</w:t>
      </w:r>
    </w:p>
    <w:p w14:paraId="205C2457" w14:textId="668996B0" w:rsidR="00F142F0" w:rsidRDefault="00F142F0" w:rsidP="00C4529F">
      <w:pPr>
        <w:pStyle w:val="Bulletlevel1"/>
      </w:pPr>
      <w:r>
        <w:t xml:space="preserve">Maximum EIRP is increased to 1 W </w:t>
      </w:r>
      <w:r w:rsidR="00BD5FD1">
        <w:t xml:space="preserve">(30 dBm) </w:t>
      </w:r>
      <w:r>
        <w:t>and density limit to 50 mW/MHz</w:t>
      </w:r>
      <w:r w:rsidR="00BD5FD1">
        <w:t xml:space="preserve"> (17 dBm)</w:t>
      </w:r>
      <w:r>
        <w:t xml:space="preserve"> if a specified mask is used</w:t>
      </w:r>
      <w:r w:rsidR="0095663B">
        <w:t>.</w:t>
      </w:r>
    </w:p>
    <w:p w14:paraId="09EADB33" w14:textId="4766B993" w:rsidR="00F142F0" w:rsidRDefault="00F142F0" w:rsidP="00C4529F">
      <w:pPr>
        <w:pStyle w:val="Bulletlevel1"/>
      </w:pPr>
      <w:r>
        <w:t>Devices must either use dynamic power control or impose power limits 3 dB lower than they would otherwise be</w:t>
      </w:r>
      <w:r w:rsidR="0095663B">
        <w:t>.</w:t>
      </w:r>
    </w:p>
    <w:p w14:paraId="11E7F2D8" w14:textId="19EE55F0" w:rsidR="00F142F0" w:rsidRDefault="00F142F0" w:rsidP="00C4529F">
      <w:pPr>
        <w:pStyle w:val="Bulletlevel1"/>
      </w:pPr>
      <w:r>
        <w:t xml:space="preserve">Administrations may choose to use mitigation techniques other than those listed, so long as the Earth </w:t>
      </w:r>
      <w:r w:rsidR="0047476E">
        <w:t>e</w:t>
      </w:r>
      <w:r>
        <w:t xml:space="preserve">xploration </w:t>
      </w:r>
      <w:r w:rsidR="0047476E">
        <w:t>s</w:t>
      </w:r>
      <w:r>
        <w:t xml:space="preserve">atellite and </w:t>
      </w:r>
      <w:r w:rsidR="0047476E">
        <w:t>s</w:t>
      </w:r>
      <w:r>
        <w:t xml:space="preserve">pace </w:t>
      </w:r>
      <w:r w:rsidR="0047476E">
        <w:t>r</w:t>
      </w:r>
      <w:r>
        <w:t>esearch services are adequately protected</w:t>
      </w:r>
      <w:r w:rsidR="0095663B">
        <w:t>.</w:t>
      </w:r>
    </w:p>
    <w:p w14:paraId="0A5C0E9B" w14:textId="72FB75D1" w:rsidR="00F142F0" w:rsidRDefault="00F142F0" w:rsidP="00AC3DB0">
      <w:pPr>
        <w:pStyle w:val="Bulletlevel1last"/>
      </w:pPr>
      <w:r>
        <w:lastRenderedPageBreak/>
        <w:t>The radiolocation service should be protected using the techniques and parameters from ITU-R M.1652-1</w:t>
      </w:r>
      <w:r w:rsidR="0095663B">
        <w:t>.</w:t>
      </w:r>
    </w:p>
    <w:p w14:paraId="08A90463" w14:textId="77777777" w:rsidR="00F142F0" w:rsidRPr="002613DD" w:rsidRDefault="00F142F0" w:rsidP="00AC3DB0">
      <w:pPr>
        <w:pStyle w:val="Heading4"/>
      </w:pPr>
      <w:r w:rsidRPr="002613DD">
        <w:t>5470–5725 MHz</w:t>
      </w:r>
    </w:p>
    <w:p w14:paraId="571A06A8" w14:textId="4140C1BB" w:rsidR="00F142F0" w:rsidRDefault="00F142F0" w:rsidP="00AC3DB0">
      <w:pPr>
        <w:pStyle w:val="Bulletlevel1"/>
      </w:pPr>
      <w:r>
        <w:t>No changes at WRC-19</w:t>
      </w:r>
      <w:r w:rsidR="0095663B">
        <w:t>.</w:t>
      </w:r>
    </w:p>
    <w:p w14:paraId="1C7E39D1" w14:textId="0648210A" w:rsidR="00F142F0" w:rsidRDefault="00F142F0" w:rsidP="00AC3DB0">
      <w:pPr>
        <w:pStyle w:val="Bulletlevel1"/>
      </w:pPr>
      <w:r>
        <w:t>Maximum transmitter power of 250 mW</w:t>
      </w:r>
      <w:r w:rsidR="00BD5FD1">
        <w:t xml:space="preserve"> (24 dBm)</w:t>
      </w:r>
      <w:r w:rsidR="0095663B">
        <w:t>.</w:t>
      </w:r>
    </w:p>
    <w:p w14:paraId="317CD826" w14:textId="552C5C16" w:rsidR="00F142F0" w:rsidRDefault="00F142F0" w:rsidP="00AC3DB0">
      <w:pPr>
        <w:pStyle w:val="Bulletlevel1"/>
      </w:pPr>
      <w:r>
        <w:t>Maximum mean EIRP of 1 W</w:t>
      </w:r>
      <w:r w:rsidR="00BD5FD1">
        <w:t xml:space="preserve"> (30 dBm)</w:t>
      </w:r>
      <w:r w:rsidR="0095663B">
        <w:t>.</w:t>
      </w:r>
    </w:p>
    <w:p w14:paraId="1D7CFFC0" w14:textId="013A0A42" w:rsidR="00F142F0" w:rsidRDefault="00F142F0" w:rsidP="00AC3DB0">
      <w:pPr>
        <w:pStyle w:val="Bulletlevel1"/>
      </w:pPr>
      <w:r>
        <w:t xml:space="preserve">Maximum EIRP density of 50 mW/MHz </w:t>
      </w:r>
      <w:r w:rsidR="00BD5FD1">
        <w:t xml:space="preserve">(17 dBm) </w:t>
      </w:r>
      <w:r>
        <w:t>in any 1 MHz</w:t>
      </w:r>
      <w:r w:rsidR="0095663B">
        <w:t>.</w:t>
      </w:r>
    </w:p>
    <w:p w14:paraId="5F6C2956" w14:textId="4AEA1BDC" w:rsidR="00F142F0" w:rsidRDefault="00F142F0" w:rsidP="00AC3DB0">
      <w:pPr>
        <w:pStyle w:val="Bulletlevel1"/>
      </w:pPr>
      <w:r>
        <w:t>Devices must either use dynamic power control or impose power limits 3 dB lower than they would otherwise be</w:t>
      </w:r>
      <w:r w:rsidR="0095663B">
        <w:t>.</w:t>
      </w:r>
    </w:p>
    <w:p w14:paraId="25F5EB48" w14:textId="4C3DB52C" w:rsidR="00F142F0" w:rsidRPr="001B324A" w:rsidRDefault="00F142F0" w:rsidP="00AC3DB0">
      <w:pPr>
        <w:pStyle w:val="Bulletlevel1last"/>
        <w:rPr>
          <w:b/>
          <w:bCs/>
          <w:u w:val="single"/>
        </w:rPr>
      </w:pPr>
      <w:r>
        <w:t>The radiolocation service should be protected using the techniques and parameters from ITU-R M.1652-1</w:t>
      </w:r>
      <w:r w:rsidR="0095663B">
        <w:t>.</w:t>
      </w:r>
    </w:p>
    <w:p w14:paraId="664FEC37" w14:textId="48A1F7F4" w:rsidR="00F142F0" w:rsidRPr="009232FA" w:rsidRDefault="00F142F0" w:rsidP="00AC3DB0">
      <w:pPr>
        <w:pStyle w:val="Heading3"/>
      </w:pPr>
      <w:bookmarkStart w:id="55" w:name="_Toc68167255"/>
      <w:bookmarkStart w:id="56" w:name="_Toc68612245"/>
      <w:r>
        <w:t xml:space="preserve">6 GHz </w:t>
      </w:r>
      <w:r w:rsidR="0047476E">
        <w:t>b</w:t>
      </w:r>
      <w:r>
        <w:t>and</w:t>
      </w:r>
      <w:bookmarkEnd w:id="55"/>
      <w:bookmarkEnd w:id="56"/>
    </w:p>
    <w:p w14:paraId="2325E9A0" w14:textId="510C2DC2" w:rsidR="00F142F0" w:rsidRPr="0047476E" w:rsidRDefault="00F142F0" w:rsidP="00AC3DB0">
      <w:pPr>
        <w:pStyle w:val="Paragraphbeforelist"/>
      </w:pPr>
      <w:r>
        <w:t xml:space="preserve">Agenda item 1.2 for </w:t>
      </w:r>
      <w:r w:rsidRPr="0047476E">
        <w:t xml:space="preserve">the next WRC (WRC-23) </w:t>
      </w:r>
      <w:r w:rsidR="0047476E" w:rsidRPr="0047476E">
        <w:t xml:space="preserve">will </w:t>
      </w:r>
      <w:r w:rsidRPr="0047476E">
        <w:t xml:space="preserve">consider additional frequencies for IMT in various bands. This includes </w:t>
      </w:r>
      <w:r w:rsidR="00961571">
        <w:t>2</w:t>
      </w:r>
      <w:r w:rsidR="00961571" w:rsidRPr="0047476E">
        <w:t xml:space="preserve"> </w:t>
      </w:r>
      <w:r w:rsidRPr="0047476E">
        <w:t xml:space="preserve">sections of the 6 GHz </w:t>
      </w:r>
      <w:r w:rsidR="00961571">
        <w:t>b</w:t>
      </w:r>
      <w:r w:rsidRPr="0047476E">
        <w:t>and:</w:t>
      </w:r>
    </w:p>
    <w:p w14:paraId="00806B55" w14:textId="77E5E94F" w:rsidR="00F142F0" w:rsidRPr="0047476E" w:rsidRDefault="00F142F0" w:rsidP="00AC3DB0">
      <w:pPr>
        <w:pStyle w:val="Bulletlevel1"/>
      </w:pPr>
      <w:r w:rsidRPr="0047476E">
        <w:t xml:space="preserve">6425–7025 MHz in </w:t>
      </w:r>
      <w:r w:rsidR="0047476E" w:rsidRPr="0047476E">
        <w:t xml:space="preserve">ITU </w:t>
      </w:r>
      <w:r w:rsidRPr="0047476E">
        <w:t>Region 1</w:t>
      </w:r>
      <w:r w:rsidR="0047476E" w:rsidRPr="0047476E">
        <w:t xml:space="preserve"> (Europe, Russia, Africa, Middle East)</w:t>
      </w:r>
    </w:p>
    <w:p w14:paraId="59A244F0" w14:textId="5B444158" w:rsidR="00F142F0" w:rsidRPr="0047476E" w:rsidRDefault="00F142F0" w:rsidP="00AC3DB0">
      <w:pPr>
        <w:pStyle w:val="Bulletlevel1last"/>
      </w:pPr>
      <w:r w:rsidRPr="0047476E">
        <w:t xml:space="preserve">7025–7125 MHz in all </w:t>
      </w:r>
      <w:r w:rsidR="00961571">
        <w:t>r</w:t>
      </w:r>
      <w:r w:rsidRPr="0047476E">
        <w:t>egions</w:t>
      </w:r>
    </w:p>
    <w:p w14:paraId="413B99B5" w14:textId="2ABE3630" w:rsidR="00F142F0" w:rsidRDefault="00F142F0" w:rsidP="00F142F0">
      <w:r>
        <w:rPr>
          <w:iCs/>
        </w:rPr>
        <w:t xml:space="preserve">China, Russia and the </w:t>
      </w:r>
      <w:r w:rsidRPr="0065668A">
        <w:rPr>
          <w:iCs/>
        </w:rPr>
        <w:t>African Telecommunications Union (</w:t>
      </w:r>
      <w:r>
        <w:rPr>
          <w:iCs/>
        </w:rPr>
        <w:t>ATU) were the main proponents at WRC-19 for inclusion of this agenda item. Although some of these bands had previously been studied</w:t>
      </w:r>
      <w:r w:rsidR="0047476E">
        <w:rPr>
          <w:iCs/>
        </w:rPr>
        <w:t>,</w:t>
      </w:r>
      <w:r>
        <w:rPr>
          <w:iCs/>
        </w:rPr>
        <w:t xml:space="preserve"> it was argued that the introduction of 5G may give rise to different outcomes.</w:t>
      </w:r>
    </w:p>
    <w:p w14:paraId="268496FD" w14:textId="12A6DC0C" w:rsidR="00F142F0" w:rsidRDefault="00F142F0" w:rsidP="00F142F0">
      <w:pPr>
        <w:pStyle w:val="Heading2"/>
      </w:pPr>
      <w:bookmarkStart w:id="57" w:name="_Toc68612246"/>
      <w:r>
        <w:t>US</w:t>
      </w:r>
      <w:bookmarkEnd w:id="57"/>
    </w:p>
    <w:p w14:paraId="47A12068" w14:textId="2E94845E" w:rsidR="00F142F0" w:rsidRDefault="00F142F0" w:rsidP="00F142F0">
      <w:pPr>
        <w:pStyle w:val="Heading3"/>
      </w:pPr>
      <w:bookmarkStart w:id="58" w:name="_Toc68167257"/>
      <w:bookmarkStart w:id="59" w:name="_Toc68612247"/>
      <w:r>
        <w:t xml:space="preserve">5 GHz </w:t>
      </w:r>
      <w:r w:rsidR="0047476E">
        <w:t>b</w:t>
      </w:r>
      <w:r>
        <w:t>and</w:t>
      </w:r>
      <w:bookmarkEnd w:id="58"/>
      <w:bookmarkEnd w:id="59"/>
    </w:p>
    <w:p w14:paraId="0B650DFA" w14:textId="648BACF3" w:rsidR="00F142F0" w:rsidRDefault="00F142F0" w:rsidP="00AC3DB0">
      <w:pPr>
        <w:pStyle w:val="Paragraph"/>
      </w:pPr>
      <w:r>
        <w:t>The US ha</w:t>
      </w:r>
      <w:r w:rsidR="0047476E">
        <w:t>s</w:t>
      </w:r>
      <w:r>
        <w:t xml:space="preserve"> arrangements in place allowing both indoor and outdoor use of RLAN devices in the 5150–5250</w:t>
      </w:r>
      <w:r w:rsidR="0047476E">
        <w:t xml:space="preserve"> MHz </w:t>
      </w:r>
      <w:r>
        <w:t>and 5725–5850 MHz bands</w:t>
      </w:r>
      <w:r w:rsidR="00CC70B5">
        <w:t xml:space="preserve"> with an </w:t>
      </w:r>
      <w:r>
        <w:t xml:space="preserve">EIRP limit </w:t>
      </w:r>
      <w:r w:rsidR="00CC70B5">
        <w:t>of</w:t>
      </w:r>
      <w:r>
        <w:t xml:space="preserve"> 36 dBm</w:t>
      </w:r>
      <w:r w:rsidR="00CC70B5">
        <w:t xml:space="preserve">. In the 5150–5250 MHz range, this </w:t>
      </w:r>
      <w:r>
        <w:t>is a higher power limit than other administrations allow. There are also restrictions on power levels directed above certain elevation angles</w:t>
      </w:r>
      <w:r w:rsidR="00961571">
        <w:t xml:space="preserve">. These are </w:t>
      </w:r>
      <w:r>
        <w:t xml:space="preserve">designed to protect satellite receivers from aggregate interference due to the large number of devices that may be operating on the ground within a satellite’s field of view. The power limits and mask are the same as the FCC later implemented for </w:t>
      </w:r>
      <w:r w:rsidR="0047476E">
        <w:t>‘</w:t>
      </w:r>
      <w:r>
        <w:t>high power</w:t>
      </w:r>
      <w:r w:rsidR="0047476E">
        <w:t>’</w:t>
      </w:r>
      <w:r>
        <w:t xml:space="preserve"> devices in the 6 GHz band – see the next section.</w:t>
      </w:r>
    </w:p>
    <w:p w14:paraId="3ED5DB47" w14:textId="53AB1601" w:rsidR="00F142F0" w:rsidRDefault="00F142F0" w:rsidP="00AC3DB0">
      <w:pPr>
        <w:pStyle w:val="Paragraph"/>
      </w:pPr>
      <w:r>
        <w:t xml:space="preserve">The US was the main proponent of the WRC-19 agenda item that considered this band. </w:t>
      </w:r>
      <w:r w:rsidR="0047476E">
        <w:t>It</w:t>
      </w:r>
      <w:r>
        <w:t xml:space="preserve"> had been domestically permitting the operation of outdoor RLAN systems since 2014 and sought update</w:t>
      </w:r>
      <w:r w:rsidR="0047476E">
        <w:t>s to</w:t>
      </w:r>
      <w:r>
        <w:t xml:space="preserve"> the </w:t>
      </w:r>
      <w:r w:rsidR="0047476E">
        <w:t xml:space="preserve">ITU </w:t>
      </w:r>
      <w:r>
        <w:t>R</w:t>
      </w:r>
      <w:r w:rsidR="00055360">
        <w:t xml:space="preserve">adio </w:t>
      </w:r>
      <w:r>
        <w:t>R</w:t>
      </w:r>
      <w:r w:rsidR="00055360">
        <w:t>egulation</w:t>
      </w:r>
      <w:r>
        <w:t xml:space="preserve">s to match </w:t>
      </w:r>
      <w:r w:rsidR="0047476E">
        <w:t>its</w:t>
      </w:r>
      <w:r>
        <w:t xml:space="preserve"> own domestic arrangements. The</w:t>
      </w:r>
      <w:r w:rsidR="0047476E">
        <w:t xml:space="preserve"> US’s</w:t>
      </w:r>
      <w:r>
        <w:t xml:space="preserve"> proposed changes to the </w:t>
      </w:r>
      <w:r w:rsidR="0047476E">
        <w:t xml:space="preserve">ITU </w:t>
      </w:r>
      <w:r w:rsidR="00055360">
        <w:t xml:space="preserve">Radio </w:t>
      </w:r>
      <w:r>
        <w:t>R</w:t>
      </w:r>
      <w:r w:rsidR="00055360">
        <w:t>egulation</w:t>
      </w:r>
      <w:r>
        <w:t xml:space="preserve">s were not fully adopted by WRC-19 due to concerns that they did not do enough to protect satellite receivers, especially if – as is expected to happen – </w:t>
      </w:r>
      <w:r w:rsidR="0047476E">
        <w:t xml:space="preserve">the </w:t>
      </w:r>
      <w:r>
        <w:t>number of RLAN devices operating in the band greatly increase</w:t>
      </w:r>
      <w:r w:rsidR="0047476E">
        <w:t>s</w:t>
      </w:r>
      <w:r>
        <w:t xml:space="preserve"> in the future.</w:t>
      </w:r>
    </w:p>
    <w:p w14:paraId="2D4A1A1F" w14:textId="65F39026" w:rsidR="00F142F0" w:rsidRDefault="00F142F0" w:rsidP="00AC3DB0">
      <w:pPr>
        <w:pStyle w:val="Paragraph"/>
      </w:pPr>
      <w:r>
        <w:t xml:space="preserve">The updates made to the 5150–5250 MHz band at WRC-19 (as described in the previous section) were </w:t>
      </w:r>
      <w:r w:rsidR="001B324A">
        <w:t>informed by</w:t>
      </w:r>
      <w:r>
        <w:t xml:space="preserve"> the US arrangements but</w:t>
      </w:r>
      <w:r w:rsidR="001B324A">
        <w:t xml:space="preserve"> proposed </w:t>
      </w:r>
      <w:r>
        <w:t>lower maximum power limits.</w:t>
      </w:r>
    </w:p>
    <w:p w14:paraId="0ED8DD40" w14:textId="5D76DA44" w:rsidR="00F142F0" w:rsidRDefault="00F142F0" w:rsidP="00F142F0">
      <w:pPr>
        <w:pStyle w:val="Heading3"/>
      </w:pPr>
      <w:bookmarkStart w:id="60" w:name="_Toc68167258"/>
      <w:bookmarkStart w:id="61" w:name="_Toc68612248"/>
      <w:r>
        <w:lastRenderedPageBreak/>
        <w:t xml:space="preserve">6 GHz </w:t>
      </w:r>
      <w:r w:rsidR="00961571">
        <w:t>b</w:t>
      </w:r>
      <w:r>
        <w:t>and</w:t>
      </w:r>
      <w:bookmarkEnd w:id="60"/>
      <w:bookmarkEnd w:id="61"/>
    </w:p>
    <w:p w14:paraId="30AC8664" w14:textId="5B55F02E" w:rsidR="00F142F0" w:rsidRDefault="00F142F0" w:rsidP="00F142F0">
      <w:pPr>
        <w:pStyle w:val="Paragraph"/>
      </w:pPr>
      <w:r>
        <w:t xml:space="preserve">In April </w:t>
      </w:r>
      <w:r w:rsidR="0047476E">
        <w:t>2020</w:t>
      </w:r>
      <w:r>
        <w:t>, the FCC implemented changes in the 6 </w:t>
      </w:r>
      <w:r w:rsidRPr="00A676AF">
        <w:t>GHz</w:t>
      </w:r>
      <w:r>
        <w:t xml:space="preserve"> band in the US, allowing unlicensed use of the entire 6 GHz band (5925–7125 MHz)</w:t>
      </w:r>
      <w:r w:rsidR="009A17EC">
        <w:t>.</w:t>
      </w:r>
      <w:bookmarkStart w:id="62" w:name="_Ref68597362"/>
      <w:r>
        <w:rPr>
          <w:rStyle w:val="FootnoteReference"/>
        </w:rPr>
        <w:footnoteReference w:id="9"/>
      </w:r>
      <w:bookmarkEnd w:id="62"/>
      <w:r>
        <w:t xml:space="preserve"> The whole band is available for </w:t>
      </w:r>
      <w:r w:rsidRPr="003D2BC5">
        <w:t>low</w:t>
      </w:r>
      <w:r w:rsidR="003D2BC5" w:rsidRPr="00AC3DB0">
        <w:t xml:space="preserve"> </w:t>
      </w:r>
      <w:r w:rsidRPr="003D2BC5">
        <w:t>power in</w:t>
      </w:r>
      <w:r>
        <w:t xml:space="preserve">door use, and most of the band also can be used by devices at higher power levels – both indoor and outdoor – by making use of an AFC system (as described in the </w:t>
      </w:r>
      <w:hyperlink w:anchor="_Automatic_Frequency_Coordination" w:history="1">
        <w:r w:rsidRPr="0022013D">
          <w:rPr>
            <w:rStyle w:val="Hyperlink"/>
          </w:rPr>
          <w:t>Technolog</w:t>
        </w:r>
        <w:r w:rsidR="0095663B">
          <w:rPr>
            <w:rStyle w:val="Hyperlink"/>
          </w:rPr>
          <w:t xml:space="preserve">y </w:t>
        </w:r>
        <w:r w:rsidR="009A17EC">
          <w:rPr>
            <w:rStyle w:val="Hyperlink"/>
          </w:rPr>
          <w:t>f</w:t>
        </w:r>
        <w:r w:rsidR="0095663B">
          <w:rPr>
            <w:rStyle w:val="Hyperlink"/>
          </w:rPr>
          <w:t>eatures</w:t>
        </w:r>
      </w:hyperlink>
      <w:r>
        <w:t xml:space="preserve"> section</w:t>
      </w:r>
      <w:r w:rsidR="0095663B">
        <w:t xml:space="preserve"> of Appendix A</w:t>
      </w:r>
      <w:r>
        <w:t>).</w:t>
      </w:r>
    </w:p>
    <w:p w14:paraId="65AC6F43" w14:textId="0AEBEE7B" w:rsidR="00F142F0" w:rsidRDefault="00F142F0" w:rsidP="00F142F0">
      <w:pPr>
        <w:pStyle w:val="Paragraph"/>
      </w:pPr>
      <w:r>
        <w:t>Devices that do not meet the criteria for indo</w:t>
      </w:r>
      <w:r w:rsidRPr="003D2BC5">
        <w:t>or low</w:t>
      </w:r>
      <w:r w:rsidR="003D2BC5">
        <w:t xml:space="preserve"> </w:t>
      </w:r>
      <w:r w:rsidRPr="003D2BC5">
        <w:t>power o</w:t>
      </w:r>
      <w:r>
        <w:t xml:space="preserve">peration must be able to automatically contact an AFC service on a regular basis (every 24 hours) to report its geographic location and check its allowable operating frequencies and power levels. </w:t>
      </w:r>
    </w:p>
    <w:p w14:paraId="23353B60" w14:textId="508F4E37" w:rsidR="00F142F0" w:rsidRDefault="00F142F0" w:rsidP="00F142F0">
      <w:pPr>
        <w:pStyle w:val="Paragraph"/>
      </w:pPr>
      <w:r>
        <w:t xml:space="preserve">The power limits on unlicensed devices in the 6 GHz band are shown in </w:t>
      </w:r>
      <w:r>
        <w:fldChar w:fldCharType="begin"/>
      </w:r>
      <w:r>
        <w:instrText xml:space="preserve"> REF _Ref53351377 \r \h </w:instrText>
      </w:r>
      <w:r>
        <w:fldChar w:fldCharType="separate"/>
      </w:r>
      <w:r>
        <w:t>Table 2</w:t>
      </w:r>
      <w:r>
        <w:fldChar w:fldCharType="end"/>
      </w:r>
      <w:r>
        <w:t xml:space="preserve">. The </w:t>
      </w:r>
      <w:r w:rsidR="00254674">
        <w:t>high-power</w:t>
      </w:r>
      <w:r>
        <w:t xml:space="preserve"> limits are the same as the existing US limits for unlicensed devices in the 5 GHz band.</w:t>
      </w:r>
      <w:r w:rsidR="0047476E">
        <w:t xml:space="preserve"> There are also different limits for devices depending on whether they are access points or client devices.</w:t>
      </w:r>
    </w:p>
    <w:p w14:paraId="4C33AA24" w14:textId="3026C1D5" w:rsidR="00F142F0" w:rsidRDefault="00F142F0" w:rsidP="00F142F0">
      <w:pPr>
        <w:pStyle w:val="Tableheading"/>
      </w:pPr>
      <w:bookmarkStart w:id="63" w:name="_Ref53351377"/>
      <w:r>
        <w:t>Maximum power levels for 6 GHz unlicensed devices in the US</w:t>
      </w:r>
      <w:bookmarkEnd w:id="63"/>
    </w:p>
    <w:tbl>
      <w:tblPr>
        <w:tblStyle w:val="ACMAtablestyle"/>
        <w:tblW w:w="5000" w:type="pct"/>
        <w:tblLayout w:type="fixed"/>
        <w:tblLook w:val="01E0" w:firstRow="1" w:lastRow="1" w:firstColumn="1" w:lastColumn="1" w:noHBand="0" w:noVBand="0"/>
        <w:tblCaption w:val="Table title to go here"/>
        <w:tblDescription w:val="Table description to go here"/>
      </w:tblPr>
      <w:tblGrid>
        <w:gridCol w:w="1054"/>
        <w:gridCol w:w="1918"/>
        <w:gridCol w:w="2268"/>
        <w:gridCol w:w="2421"/>
      </w:tblGrid>
      <w:tr w:rsidR="00F142F0" w:rsidRPr="006D46E5" w14:paraId="0FC8756E" w14:textId="77777777" w:rsidTr="002E2455">
        <w:trPr>
          <w:cnfStyle w:val="100000000000" w:firstRow="1" w:lastRow="0" w:firstColumn="0" w:lastColumn="0" w:oddVBand="0" w:evenVBand="0" w:oddHBand="0" w:evenHBand="0" w:firstRowFirstColumn="0" w:firstRowLastColumn="0" w:lastRowFirstColumn="0" w:lastRowLastColumn="0"/>
        </w:trPr>
        <w:tc>
          <w:tcPr>
            <w:tcW w:w="2972" w:type="dxa"/>
            <w:gridSpan w:val="2"/>
            <w:vAlign w:val="center"/>
          </w:tcPr>
          <w:p w14:paraId="7512FFDE" w14:textId="77777777" w:rsidR="00F142F0" w:rsidRDefault="00F142F0" w:rsidP="002E2455">
            <w:pPr>
              <w:pStyle w:val="Tableheaderrow"/>
              <w:jc w:val="center"/>
            </w:pPr>
            <w:r>
              <w:t>Device type</w:t>
            </w:r>
          </w:p>
        </w:tc>
        <w:tc>
          <w:tcPr>
            <w:tcW w:w="2268" w:type="dxa"/>
          </w:tcPr>
          <w:p w14:paraId="74EECADA" w14:textId="77777777" w:rsidR="00F142F0" w:rsidRPr="00930510" w:rsidRDefault="00F142F0" w:rsidP="002E2455">
            <w:pPr>
              <w:pStyle w:val="Tableheaderrow"/>
              <w:jc w:val="center"/>
            </w:pPr>
            <w:r>
              <w:t>Power limit (EIRP)</w:t>
            </w:r>
            <w:r>
              <w:br/>
              <w:t>dBm</w:t>
            </w:r>
          </w:p>
        </w:tc>
        <w:tc>
          <w:tcPr>
            <w:tcW w:w="2421" w:type="dxa"/>
          </w:tcPr>
          <w:p w14:paraId="07E8F9EC" w14:textId="77777777" w:rsidR="00F142F0" w:rsidRPr="00930510" w:rsidRDefault="00F142F0" w:rsidP="002E2455">
            <w:pPr>
              <w:pStyle w:val="Tableheaderrow"/>
              <w:jc w:val="center"/>
            </w:pPr>
            <w:r>
              <w:t>Power density limit</w:t>
            </w:r>
            <w:r>
              <w:br/>
              <w:t>dBm/MHz</w:t>
            </w:r>
          </w:p>
        </w:tc>
      </w:tr>
      <w:tr w:rsidR="00F142F0" w:rsidRPr="006D46E5" w14:paraId="51C951F4" w14:textId="77777777" w:rsidTr="002E2455">
        <w:trPr>
          <w:cnfStyle w:val="000000100000" w:firstRow="0" w:lastRow="0" w:firstColumn="0" w:lastColumn="0" w:oddVBand="0" w:evenVBand="0" w:oddHBand="1" w:evenHBand="0" w:firstRowFirstColumn="0" w:firstRowLastColumn="0" w:lastRowFirstColumn="0" w:lastRowLastColumn="0"/>
        </w:trPr>
        <w:tc>
          <w:tcPr>
            <w:tcW w:w="1054" w:type="dxa"/>
            <w:vMerge w:val="restart"/>
            <w:vAlign w:val="center"/>
          </w:tcPr>
          <w:p w14:paraId="184DB443" w14:textId="77777777" w:rsidR="00F142F0" w:rsidRPr="00930510" w:rsidRDefault="00F142F0" w:rsidP="002E2455">
            <w:pPr>
              <w:pStyle w:val="TableBody"/>
            </w:pPr>
            <w:r>
              <w:t>High power</w:t>
            </w:r>
          </w:p>
        </w:tc>
        <w:tc>
          <w:tcPr>
            <w:tcW w:w="1918" w:type="dxa"/>
          </w:tcPr>
          <w:p w14:paraId="780923C3" w14:textId="77777777" w:rsidR="00F142F0" w:rsidRDefault="00F142F0" w:rsidP="002E2455">
            <w:pPr>
              <w:pStyle w:val="TableBody"/>
            </w:pPr>
            <w:r>
              <w:t>AFC device</w:t>
            </w:r>
          </w:p>
        </w:tc>
        <w:tc>
          <w:tcPr>
            <w:tcW w:w="2268" w:type="dxa"/>
          </w:tcPr>
          <w:p w14:paraId="11ADDD3D" w14:textId="77777777" w:rsidR="00F142F0" w:rsidRPr="00930510" w:rsidRDefault="00F142F0" w:rsidP="002E2455">
            <w:pPr>
              <w:pStyle w:val="TableBody"/>
              <w:jc w:val="center"/>
            </w:pPr>
            <w:r>
              <w:t>36</w:t>
            </w:r>
          </w:p>
        </w:tc>
        <w:tc>
          <w:tcPr>
            <w:tcW w:w="2421" w:type="dxa"/>
          </w:tcPr>
          <w:p w14:paraId="560D2821" w14:textId="77777777" w:rsidR="00F142F0" w:rsidRPr="00930510" w:rsidRDefault="00F142F0" w:rsidP="002E2455">
            <w:pPr>
              <w:pStyle w:val="TableBody"/>
              <w:jc w:val="center"/>
            </w:pPr>
            <w:r>
              <w:t>23</w:t>
            </w:r>
          </w:p>
        </w:tc>
      </w:tr>
      <w:tr w:rsidR="00F142F0" w:rsidRPr="006D46E5" w14:paraId="2A69B7C3" w14:textId="77777777" w:rsidTr="002E2455">
        <w:trPr>
          <w:cnfStyle w:val="000000010000" w:firstRow="0" w:lastRow="0" w:firstColumn="0" w:lastColumn="0" w:oddVBand="0" w:evenVBand="0" w:oddHBand="0" w:evenHBand="1" w:firstRowFirstColumn="0" w:firstRowLastColumn="0" w:lastRowFirstColumn="0" w:lastRowLastColumn="0"/>
        </w:trPr>
        <w:tc>
          <w:tcPr>
            <w:tcW w:w="1054" w:type="dxa"/>
            <w:vMerge/>
          </w:tcPr>
          <w:p w14:paraId="3359E0EC" w14:textId="77777777" w:rsidR="00F142F0" w:rsidRPr="00930510" w:rsidRDefault="00F142F0" w:rsidP="002E2455">
            <w:pPr>
              <w:pStyle w:val="TableBody"/>
            </w:pPr>
          </w:p>
        </w:tc>
        <w:tc>
          <w:tcPr>
            <w:tcW w:w="1918" w:type="dxa"/>
          </w:tcPr>
          <w:p w14:paraId="1A168B10" w14:textId="77777777" w:rsidR="00F142F0" w:rsidRDefault="00F142F0" w:rsidP="002E2455">
            <w:pPr>
              <w:pStyle w:val="TableBody"/>
            </w:pPr>
            <w:r>
              <w:t>Client</w:t>
            </w:r>
          </w:p>
        </w:tc>
        <w:tc>
          <w:tcPr>
            <w:tcW w:w="2268" w:type="dxa"/>
          </w:tcPr>
          <w:p w14:paraId="6DE1A9AB" w14:textId="77777777" w:rsidR="00F142F0" w:rsidRPr="00930510" w:rsidRDefault="00F142F0" w:rsidP="002E2455">
            <w:pPr>
              <w:pStyle w:val="TableBody"/>
              <w:jc w:val="center"/>
            </w:pPr>
            <w:r>
              <w:t>30</w:t>
            </w:r>
          </w:p>
        </w:tc>
        <w:tc>
          <w:tcPr>
            <w:tcW w:w="2421" w:type="dxa"/>
          </w:tcPr>
          <w:p w14:paraId="0537028E" w14:textId="77777777" w:rsidR="00F142F0" w:rsidRPr="00930510" w:rsidRDefault="00F142F0" w:rsidP="002E2455">
            <w:pPr>
              <w:pStyle w:val="TableBody"/>
              <w:jc w:val="center"/>
            </w:pPr>
            <w:r>
              <w:t>17</w:t>
            </w:r>
          </w:p>
        </w:tc>
      </w:tr>
      <w:tr w:rsidR="00F142F0" w:rsidRPr="006D46E5" w14:paraId="1171BD74" w14:textId="77777777" w:rsidTr="002E2455">
        <w:trPr>
          <w:cnfStyle w:val="000000100000" w:firstRow="0" w:lastRow="0" w:firstColumn="0" w:lastColumn="0" w:oddVBand="0" w:evenVBand="0" w:oddHBand="1" w:evenHBand="0" w:firstRowFirstColumn="0" w:firstRowLastColumn="0" w:lastRowFirstColumn="0" w:lastRowLastColumn="0"/>
        </w:trPr>
        <w:tc>
          <w:tcPr>
            <w:tcW w:w="1054" w:type="dxa"/>
            <w:vMerge w:val="restart"/>
            <w:vAlign w:val="center"/>
          </w:tcPr>
          <w:p w14:paraId="34BB73D4" w14:textId="77777777" w:rsidR="00F142F0" w:rsidRPr="00930510" w:rsidRDefault="00F142F0" w:rsidP="002E2455">
            <w:pPr>
              <w:pStyle w:val="TableBody"/>
            </w:pPr>
            <w:r>
              <w:t>Low power</w:t>
            </w:r>
          </w:p>
        </w:tc>
        <w:tc>
          <w:tcPr>
            <w:tcW w:w="1918" w:type="dxa"/>
          </w:tcPr>
          <w:p w14:paraId="16576A81" w14:textId="77777777" w:rsidR="00F142F0" w:rsidRPr="00930510" w:rsidRDefault="00F142F0" w:rsidP="002E2455">
            <w:pPr>
              <w:pStyle w:val="TableBody"/>
            </w:pPr>
          </w:p>
        </w:tc>
        <w:tc>
          <w:tcPr>
            <w:tcW w:w="2268" w:type="dxa"/>
          </w:tcPr>
          <w:p w14:paraId="329D8C37" w14:textId="77777777" w:rsidR="00F142F0" w:rsidRPr="00930510" w:rsidRDefault="00F142F0" w:rsidP="002E2455">
            <w:pPr>
              <w:pStyle w:val="TableBody"/>
              <w:jc w:val="center"/>
            </w:pPr>
            <w:r>
              <w:t>30</w:t>
            </w:r>
          </w:p>
        </w:tc>
        <w:tc>
          <w:tcPr>
            <w:tcW w:w="2421" w:type="dxa"/>
          </w:tcPr>
          <w:p w14:paraId="6118DA0B" w14:textId="77777777" w:rsidR="00F142F0" w:rsidRPr="00930510" w:rsidRDefault="00F142F0" w:rsidP="002E2455">
            <w:pPr>
              <w:pStyle w:val="TableBody"/>
              <w:jc w:val="center"/>
            </w:pPr>
            <w:r>
              <w:t>5*</w:t>
            </w:r>
          </w:p>
        </w:tc>
      </w:tr>
      <w:tr w:rsidR="00F142F0" w:rsidRPr="006D46E5" w14:paraId="0D9542A0" w14:textId="77777777" w:rsidTr="002E2455">
        <w:trPr>
          <w:cnfStyle w:val="000000010000" w:firstRow="0" w:lastRow="0" w:firstColumn="0" w:lastColumn="0" w:oddVBand="0" w:evenVBand="0" w:oddHBand="0" w:evenHBand="1" w:firstRowFirstColumn="0" w:firstRowLastColumn="0" w:lastRowFirstColumn="0" w:lastRowLastColumn="0"/>
        </w:trPr>
        <w:tc>
          <w:tcPr>
            <w:tcW w:w="1054" w:type="dxa"/>
            <w:vMerge/>
          </w:tcPr>
          <w:p w14:paraId="537DBC5E" w14:textId="77777777" w:rsidR="00F142F0" w:rsidRPr="00930510" w:rsidRDefault="00F142F0" w:rsidP="002E2455">
            <w:pPr>
              <w:pStyle w:val="TableBody"/>
            </w:pPr>
          </w:p>
        </w:tc>
        <w:tc>
          <w:tcPr>
            <w:tcW w:w="1918" w:type="dxa"/>
          </w:tcPr>
          <w:p w14:paraId="19B048F4" w14:textId="77777777" w:rsidR="00F142F0" w:rsidRPr="00930510" w:rsidRDefault="00F142F0" w:rsidP="002E2455">
            <w:pPr>
              <w:pStyle w:val="TableBody"/>
            </w:pPr>
            <w:r>
              <w:t>Client</w:t>
            </w:r>
          </w:p>
        </w:tc>
        <w:tc>
          <w:tcPr>
            <w:tcW w:w="2268" w:type="dxa"/>
          </w:tcPr>
          <w:p w14:paraId="1AEB7436" w14:textId="77777777" w:rsidR="00F142F0" w:rsidRPr="00930510" w:rsidRDefault="00F142F0" w:rsidP="002E2455">
            <w:pPr>
              <w:pStyle w:val="TableBody"/>
              <w:jc w:val="center"/>
            </w:pPr>
            <w:r>
              <w:t>24</w:t>
            </w:r>
          </w:p>
        </w:tc>
        <w:tc>
          <w:tcPr>
            <w:tcW w:w="2421" w:type="dxa"/>
          </w:tcPr>
          <w:p w14:paraId="55D5FE9A" w14:textId="77777777" w:rsidR="00F142F0" w:rsidRPr="00930510" w:rsidRDefault="00F142F0" w:rsidP="002E2455">
            <w:pPr>
              <w:pStyle w:val="TableBody"/>
              <w:jc w:val="center"/>
            </w:pPr>
            <w:r>
              <w:t>-1</w:t>
            </w:r>
          </w:p>
        </w:tc>
      </w:tr>
    </w:tbl>
    <w:p w14:paraId="32299E16" w14:textId="77777777" w:rsidR="00F142F0" w:rsidRDefault="00F142F0" w:rsidP="00AC3DB0">
      <w:pPr>
        <w:pStyle w:val="Tableorfigurenote"/>
      </w:pPr>
      <w:r>
        <w:t>* Ongoing consultation has proposed increasing this value to 8 dBm/MHz.</w:t>
      </w:r>
    </w:p>
    <w:p w14:paraId="01A2810C" w14:textId="69E443E6" w:rsidR="00F142F0" w:rsidRDefault="00F142F0" w:rsidP="00F142F0">
      <w:pPr>
        <w:pStyle w:val="Paragraph"/>
      </w:pPr>
      <w:r>
        <w:t>The AFC is designed to protect devices with fixed locations registered with the ULS – these are mainly fixed links. The fixed satellite service (uplink) is protected from receiving interference from aggregate signals from a large number of devices on the ground via antenna pointing restriction</w:t>
      </w:r>
      <w:r w:rsidRPr="003D2BC5">
        <w:t>s – higher power dev</w:t>
      </w:r>
      <w:r>
        <w:t>ices must not radiate more than 21</w:t>
      </w:r>
      <w:r w:rsidR="00BD5FD1">
        <w:t> </w:t>
      </w:r>
      <w:r>
        <w:t>dBm in a direction 30 degrees or more above horizontal. Radio astronomy sites are protected via geographic exclusion zones.</w:t>
      </w:r>
    </w:p>
    <w:p w14:paraId="2A362F3C" w14:textId="4C7B1ABF" w:rsidR="00980F6B" w:rsidRDefault="00F142F0" w:rsidP="00F142F0">
      <w:pPr>
        <w:pStyle w:val="Paragraph"/>
      </w:pPr>
      <w:r>
        <w:t>The portions of the band for which only low</w:t>
      </w:r>
      <w:r w:rsidR="003D2BC5">
        <w:t xml:space="preserve"> </w:t>
      </w:r>
      <w:r>
        <w:t xml:space="preserve">power indoor use is permitted are those that contain existing mobile services – used for electronic news gathering (ENG) – </w:t>
      </w:r>
      <w:r w:rsidR="009A17EC">
        <w:t xml:space="preserve">that </w:t>
      </w:r>
      <w:r>
        <w:t xml:space="preserve">cannot be reliably protected via the AFC. This indoor use is envisaged to be for </w:t>
      </w:r>
      <w:r w:rsidR="009A17EC">
        <w:t>w</w:t>
      </w:r>
      <w:r>
        <w:t>i-</w:t>
      </w:r>
      <w:r w:rsidR="009A17EC">
        <w:t>f</w:t>
      </w:r>
      <w:r>
        <w:t>i networks in homes and businesses, and for IoT devices. Adjacent services</w:t>
      </w:r>
      <w:r w:rsidR="009A17EC">
        <w:t>, particularly</w:t>
      </w:r>
      <w:r>
        <w:t xml:space="preserve"> ITS and federal government services – are protected via the imposition of prescribed out-of-band emission limits on RLAN devices.</w:t>
      </w:r>
    </w:p>
    <w:p w14:paraId="150007DC" w14:textId="7945DB96" w:rsidR="00F142F0" w:rsidRDefault="00980F6B" w:rsidP="00F142F0">
      <w:pPr>
        <w:pStyle w:val="Paragraph"/>
      </w:pPr>
      <w:r w:rsidRPr="003D2BC5">
        <w:t xml:space="preserve">High power devices </w:t>
      </w:r>
      <w:r w:rsidR="00F142F0" w:rsidRPr="003D2BC5">
        <w:t>cannot</w:t>
      </w:r>
      <w:r w:rsidR="00F142F0">
        <w:t xml:space="preserve"> be mobile</w:t>
      </w:r>
      <w:r>
        <w:t>, as they must remain at fixed at the location they report to the AFC system</w:t>
      </w:r>
      <w:r w:rsidR="00F142F0">
        <w:t xml:space="preserve">. However, the bottom part of the band (5.925–6.425 GHz) can be used on large passenger aircraft when flying above 10,000 feet to enable high-capacity </w:t>
      </w:r>
      <w:r w:rsidR="009A17EC">
        <w:t>w</w:t>
      </w:r>
      <w:r w:rsidR="00F142F0">
        <w:t>i-</w:t>
      </w:r>
      <w:r w:rsidR="009A17EC">
        <w:t>f</w:t>
      </w:r>
      <w:r w:rsidR="00F142F0">
        <w:t xml:space="preserve">i on planes. </w:t>
      </w:r>
    </w:p>
    <w:p w14:paraId="3D3A4D07" w14:textId="47901F7A" w:rsidR="00F142F0" w:rsidRDefault="00F142F0" w:rsidP="004C3D8A">
      <w:pPr>
        <w:pStyle w:val="Paragraphbeforelist"/>
      </w:pPr>
      <w:r>
        <w:t xml:space="preserve">When the FCC announced </w:t>
      </w:r>
      <w:r w:rsidR="00E7123E">
        <w:t>its</w:t>
      </w:r>
      <w:r>
        <w:t xml:space="preserve"> changes in the 6 GHz band, </w:t>
      </w:r>
      <w:r w:rsidR="00E7123E">
        <w:t>it</w:t>
      </w:r>
      <w:r>
        <w:t xml:space="preserve"> also </w:t>
      </w:r>
      <w:r w:rsidR="00E7123E">
        <w:t>made additional proposals for</w:t>
      </w:r>
      <w:r>
        <w:t xml:space="preserve"> the use of the band.</w:t>
      </w:r>
      <w:r w:rsidR="00F35CB9" w:rsidRPr="00E445DA">
        <w:rPr>
          <w:vertAlign w:val="superscript"/>
        </w:rPr>
        <w:fldChar w:fldCharType="begin"/>
      </w:r>
      <w:r w:rsidR="00F35CB9" w:rsidRPr="00E445DA">
        <w:rPr>
          <w:vertAlign w:val="superscript"/>
        </w:rPr>
        <w:instrText xml:space="preserve"> NOTEREF _Ref68597362 \h </w:instrText>
      </w:r>
      <w:r w:rsidR="00E445DA">
        <w:rPr>
          <w:vertAlign w:val="superscript"/>
        </w:rPr>
        <w:instrText xml:space="preserve"> \* MERGEFORMAT </w:instrText>
      </w:r>
      <w:r w:rsidR="00F35CB9" w:rsidRPr="00E445DA">
        <w:rPr>
          <w:vertAlign w:val="superscript"/>
        </w:rPr>
      </w:r>
      <w:r w:rsidR="00F35CB9" w:rsidRPr="00E445DA">
        <w:rPr>
          <w:vertAlign w:val="superscript"/>
        </w:rPr>
        <w:fldChar w:fldCharType="separate"/>
      </w:r>
      <w:r w:rsidR="00F35CB9" w:rsidRPr="00E445DA">
        <w:rPr>
          <w:vertAlign w:val="superscript"/>
        </w:rPr>
        <w:t>8</w:t>
      </w:r>
      <w:r w:rsidR="00F35CB9" w:rsidRPr="00E445DA">
        <w:rPr>
          <w:vertAlign w:val="superscript"/>
        </w:rPr>
        <w:fldChar w:fldCharType="end"/>
      </w:r>
      <w:r>
        <w:t xml:space="preserve"> Some of these proposals are</w:t>
      </w:r>
      <w:r w:rsidR="00E7123E">
        <w:t xml:space="preserve"> to</w:t>
      </w:r>
      <w:r>
        <w:t>:</w:t>
      </w:r>
    </w:p>
    <w:p w14:paraId="00A9D1AD" w14:textId="2FD6D35A" w:rsidR="00F142F0" w:rsidRDefault="00E7123E" w:rsidP="00E445DA">
      <w:pPr>
        <w:pStyle w:val="Bulletlevel1"/>
      </w:pPr>
      <w:r>
        <w:t>a</w:t>
      </w:r>
      <w:r w:rsidR="00F142F0">
        <w:t xml:space="preserve">llow </w:t>
      </w:r>
      <w:r w:rsidR="009A17EC">
        <w:t>‘</w:t>
      </w:r>
      <w:r w:rsidR="00F142F0">
        <w:t>very low power</w:t>
      </w:r>
      <w:r w:rsidR="009A17EC">
        <w:t>’</w:t>
      </w:r>
      <w:r w:rsidR="00F142F0">
        <w:t xml:space="preserve"> devices to operate at a maximum 14 dBm</w:t>
      </w:r>
      <w:r>
        <w:t xml:space="preserve"> (</w:t>
      </w:r>
      <w:r w:rsidR="00F142F0">
        <w:t>in all locations</w:t>
      </w:r>
      <w:r>
        <w:t>,</w:t>
      </w:r>
      <w:r w:rsidR="00F142F0">
        <w:t xml:space="preserve"> without AFC use</w:t>
      </w:r>
      <w:r>
        <w:t>)</w:t>
      </w:r>
    </w:p>
    <w:p w14:paraId="0DDD7BF2" w14:textId="5F76E196" w:rsidR="00F142F0" w:rsidRDefault="00E7123E" w:rsidP="00E445DA">
      <w:pPr>
        <w:pStyle w:val="Bulletlevel1"/>
      </w:pPr>
      <w:r>
        <w:t>i</w:t>
      </w:r>
      <w:r w:rsidR="00F142F0">
        <w:t>ncreas</w:t>
      </w:r>
      <w:r>
        <w:t xml:space="preserve">e </w:t>
      </w:r>
      <w:r w:rsidR="00F142F0">
        <w:t>the permitted power spectral density (PSD</w:t>
      </w:r>
      <w:r w:rsidR="00F142F0" w:rsidRPr="003D2BC5">
        <w:t>) of low power device</w:t>
      </w:r>
      <w:r w:rsidR="00F142F0">
        <w:t xml:space="preserve">s to 8 dBm/MHz (see </w:t>
      </w:r>
      <w:r w:rsidR="0095663B">
        <w:fldChar w:fldCharType="begin"/>
      </w:r>
      <w:r w:rsidR="0095663B">
        <w:instrText xml:space="preserve"> REF _Ref53351377 \r \h </w:instrText>
      </w:r>
      <w:r w:rsidR="009A17EC">
        <w:instrText xml:space="preserve"> \* MERGEFORMAT </w:instrText>
      </w:r>
      <w:r w:rsidR="0095663B">
        <w:fldChar w:fldCharType="separate"/>
      </w:r>
      <w:r w:rsidR="0095663B">
        <w:t>Table 2</w:t>
      </w:r>
      <w:r w:rsidR="0095663B">
        <w:fldChar w:fldCharType="end"/>
      </w:r>
      <w:r w:rsidR="00F142F0">
        <w:t>)</w:t>
      </w:r>
    </w:p>
    <w:p w14:paraId="04E898D5" w14:textId="6EB912AD" w:rsidR="00F142F0" w:rsidRDefault="00E7123E" w:rsidP="00E445DA">
      <w:pPr>
        <w:pStyle w:val="Bulletlevel1"/>
      </w:pPr>
      <w:r>
        <w:lastRenderedPageBreak/>
        <w:t>a</w:t>
      </w:r>
      <w:r w:rsidR="00F142F0">
        <w:t>llow mobile devices to be used if they are under control o</w:t>
      </w:r>
      <w:r w:rsidR="00F142F0" w:rsidRPr="003D2BC5">
        <w:t>f an AFC-connecte</w:t>
      </w:r>
      <w:r w:rsidR="00F142F0">
        <w:t>d device</w:t>
      </w:r>
    </w:p>
    <w:p w14:paraId="6A3BDEE8" w14:textId="6371EE2B" w:rsidR="00F142F0" w:rsidRDefault="00E7123E" w:rsidP="00E445DA">
      <w:pPr>
        <w:pStyle w:val="Bulletlevel1last"/>
      </w:pPr>
      <w:r>
        <w:t>a</w:t>
      </w:r>
      <w:r w:rsidR="00F142F0">
        <w:t>llow higher powers for devices that are used only for a fixed point-to-point application.</w:t>
      </w:r>
    </w:p>
    <w:p w14:paraId="15E36355" w14:textId="6D350F8D" w:rsidR="00F142F0" w:rsidRDefault="00F142F0" w:rsidP="00F142F0">
      <w:pPr>
        <w:pStyle w:val="Heading2"/>
        <w:keepLines/>
      </w:pPr>
      <w:bookmarkStart w:id="64" w:name="_Toc68612249"/>
      <w:r>
        <w:t>Europe</w:t>
      </w:r>
      <w:bookmarkEnd w:id="64"/>
    </w:p>
    <w:p w14:paraId="4F666508" w14:textId="12BA0E8A" w:rsidR="00F142F0" w:rsidRPr="00B848DF" w:rsidRDefault="00F142F0" w:rsidP="00F142F0">
      <w:pPr>
        <w:pStyle w:val="Heading3"/>
      </w:pPr>
      <w:bookmarkStart w:id="65" w:name="_Toc68167260"/>
      <w:bookmarkStart w:id="66" w:name="_Toc68612250"/>
      <w:r w:rsidRPr="00B848DF">
        <w:t xml:space="preserve">5 GHz </w:t>
      </w:r>
      <w:r w:rsidR="00E7123E">
        <w:t>b</w:t>
      </w:r>
      <w:r w:rsidRPr="00B848DF">
        <w:t>and</w:t>
      </w:r>
      <w:bookmarkEnd w:id="65"/>
      <w:bookmarkEnd w:id="66"/>
    </w:p>
    <w:p w14:paraId="263EC3BE" w14:textId="77777777" w:rsidR="00F142F0" w:rsidRDefault="00EF1348" w:rsidP="00E445DA">
      <w:pPr>
        <w:pStyle w:val="Paragraphbeforelist"/>
      </w:pPr>
      <w:hyperlink r:id="rId65" w:history="1">
        <w:r w:rsidR="00F142F0" w:rsidRPr="00671B46">
          <w:rPr>
            <w:rStyle w:val="Hyperlink"/>
          </w:rPr>
          <w:t>ECC decision (04)08</w:t>
        </w:r>
      </w:hyperlink>
      <w:r w:rsidR="00F142F0">
        <w:t xml:space="preserve"> sets out the CEPT position on WAS/RLAN operation for the 5 GHz band. That decision was published in 2004 and came into force in 2009. The main elements of that decision are:</w:t>
      </w:r>
    </w:p>
    <w:p w14:paraId="50E80FB6" w14:textId="77777777" w:rsidR="00F142F0" w:rsidRDefault="00F142F0" w:rsidP="00E445DA">
      <w:pPr>
        <w:pStyle w:val="Heading4"/>
      </w:pPr>
      <w:r>
        <w:t>5150–5350 MHz</w:t>
      </w:r>
    </w:p>
    <w:p w14:paraId="71AFA217" w14:textId="5B711B09" w:rsidR="00F142F0" w:rsidRDefault="00F142F0" w:rsidP="00E445DA">
      <w:pPr>
        <w:pStyle w:val="Bulletlevel1"/>
      </w:pPr>
      <w:r w:rsidRPr="0061127C">
        <w:t>Indoor</w:t>
      </w:r>
      <w:r>
        <w:t xml:space="preserve"> use, with a mean EIRP limit of 200mW</w:t>
      </w:r>
      <w:r w:rsidR="00BD5FD1">
        <w:t xml:space="preserve"> (23 dBm)</w:t>
      </w:r>
      <w:r w:rsidR="0095663B">
        <w:t>.</w:t>
      </w:r>
    </w:p>
    <w:p w14:paraId="79EA388C" w14:textId="58035EF7" w:rsidR="00F142F0" w:rsidRPr="0061127C" w:rsidRDefault="00F142F0" w:rsidP="00E445DA">
      <w:pPr>
        <w:pStyle w:val="Bulletlevel1last"/>
      </w:pPr>
      <w:r>
        <w:t>DFS and TPC required in the upper half of the band (5250–5350 MHz)</w:t>
      </w:r>
      <w:r w:rsidR="0095663B">
        <w:t>.</w:t>
      </w:r>
    </w:p>
    <w:p w14:paraId="29885E27" w14:textId="77777777" w:rsidR="00F142F0" w:rsidRDefault="00F142F0" w:rsidP="00E445DA">
      <w:pPr>
        <w:pStyle w:val="Heading4"/>
      </w:pPr>
      <w:r>
        <w:t>5470–5725 MHz</w:t>
      </w:r>
    </w:p>
    <w:p w14:paraId="6F90CB6B" w14:textId="5069FBBC" w:rsidR="00F142F0" w:rsidRDefault="00F142F0" w:rsidP="00E445DA">
      <w:pPr>
        <w:pStyle w:val="Bulletlevel1"/>
      </w:pPr>
      <w:r w:rsidRPr="00AF7768">
        <w:t>Indoor and outdoor use</w:t>
      </w:r>
      <w:r w:rsidR="0095663B">
        <w:t>.</w:t>
      </w:r>
    </w:p>
    <w:p w14:paraId="20D8AC21" w14:textId="43DB1AC3" w:rsidR="00F142F0" w:rsidRDefault="00F142F0" w:rsidP="00E445DA">
      <w:pPr>
        <w:pStyle w:val="Bulletlevel1"/>
      </w:pPr>
      <w:r>
        <w:t>EIRP limit of 1W</w:t>
      </w:r>
      <w:r w:rsidR="00BD5FD1">
        <w:t xml:space="preserve"> (30 dBm)</w:t>
      </w:r>
      <w:r>
        <w:t xml:space="preserve">, and power density limit of 50mW/MHz </w:t>
      </w:r>
      <w:r w:rsidR="00BD5FD1">
        <w:t xml:space="preserve">(17 dBm) </w:t>
      </w:r>
      <w:r>
        <w:t>in any 1MHz</w:t>
      </w:r>
      <w:r w:rsidR="0095663B">
        <w:t>.</w:t>
      </w:r>
    </w:p>
    <w:p w14:paraId="335022F7" w14:textId="4ED51491" w:rsidR="00F142F0" w:rsidRPr="00AF7768" w:rsidRDefault="00F142F0" w:rsidP="00E445DA">
      <w:pPr>
        <w:pStyle w:val="Bulletlevel1last"/>
      </w:pPr>
      <w:r>
        <w:t>DFS and TPC required</w:t>
      </w:r>
      <w:r w:rsidR="0095663B">
        <w:t>.</w:t>
      </w:r>
    </w:p>
    <w:p w14:paraId="245A2151" w14:textId="3B622103" w:rsidR="00F142F0" w:rsidRDefault="00F142F0" w:rsidP="00F142F0">
      <w:pPr>
        <w:pStyle w:val="Paragraph"/>
      </w:pPr>
      <w:r>
        <w:t xml:space="preserve">The requirements for DFS and TPC stemmed from ITU-R Recommendation M.1652. DFS requires devices to check for radar emissions – mainly for protection of military radars. This was the requirement </w:t>
      </w:r>
      <w:r w:rsidR="009A17EC">
        <w:t xml:space="preserve">that </w:t>
      </w:r>
      <w:r>
        <w:t>the UK recently removed from part of their 5 GHz band that is not covered by this ECC decision (see next section).</w:t>
      </w:r>
    </w:p>
    <w:p w14:paraId="30BCF41F" w14:textId="77777777" w:rsidR="00F142F0" w:rsidRPr="0014214F" w:rsidRDefault="00F142F0" w:rsidP="00F142F0">
      <w:pPr>
        <w:pStyle w:val="Paragraph"/>
        <w:rPr>
          <w:u w:val="single"/>
        </w:rPr>
      </w:pPr>
      <w:r>
        <w:t>The TPC must provide, on average, a mitigation factor of at least 3 dB on the maximum permitted output power.</w:t>
      </w:r>
      <w:r w:rsidDel="001E554A">
        <w:t xml:space="preserve"> </w:t>
      </w:r>
      <w:r>
        <w:t>If TPC is not employed, a device must operate at least 3 dB below the maximum power limit.</w:t>
      </w:r>
    </w:p>
    <w:p w14:paraId="5BEE1EFA" w14:textId="701D8A6C" w:rsidR="00F142F0" w:rsidRPr="00B848DF" w:rsidRDefault="00F142F0" w:rsidP="00F142F0">
      <w:pPr>
        <w:pStyle w:val="Heading3"/>
      </w:pPr>
      <w:bookmarkStart w:id="67" w:name="_Toc68167261"/>
      <w:bookmarkStart w:id="68" w:name="_Toc68612251"/>
      <w:r>
        <w:t xml:space="preserve">6 GHz </w:t>
      </w:r>
      <w:r w:rsidR="00E7123E">
        <w:t>b</w:t>
      </w:r>
      <w:r>
        <w:t>and</w:t>
      </w:r>
      <w:bookmarkEnd w:id="67"/>
      <w:bookmarkEnd w:id="68"/>
    </w:p>
    <w:p w14:paraId="5927553B" w14:textId="033809F4" w:rsidR="00F142F0" w:rsidRDefault="00F142F0" w:rsidP="00F142F0">
      <w:pPr>
        <w:pStyle w:val="Paragraph"/>
      </w:pPr>
      <w:r>
        <w:t xml:space="preserve">Since 2017, the ECC and </w:t>
      </w:r>
      <w:r w:rsidR="00E7123E">
        <w:t>European Telecommunications Standards Institute (</w:t>
      </w:r>
      <w:r>
        <w:t>ETSI</w:t>
      </w:r>
      <w:r w:rsidR="00E7123E">
        <w:t>)</w:t>
      </w:r>
      <w:r>
        <w:t xml:space="preserve"> have both been looking into the possibility of introducing WAS/RLAN in parts of the 6 GHz </w:t>
      </w:r>
      <w:r w:rsidR="00E7123E">
        <w:t>b</w:t>
      </w:r>
      <w:r>
        <w:t>and. ETSI was investigating the 5925–6725 MHz range, however the ECC’s consideration was limited to below 6425 MHz.</w:t>
      </w:r>
    </w:p>
    <w:p w14:paraId="54FD8E4D" w14:textId="77777777" w:rsidR="00F142F0" w:rsidRDefault="00F142F0" w:rsidP="00E445DA">
      <w:pPr>
        <w:pStyle w:val="Paragraphbeforelist"/>
      </w:pPr>
      <w:r>
        <w:t xml:space="preserve">CEPT was subsequently tasked with studying and identifying interference scenarios to identify possible coexistence conditions for RLANs operating within the 5925–6425 MHz band. The first output from this process was </w:t>
      </w:r>
      <w:hyperlink r:id="rId66" w:history="1">
        <w:r w:rsidRPr="00671B46">
          <w:rPr>
            <w:rStyle w:val="Hyperlink"/>
          </w:rPr>
          <w:t>ECC report 302</w:t>
        </w:r>
      </w:hyperlink>
      <w:r>
        <w:t>, which presents sharing studies between WAS/RLAN devices and:</w:t>
      </w:r>
    </w:p>
    <w:p w14:paraId="1E48FFF5" w14:textId="08BE84B1" w:rsidR="00F142F0" w:rsidRDefault="009A17EC" w:rsidP="00B91F53">
      <w:pPr>
        <w:pStyle w:val="Bulletlevel1"/>
      </w:pPr>
      <w:r>
        <w:t>f</w:t>
      </w:r>
      <w:r w:rsidR="00F142F0">
        <w:t>ixed</w:t>
      </w:r>
      <w:r w:rsidR="00E7123E">
        <w:t xml:space="preserve"> services</w:t>
      </w:r>
      <w:r w:rsidR="00F142F0">
        <w:t xml:space="preserve">, </w:t>
      </w:r>
      <w:r w:rsidR="00E7123E">
        <w:t>fixed satellite services (</w:t>
      </w:r>
      <w:r w:rsidR="00F142F0">
        <w:t>FSS</w:t>
      </w:r>
      <w:r w:rsidR="00E7123E">
        <w:t>)</w:t>
      </w:r>
      <w:r w:rsidR="00F142F0">
        <w:t xml:space="preserve"> and mobile services in 5935–6425 MHz</w:t>
      </w:r>
    </w:p>
    <w:p w14:paraId="719027A0" w14:textId="4EA75D69" w:rsidR="00F142F0" w:rsidRDefault="00F142F0" w:rsidP="00B91F53">
      <w:pPr>
        <w:pStyle w:val="Bulletlevel1"/>
      </w:pPr>
      <w:r>
        <w:t xml:space="preserve">ITS and </w:t>
      </w:r>
      <w:r w:rsidR="00E7123E">
        <w:t>communication</w:t>
      </w:r>
      <w:r w:rsidR="009A17EC">
        <w:t>-</w:t>
      </w:r>
      <w:r w:rsidR="00E7123E">
        <w:t xml:space="preserve">based </w:t>
      </w:r>
      <w:r>
        <w:t>train control (CBTC) services in the adjacent 5850–5925 MHz band</w:t>
      </w:r>
    </w:p>
    <w:p w14:paraId="424D2C39" w14:textId="657C09F6" w:rsidR="00F142F0" w:rsidRDefault="009A17EC" w:rsidP="00B91F53">
      <w:pPr>
        <w:pStyle w:val="Bulletlevel1"/>
      </w:pPr>
      <w:r>
        <w:t>r</w:t>
      </w:r>
      <w:r w:rsidR="00F142F0">
        <w:t>adio astronomy in the range 6650–6675.2 MHz</w:t>
      </w:r>
    </w:p>
    <w:p w14:paraId="25A64D5E" w14:textId="46E11C01" w:rsidR="00F142F0" w:rsidRDefault="00F142F0" w:rsidP="00B91F53">
      <w:pPr>
        <w:pStyle w:val="Bulletlevel1last"/>
      </w:pPr>
      <w:r>
        <w:t>UWB devices across the whole band</w:t>
      </w:r>
      <w:r w:rsidR="0095663B">
        <w:t>.</w:t>
      </w:r>
    </w:p>
    <w:p w14:paraId="77F2CDA3" w14:textId="1F9E28F8" w:rsidR="00F142F0" w:rsidRDefault="00F142F0" w:rsidP="00B91F53">
      <w:pPr>
        <w:pStyle w:val="Paragraphbeforelist"/>
      </w:pPr>
      <w:r>
        <w:t xml:space="preserve">Based on that report, CEPT developed </w:t>
      </w:r>
      <w:hyperlink r:id="rId67" w:history="1">
        <w:r w:rsidR="009A17EC" w:rsidRPr="00671B46">
          <w:rPr>
            <w:rStyle w:val="Hyperlink"/>
          </w:rPr>
          <w:t>Report 73</w:t>
        </w:r>
      </w:hyperlink>
      <w:r w:rsidR="009A17EC">
        <w:t xml:space="preserve">, </w:t>
      </w:r>
      <w:r>
        <w:t>which was consulted on and approved during 2019</w:t>
      </w:r>
      <w:r w:rsidR="009A17EC">
        <w:t>–</w:t>
      </w:r>
      <w:r>
        <w:t>20. It referred to the ECC sharing studies to develop recommended parameters for WAS/RLAN devices in order to allow them to operate alongside the abovementioned existing services. Key conclusions of this work included:</w:t>
      </w:r>
    </w:p>
    <w:p w14:paraId="38C7D2C9" w14:textId="11967D40" w:rsidR="00F142F0" w:rsidRDefault="00E7123E" w:rsidP="00B91F53">
      <w:pPr>
        <w:pStyle w:val="Bulletlevel1"/>
      </w:pPr>
      <w:r>
        <w:lastRenderedPageBreak/>
        <w:t>i</w:t>
      </w:r>
      <w:r w:rsidR="00F142F0">
        <w:t xml:space="preserve">ndoor use of devices operating at up to 250mW </w:t>
      </w:r>
      <w:r w:rsidR="00BD5FD1">
        <w:t xml:space="preserve">(24 dBm) </w:t>
      </w:r>
      <w:r w:rsidR="00F142F0">
        <w:t>is feasible</w:t>
      </w:r>
    </w:p>
    <w:p w14:paraId="64EE4A80" w14:textId="554FBAD8" w:rsidR="00F142F0" w:rsidRDefault="00E7123E" w:rsidP="00B91F53">
      <w:pPr>
        <w:pStyle w:val="Bulletlevel1"/>
      </w:pPr>
      <w:r>
        <w:t>a</w:t>
      </w:r>
      <w:r w:rsidR="00F142F0">
        <w:t>ggregate interference into FSS satellite receivers will be significant – high enough to prevent co-existence with these services without some further mitigation measures in place</w:t>
      </w:r>
    </w:p>
    <w:p w14:paraId="24ACF668" w14:textId="77777777" w:rsidR="00F142F0" w:rsidRDefault="00F142F0" w:rsidP="00B91F53">
      <w:pPr>
        <w:pStyle w:val="Bulletlevel1last"/>
      </w:pPr>
      <w:r>
        <w:t xml:space="preserve">CBTC and ITS in the adjacent band can be protected by using guard-bands and/or placing out-of-band emission limits on the WAS/RLAN devices. </w:t>
      </w:r>
    </w:p>
    <w:p w14:paraId="1A75A875" w14:textId="1F2683C2" w:rsidR="00F142F0" w:rsidRPr="00200266" w:rsidRDefault="00F142F0" w:rsidP="00F142F0">
      <w:pPr>
        <w:pStyle w:val="Paragraph"/>
      </w:pPr>
      <w:r>
        <w:t xml:space="preserve">In May 2020, </w:t>
      </w:r>
      <w:hyperlink r:id="rId68" w:history="1">
        <w:r w:rsidRPr="00671B46">
          <w:rPr>
            <w:rStyle w:val="Hyperlink"/>
          </w:rPr>
          <w:t>ECC report 316</w:t>
        </w:r>
      </w:hyperlink>
      <w:r>
        <w:t xml:space="preserve"> was published, looking in more detail at sharing with fixed links, using short-term interference criteria. It used CEPT’s recommended power limits – 200mW </w:t>
      </w:r>
      <w:r w:rsidR="00BD5FD1">
        <w:t xml:space="preserve">(23 dBm) </w:t>
      </w:r>
      <w:r>
        <w:t>indoor and 25mW</w:t>
      </w:r>
      <w:r w:rsidR="00BD5FD1">
        <w:t xml:space="preserve"> (14 dBm)</w:t>
      </w:r>
      <w:r>
        <w:t xml:space="preserve"> outdoor – and found the calculated interference levels to be acceptable based on the parameters used in the study. The ECC also produced several other reports</w:t>
      </w:r>
      <w:r>
        <w:rPr>
          <w:rStyle w:val="FootnoteReference"/>
        </w:rPr>
        <w:footnoteReference w:id="10"/>
      </w:r>
      <w:r>
        <w:t xml:space="preserve"> looking at interference into ITS and CBTC.</w:t>
      </w:r>
    </w:p>
    <w:p w14:paraId="2ECC5E95" w14:textId="2674ACC2" w:rsidR="00F142F0" w:rsidRDefault="00F142F0" w:rsidP="00B91F53">
      <w:pPr>
        <w:pStyle w:val="Paragraphbeforelist"/>
      </w:pPr>
      <w:r>
        <w:t>CEPT Report 75 (November 2020) presented final recommendations on technical conditions for operating WAS/RLAN in the 6 GHz band</w:t>
      </w:r>
      <w:r w:rsidR="00BA6503">
        <w:t>:</w:t>
      </w:r>
    </w:p>
    <w:p w14:paraId="715537F1" w14:textId="4F004786" w:rsidR="00F142F0" w:rsidRDefault="00695998" w:rsidP="00B91F53">
      <w:pPr>
        <w:pStyle w:val="Bulletlevel1"/>
      </w:pPr>
      <w:r>
        <w:t>u</w:t>
      </w:r>
      <w:r w:rsidR="00F142F0">
        <w:t xml:space="preserve">nlicensed use in the band, with </w:t>
      </w:r>
      <w:r>
        <w:t xml:space="preserve">2 </w:t>
      </w:r>
      <w:r w:rsidR="00F142F0">
        <w:t>different power levels:</w:t>
      </w:r>
    </w:p>
    <w:p w14:paraId="6D501322" w14:textId="58C4D17F" w:rsidR="00F142F0" w:rsidRDefault="00695998" w:rsidP="00B91F53">
      <w:pPr>
        <w:pStyle w:val="Bulletlevel2"/>
      </w:pPr>
      <w:r>
        <w:t>l</w:t>
      </w:r>
      <w:r w:rsidR="00F142F0">
        <w:t>ow power (23 dBm, 10 dBm/MHz) for indoor use only</w:t>
      </w:r>
    </w:p>
    <w:p w14:paraId="33FADF7C" w14:textId="11A5CB9B" w:rsidR="00F142F0" w:rsidRDefault="00695998" w:rsidP="00B91F53">
      <w:pPr>
        <w:pStyle w:val="Bulletlevel2"/>
      </w:pPr>
      <w:r>
        <w:t>v</w:t>
      </w:r>
      <w:r w:rsidR="00F142F0">
        <w:t>ery low power (14</w:t>
      </w:r>
      <w:r w:rsidR="00BD5FD1">
        <w:t> </w:t>
      </w:r>
      <w:r w:rsidR="00F142F0">
        <w:t>dBm, 1</w:t>
      </w:r>
      <w:r w:rsidR="00BD5FD1">
        <w:t> </w:t>
      </w:r>
      <w:r w:rsidR="00F142F0">
        <w:t>dBm/MHz)</w:t>
      </w:r>
      <w:r w:rsidR="00BA6503">
        <w:t>.</w:t>
      </w:r>
    </w:p>
    <w:p w14:paraId="3A5C73AF" w14:textId="2080C450" w:rsidR="00F142F0" w:rsidRDefault="00695998" w:rsidP="00B91F53">
      <w:pPr>
        <w:pStyle w:val="Bulletlevel1"/>
      </w:pPr>
      <w:r>
        <w:t>o</w:t>
      </w:r>
      <w:r w:rsidR="00F142F0">
        <w:t>peration starting at 5945 MHz, giving a 20 MHz guard band to protect urban rail ITS</w:t>
      </w:r>
    </w:p>
    <w:p w14:paraId="07CEE009" w14:textId="5AFC2842" w:rsidR="00F142F0" w:rsidRDefault="00F142F0" w:rsidP="00B91F53">
      <w:pPr>
        <w:pStyle w:val="Bulletlevel1"/>
      </w:pPr>
      <w:r>
        <w:noBreakHyphen/>
        <w:t xml:space="preserve">22 dBm/MHz or </w:t>
      </w:r>
      <w:r>
        <w:noBreakHyphen/>
        <w:t xml:space="preserve">45 dBm/MHz (for LPI and VLP </w:t>
      </w:r>
      <w:r w:rsidR="00BA6503">
        <w:t xml:space="preserve">uses </w:t>
      </w:r>
      <w:r>
        <w:t xml:space="preserve">respectively) out-of-band emission limit below 5935 MHz. The VLP value is temporary and will be re-evaluated for 1 January 2025 – the default new value will be </w:t>
      </w:r>
      <w:r>
        <w:noBreakHyphen/>
        <w:t>37 dBm/MHz if no new information is available by then on the use of ITS</w:t>
      </w:r>
    </w:p>
    <w:p w14:paraId="043551E7" w14:textId="06F80416" w:rsidR="00F142F0" w:rsidRDefault="00695998" w:rsidP="00B91F53">
      <w:pPr>
        <w:pStyle w:val="Bulletlevel1"/>
      </w:pPr>
      <w:r>
        <w:t>n</w:t>
      </w:r>
      <w:r w:rsidR="00F142F0">
        <w:t xml:space="preserve">o geolocation feature should be required for enforcing what is operating </w:t>
      </w:r>
      <w:r w:rsidR="00BA6503">
        <w:t>‘</w:t>
      </w:r>
      <w:r w:rsidR="00F142F0">
        <w:t>indoors</w:t>
      </w:r>
      <w:r w:rsidR="00BA6503">
        <w:t>’</w:t>
      </w:r>
      <w:r w:rsidR="00F142F0">
        <w:t>, but individual administrations should consider how to effectively enforce that criteri</w:t>
      </w:r>
      <w:r w:rsidR="00BA6503">
        <w:t>on</w:t>
      </w:r>
      <w:r w:rsidR="00F142F0">
        <w:t>.</w:t>
      </w:r>
    </w:p>
    <w:p w14:paraId="0C93CEE2" w14:textId="52FE96D6" w:rsidR="00F142F0" w:rsidRDefault="00F142F0" w:rsidP="00F142F0">
      <w:pPr>
        <w:pStyle w:val="Heading2"/>
      </w:pPr>
      <w:bookmarkStart w:id="69" w:name="_Toc68612252"/>
      <w:r>
        <w:t>UK</w:t>
      </w:r>
      <w:bookmarkEnd w:id="69"/>
    </w:p>
    <w:p w14:paraId="1D745DEA" w14:textId="04F8FC91" w:rsidR="00F142F0" w:rsidRPr="00B37547" w:rsidRDefault="00F142F0" w:rsidP="00F142F0">
      <w:pPr>
        <w:pStyle w:val="Heading3"/>
      </w:pPr>
      <w:bookmarkStart w:id="70" w:name="_Toc68167263"/>
      <w:bookmarkStart w:id="71" w:name="_Toc68612253"/>
      <w:r w:rsidRPr="00B37547">
        <w:t xml:space="preserve">5 GHz </w:t>
      </w:r>
      <w:r w:rsidR="00BA6503">
        <w:t>b</w:t>
      </w:r>
      <w:r w:rsidRPr="00B37547">
        <w:t>and</w:t>
      </w:r>
      <w:bookmarkEnd w:id="70"/>
      <w:bookmarkEnd w:id="71"/>
    </w:p>
    <w:p w14:paraId="7FE67755" w14:textId="67231B27" w:rsidR="00F142F0" w:rsidRDefault="00F142F0" w:rsidP="00B91F53">
      <w:pPr>
        <w:pStyle w:val="Paragraphbeforelist"/>
      </w:pPr>
      <w:r>
        <w:t>In July 2020, Ofcom</w:t>
      </w:r>
      <w:r w:rsidR="00BA6503">
        <w:t xml:space="preserve"> r</w:t>
      </w:r>
      <w:r>
        <w:t xml:space="preserve">emoved the requirement for some devices </w:t>
      </w:r>
      <w:r w:rsidR="00BA6503">
        <w:t>operating in the</w:t>
      </w:r>
      <w:r>
        <w:t xml:space="preserve"> 5725–5850 </w:t>
      </w:r>
      <w:r w:rsidR="00BA6503">
        <w:t>M</w:t>
      </w:r>
      <w:r>
        <w:t xml:space="preserve">Hz </w:t>
      </w:r>
      <w:r w:rsidR="00BA6503">
        <w:t xml:space="preserve">frequency range </w:t>
      </w:r>
      <w:r>
        <w:t>to scan for radar transmissions before operating (</w:t>
      </w:r>
      <w:r w:rsidR="00695998">
        <w:t xml:space="preserve">that is, </w:t>
      </w:r>
      <w:r>
        <w:t>DFS). This change applies only to low power (up to 200 mW) indoor devices.</w:t>
      </w:r>
      <w:r w:rsidR="00BA6503">
        <w:t xml:space="preserve"> </w:t>
      </w:r>
      <w:r>
        <w:t xml:space="preserve">The requirement had been in place to protect military and meteorological radars. The rationale for these changes </w:t>
      </w:r>
      <w:r w:rsidR="00695998">
        <w:t>was</w:t>
      </w:r>
      <w:r>
        <w:t>:</w:t>
      </w:r>
    </w:p>
    <w:p w14:paraId="477CE3ED" w14:textId="48D59217" w:rsidR="00F142F0" w:rsidRDefault="00F142F0" w:rsidP="00B91F53">
      <w:pPr>
        <w:pStyle w:val="Bulletlevel1"/>
      </w:pPr>
      <w:r>
        <w:t>Lower</w:t>
      </w:r>
      <w:r w:rsidR="003D2BC5">
        <w:t xml:space="preserve"> </w:t>
      </w:r>
      <w:r>
        <w:t>power indoor devices were found to be a very low risk to radars. It was also noted that road toll applications use that frequency range outdoors without the DFS requirement</w:t>
      </w:r>
      <w:r w:rsidR="008E20A4">
        <w:t>.</w:t>
      </w:r>
    </w:p>
    <w:p w14:paraId="1D40DDA1" w14:textId="77777777" w:rsidR="00F142F0" w:rsidRDefault="00F142F0" w:rsidP="00B91F53">
      <w:pPr>
        <w:pStyle w:val="Bulletlevel1last"/>
      </w:pPr>
      <w:r>
        <w:t>The UK was the only jurisdiction to mandate the requirement to scan for radars, meaning most devices manufactured for the rest of the world could not be used there. Consequently, that portion of the band was lightly used in the UK.</w:t>
      </w:r>
    </w:p>
    <w:p w14:paraId="5C833DDB" w14:textId="44525DEA" w:rsidR="00F142F0" w:rsidRDefault="00F142F0" w:rsidP="00F142F0">
      <w:pPr>
        <w:pStyle w:val="Paragraph"/>
      </w:pPr>
      <w:r>
        <w:t xml:space="preserve">In the UK, the band is primarily used by similar services to Australia and the US. Ofcom referred to studies undertaken by CEPT to inform </w:t>
      </w:r>
      <w:r w:rsidR="00646CC6">
        <w:t>its</w:t>
      </w:r>
      <w:r>
        <w:t xml:space="preserve"> decisions around protecting the FSS, Radio </w:t>
      </w:r>
      <w:r w:rsidR="00646CC6">
        <w:t>a</w:t>
      </w:r>
      <w:r>
        <w:t xml:space="preserve">stronomy and UWB, as well as adjacent channel protection of Road-ITS and CBTC. Ofcom also conducted </w:t>
      </w:r>
      <w:r w:rsidR="00646CC6">
        <w:t>its</w:t>
      </w:r>
      <w:r>
        <w:t xml:space="preserve"> own studies on compatibility with fixed links, which were based on the CEPT report but </w:t>
      </w:r>
      <w:r w:rsidR="00695998">
        <w:t xml:space="preserve">used </w:t>
      </w:r>
      <w:r>
        <w:t>real links registered in the UK.</w:t>
      </w:r>
    </w:p>
    <w:p w14:paraId="31E8E8A1" w14:textId="560C05D7" w:rsidR="00F142F0" w:rsidRPr="00B37547" w:rsidRDefault="00F142F0" w:rsidP="00F142F0">
      <w:pPr>
        <w:pStyle w:val="Heading3"/>
      </w:pPr>
      <w:bookmarkStart w:id="72" w:name="_Toc68167264"/>
      <w:bookmarkStart w:id="73" w:name="_Toc68612254"/>
      <w:r w:rsidRPr="00B37547">
        <w:lastRenderedPageBreak/>
        <w:t xml:space="preserve">6 GHz </w:t>
      </w:r>
      <w:r w:rsidR="00646CC6">
        <w:t>b</w:t>
      </w:r>
      <w:r w:rsidRPr="00B37547">
        <w:t>and</w:t>
      </w:r>
      <w:bookmarkEnd w:id="72"/>
      <w:bookmarkEnd w:id="73"/>
    </w:p>
    <w:p w14:paraId="4F313BCF" w14:textId="26E9A084" w:rsidR="00F142F0" w:rsidRPr="003D2BC5" w:rsidRDefault="00F142F0" w:rsidP="00F142F0">
      <w:pPr>
        <w:pStyle w:val="Paragraph"/>
      </w:pPr>
      <w:r>
        <w:t xml:space="preserve">In </w:t>
      </w:r>
      <w:r w:rsidRPr="003D2BC5">
        <w:t xml:space="preserve">January 2020, Ofcom consulted on the potential introduction of RLAN devices into the </w:t>
      </w:r>
      <w:r w:rsidR="0074082A" w:rsidRPr="003D2BC5">
        <w:t>‘</w:t>
      </w:r>
      <w:r w:rsidR="003D2BC5" w:rsidRPr="00B91F53">
        <w:t>l</w:t>
      </w:r>
      <w:r w:rsidRPr="003D2BC5">
        <w:t>ower 6 GHz</w:t>
      </w:r>
      <w:r w:rsidR="0074082A" w:rsidRPr="003D2BC5">
        <w:t>’</w:t>
      </w:r>
      <w:r w:rsidRPr="003D2BC5">
        <w:t xml:space="preserve"> band (5925–6425 </w:t>
      </w:r>
      <w:r w:rsidR="0074082A" w:rsidRPr="003D2BC5">
        <w:t>M</w:t>
      </w:r>
      <w:r w:rsidRPr="003D2BC5">
        <w:t>Hz).</w:t>
      </w:r>
    </w:p>
    <w:p w14:paraId="2ED04D71" w14:textId="4231729A" w:rsidR="00F142F0" w:rsidRDefault="00F142F0" w:rsidP="00F142F0">
      <w:pPr>
        <w:pStyle w:val="Paragraph"/>
      </w:pPr>
      <w:r w:rsidRPr="003D2BC5">
        <w:t>In July 2020, proposals made during that consultation were implemented</w:t>
      </w:r>
      <w:r w:rsidR="00695998" w:rsidRPr="003D2BC5">
        <w:t>.</w:t>
      </w:r>
      <w:r w:rsidRPr="003D2BC5">
        <w:rPr>
          <w:rStyle w:val="FootnoteReference"/>
        </w:rPr>
        <w:footnoteReference w:id="11"/>
      </w:r>
      <w:r w:rsidRPr="003D2BC5">
        <w:t xml:space="preserve"> The UK now allows devices to operate unlicen</w:t>
      </w:r>
      <w:r w:rsidR="00B80D63" w:rsidRPr="003D2BC5">
        <w:t>s</w:t>
      </w:r>
      <w:r w:rsidRPr="003D2BC5">
        <w:t xml:space="preserve">ed in the </w:t>
      </w:r>
      <w:r w:rsidR="003D2BC5" w:rsidRPr="00B91F53">
        <w:t>l</w:t>
      </w:r>
      <w:r w:rsidRPr="003D2BC5">
        <w:t>ower 6 G</w:t>
      </w:r>
      <w:r>
        <w:t xml:space="preserve">Hz band but restricted to indoor use </w:t>
      </w:r>
      <w:r w:rsidR="00BD5FD1">
        <w:t xml:space="preserve">with a </w:t>
      </w:r>
      <w:r>
        <w:t>maximum mean EIRP 250 mW</w:t>
      </w:r>
      <w:r w:rsidR="00BD5FD1">
        <w:t xml:space="preserve"> (24 dBm)</w:t>
      </w:r>
      <w:r>
        <w:t xml:space="preserve">, or </w:t>
      </w:r>
      <w:r w:rsidR="00BD5FD1">
        <w:t xml:space="preserve">very </w:t>
      </w:r>
      <w:r>
        <w:t>low power 25 mW</w:t>
      </w:r>
      <w:r w:rsidR="00BD5FD1">
        <w:t xml:space="preserve"> (14 dBm)</w:t>
      </w:r>
      <w:r>
        <w:t xml:space="preserve"> outdoor. The maximum allowed power density for indoor use is 12.6 mW/MHz</w:t>
      </w:r>
      <w:r w:rsidR="00BD5FD1">
        <w:t xml:space="preserve"> (11 dBm/MHz)</w:t>
      </w:r>
      <w:r>
        <w:t>, allowing 20 MHz channels to be used.</w:t>
      </w:r>
    </w:p>
    <w:p w14:paraId="2D12102D" w14:textId="77777777" w:rsidR="00F142F0" w:rsidRDefault="00F142F0" w:rsidP="001947D6">
      <w:pPr>
        <w:pStyle w:val="Heading2"/>
      </w:pPr>
      <w:bookmarkStart w:id="74" w:name="_Toc68612255"/>
      <w:r>
        <w:t>Canada</w:t>
      </w:r>
      <w:bookmarkEnd w:id="74"/>
    </w:p>
    <w:p w14:paraId="33508CE6" w14:textId="37F35649" w:rsidR="007E4D16" w:rsidRDefault="00F142F0" w:rsidP="00B91F53">
      <w:pPr>
        <w:pStyle w:val="Paragraphbeforelist"/>
      </w:pPr>
      <w:r>
        <w:t xml:space="preserve">In January and February 2021, the Canadian regulator released a consultation </w:t>
      </w:r>
      <w:r w:rsidR="00803DE3">
        <w:t xml:space="preserve">paper </w:t>
      </w:r>
      <w:r>
        <w:t xml:space="preserve">on the future of the 6 GHz band, proposing arrangements similar to those in the US. </w:t>
      </w:r>
      <w:r w:rsidR="00803DE3">
        <w:t>It</w:t>
      </w:r>
      <w:r>
        <w:t xml:space="preserve"> </w:t>
      </w:r>
      <w:r w:rsidR="00695998">
        <w:t xml:space="preserve">proposed </w:t>
      </w:r>
      <w:r>
        <w:t xml:space="preserve">unlicensed use across the entire 1200 MHz range, with </w:t>
      </w:r>
      <w:r w:rsidR="00695998">
        <w:t xml:space="preserve">3 </w:t>
      </w:r>
      <w:r>
        <w:t>different power levels available across different portions of that range</w:t>
      </w:r>
      <w:r w:rsidR="007E4D16">
        <w:t>:</w:t>
      </w:r>
    </w:p>
    <w:p w14:paraId="5F3478D9" w14:textId="0363F9D6" w:rsidR="007E4D16" w:rsidRDefault="00F142F0" w:rsidP="00B91F53">
      <w:pPr>
        <w:pStyle w:val="Bulletlevel1"/>
      </w:pPr>
      <w:r>
        <w:t xml:space="preserve">14 dBm </w:t>
      </w:r>
      <w:r w:rsidR="007E4D16">
        <w:t>‘</w:t>
      </w:r>
      <w:r>
        <w:t>very low power</w:t>
      </w:r>
      <w:r w:rsidR="007E4D16">
        <w:t>’</w:t>
      </w:r>
    </w:p>
    <w:p w14:paraId="63078BC0" w14:textId="77777777" w:rsidR="007E4D16" w:rsidRDefault="00F142F0" w:rsidP="00B91F53">
      <w:pPr>
        <w:pStyle w:val="Bulletlevel1"/>
      </w:pPr>
      <w:r>
        <w:t xml:space="preserve">30 dBm </w:t>
      </w:r>
      <w:r w:rsidR="007E4D16">
        <w:t>‘</w:t>
      </w:r>
      <w:r>
        <w:t>low power</w:t>
      </w:r>
      <w:r w:rsidR="007E4D16">
        <w:t>’</w:t>
      </w:r>
      <w:r>
        <w:t xml:space="preserve"> for indoor use only</w:t>
      </w:r>
    </w:p>
    <w:p w14:paraId="14CE5F39" w14:textId="77777777" w:rsidR="007E4D16" w:rsidRDefault="00F142F0" w:rsidP="00B91F53">
      <w:pPr>
        <w:pStyle w:val="Bulletlevel1last"/>
      </w:pPr>
      <w:r>
        <w:t xml:space="preserve">36 dBm </w:t>
      </w:r>
      <w:r w:rsidR="007E4D16">
        <w:t>for</w:t>
      </w:r>
      <w:r>
        <w:t xml:space="preserve"> devices mak</w:t>
      </w:r>
      <w:r w:rsidR="007E4D16">
        <w:t>ing</w:t>
      </w:r>
      <w:r>
        <w:t xml:space="preserve"> use of an AFC.</w:t>
      </w:r>
    </w:p>
    <w:p w14:paraId="29034FE9" w14:textId="36F29F19" w:rsidR="00F142F0" w:rsidRPr="003D2BC5" w:rsidRDefault="00F142F0" w:rsidP="007E4D16">
      <w:r>
        <w:t xml:space="preserve">The AFC is to be compatible – as much as possible – with the US version, to help deal </w:t>
      </w:r>
      <w:r w:rsidRPr="003D2BC5">
        <w:t>with cross-border coordination.</w:t>
      </w:r>
    </w:p>
    <w:p w14:paraId="7F1D7502" w14:textId="2F80FC31" w:rsidR="00F142F0" w:rsidRPr="000D23DC" w:rsidRDefault="007E4D16" w:rsidP="00F142F0">
      <w:r w:rsidRPr="003D2BC5">
        <w:t>‘</w:t>
      </w:r>
      <w:r w:rsidR="00F142F0" w:rsidRPr="003D2BC5">
        <w:t>Listen-before-talk</w:t>
      </w:r>
      <w:r w:rsidRPr="003D2BC5">
        <w:t>’</w:t>
      </w:r>
      <w:r>
        <w:t xml:space="preserve"> protocols are</w:t>
      </w:r>
      <w:r w:rsidR="00F142F0">
        <w:t xml:space="preserve"> to be implemented on all low and very-low power devices. </w:t>
      </w:r>
      <w:r w:rsidR="00F142F0" w:rsidRPr="003D2BC5">
        <w:t>The higher power devices w</w:t>
      </w:r>
      <w:r w:rsidR="00F142F0">
        <w:t>ill not be able to operate above 6875 MHz to protect ENG services. To protect satellite receivers, there will be restrictions on radiated power in directions above 30 degrees elevation, similar to</w:t>
      </w:r>
      <w:r>
        <w:t xml:space="preserve"> </w:t>
      </w:r>
      <w:r w:rsidR="00F142F0">
        <w:t xml:space="preserve">the ITU </w:t>
      </w:r>
      <w:r>
        <w:t>outcomes from</w:t>
      </w:r>
      <w:r w:rsidR="00F142F0">
        <w:t xml:space="preserve"> WRC-19.</w:t>
      </w:r>
    </w:p>
    <w:p w14:paraId="281EC5FD" w14:textId="77777777" w:rsidR="00F142F0" w:rsidRDefault="00F142F0" w:rsidP="001947D6">
      <w:pPr>
        <w:pStyle w:val="Heading2"/>
      </w:pPr>
      <w:bookmarkStart w:id="75" w:name="_Toc68612256"/>
      <w:r>
        <w:t>South Korea</w:t>
      </w:r>
      <w:bookmarkEnd w:id="75"/>
    </w:p>
    <w:p w14:paraId="3F9E42EB" w14:textId="2420F091" w:rsidR="00F142F0" w:rsidRDefault="00F142F0" w:rsidP="00F142F0">
      <w:pPr>
        <w:pStyle w:val="Paragraph"/>
      </w:pPr>
      <w:r>
        <w:t xml:space="preserve">In July 2020, South Korea’s Ministry of Science and ICT proposed to enable unlicensed access to the entire 6 GHz band for </w:t>
      </w:r>
      <w:r w:rsidR="00A901C8">
        <w:t>RLAN</w:t>
      </w:r>
      <w:r>
        <w:t xml:space="preserve"> use. The proposal was limited to low power </w:t>
      </w:r>
      <w:r w:rsidR="00BD5FD1">
        <w:t xml:space="preserve">indoor use – </w:t>
      </w:r>
      <w:r>
        <w:t>maximum 250 mW</w:t>
      </w:r>
      <w:r w:rsidR="00BD5FD1">
        <w:t xml:space="preserve"> (24 dBm) and</w:t>
      </w:r>
      <w:r>
        <w:t xml:space="preserve"> 2 dBm/MHz</w:t>
      </w:r>
      <w:r w:rsidR="001F3CA1">
        <w:t xml:space="preserve"> –</w:t>
      </w:r>
      <w:r w:rsidR="008D2A87">
        <w:t xml:space="preserve"> </w:t>
      </w:r>
      <w:r>
        <w:t xml:space="preserve">on an interim basis until a frequency sharing system is introduced in 2022. It is part of a broader plan termed </w:t>
      </w:r>
      <w:r w:rsidR="00695998">
        <w:t>‘</w:t>
      </w:r>
      <w:r>
        <w:t>5G+</w:t>
      </w:r>
      <w:r w:rsidR="00695998">
        <w:t>’,</w:t>
      </w:r>
      <w:r>
        <w:t xml:space="preserve"> which is considering making more spectrum available for both licensed (</w:t>
      </w:r>
      <w:r w:rsidR="00695998">
        <w:t xml:space="preserve">for example, </w:t>
      </w:r>
      <w:r>
        <w:t>5G) and unlicensed (</w:t>
      </w:r>
      <w:r w:rsidR="00695998">
        <w:t>for example, w</w:t>
      </w:r>
      <w:r>
        <w:t>i-</w:t>
      </w:r>
      <w:r w:rsidR="00695998">
        <w:t>f</w:t>
      </w:r>
      <w:r>
        <w:t>i) systems.</w:t>
      </w:r>
    </w:p>
    <w:p w14:paraId="3579FA34" w14:textId="16A15973" w:rsidR="00F142F0" w:rsidRPr="00495E32" w:rsidRDefault="00F142F0" w:rsidP="00F142F0">
      <w:pPr>
        <w:pStyle w:val="Paragraph"/>
      </w:pPr>
      <w:r>
        <w:t>On 15 October 2020, the Ministry announced that the proposal would be implemented, enabling the 6 GHz band for RLAN use in South Korea</w:t>
      </w:r>
      <w:r w:rsidR="008D2A87">
        <w:t xml:space="preserve">. Very low power (14 dBm) devices </w:t>
      </w:r>
      <w:r w:rsidR="00FD1E6A">
        <w:t>we</w:t>
      </w:r>
      <w:r w:rsidR="008D2A87">
        <w:t xml:space="preserve">re also </w:t>
      </w:r>
      <w:r w:rsidR="00FD1E6A">
        <w:t xml:space="preserve">included but limited to operate </w:t>
      </w:r>
      <w:r w:rsidR="008D2A87">
        <w:t>in the lower 6 GHz band.</w:t>
      </w:r>
    </w:p>
    <w:p w14:paraId="238065A6" w14:textId="77777777" w:rsidR="00F142F0" w:rsidRPr="005D1067" w:rsidRDefault="00F142F0" w:rsidP="001947D6">
      <w:pPr>
        <w:pStyle w:val="Heading2"/>
      </w:pPr>
      <w:bookmarkStart w:id="76" w:name="_Toc68612257"/>
      <w:r>
        <w:t>Brazil</w:t>
      </w:r>
      <w:bookmarkEnd w:id="76"/>
    </w:p>
    <w:p w14:paraId="630DF9CB" w14:textId="54ACF624" w:rsidR="00B8364D" w:rsidRDefault="00F142F0" w:rsidP="00F142F0">
      <w:pPr>
        <w:pStyle w:val="Paragraph"/>
      </w:pPr>
      <w:r>
        <w:t xml:space="preserve">In April 2020, Brazilian regulator Anatel announced a review of </w:t>
      </w:r>
      <w:r w:rsidR="007E4D16">
        <w:t>its</w:t>
      </w:r>
      <w:r>
        <w:t xml:space="preserve"> domestic regulations, which included floating the possibly of making the whole 6 GHz band (5.925–7.125 GHz) available for RLAN use.</w:t>
      </w:r>
      <w:r w:rsidR="00B37949">
        <w:t xml:space="preserve"> </w:t>
      </w:r>
      <w:r w:rsidR="00B8364D">
        <w:t>In March 202</w:t>
      </w:r>
      <w:r w:rsidR="00B37949">
        <w:t>1</w:t>
      </w:r>
      <w:r w:rsidR="00B8364D">
        <w:t xml:space="preserve">, they announced that the entire band would be made available for </w:t>
      </w:r>
      <w:r w:rsidR="0095663B">
        <w:t>LPI</w:t>
      </w:r>
      <w:r w:rsidR="00B8364D">
        <w:t xml:space="preserve"> (30</w:t>
      </w:r>
      <w:r w:rsidR="00B37949">
        <w:t> </w:t>
      </w:r>
      <w:r w:rsidR="00B8364D">
        <w:t xml:space="preserve">dBm) and </w:t>
      </w:r>
      <w:r w:rsidR="0095663B">
        <w:t>VLP</w:t>
      </w:r>
      <w:r w:rsidR="00B8364D">
        <w:t xml:space="preserve"> (17</w:t>
      </w:r>
      <w:r w:rsidR="00B37949">
        <w:t> </w:t>
      </w:r>
      <w:r w:rsidR="00B8364D">
        <w:t>dBm) devices</w:t>
      </w:r>
    </w:p>
    <w:p w14:paraId="132885A1" w14:textId="21CBB654" w:rsidR="00F142F0" w:rsidRDefault="00F142F0" w:rsidP="001947D6">
      <w:pPr>
        <w:pStyle w:val="Heading2"/>
      </w:pPr>
      <w:bookmarkStart w:id="77" w:name="_Toc68612258"/>
      <w:r>
        <w:lastRenderedPageBreak/>
        <w:t>Other</w:t>
      </w:r>
      <w:r w:rsidR="001B324A">
        <w:t xml:space="preserve"> jurisdictions</w:t>
      </w:r>
      <w:bookmarkEnd w:id="77"/>
    </w:p>
    <w:p w14:paraId="149B3706" w14:textId="031C3B1F" w:rsidR="00F142F0" w:rsidRDefault="00F142F0" w:rsidP="00F142F0">
      <w:pPr>
        <w:pStyle w:val="Paragraph"/>
      </w:pPr>
      <w:r>
        <w:t xml:space="preserve">Chile decided in October 2020 to allow </w:t>
      </w:r>
      <w:r w:rsidR="00A901C8">
        <w:t xml:space="preserve">RLAN devices to operate </w:t>
      </w:r>
      <w:r>
        <w:t>in the whole 5925–7125 MHz range with a 30 dBm limit on indoor devices and 24 dBm for user terminals connected to those devices.</w:t>
      </w:r>
    </w:p>
    <w:p w14:paraId="219AAA3D" w14:textId="52A18814" w:rsidR="00F142F0" w:rsidRDefault="00F142F0" w:rsidP="00F142F0">
      <w:pPr>
        <w:pStyle w:val="Paragraph"/>
      </w:pPr>
      <w:r>
        <w:t>Peru ha</w:t>
      </w:r>
      <w:r w:rsidR="007E4D16">
        <w:t>s</w:t>
      </w:r>
      <w:r>
        <w:t xml:space="preserve"> consulted on use of the bottom 500 MHz (5925–6425 MHz) with the </w:t>
      </w:r>
      <w:r w:rsidR="00923B51">
        <w:t xml:space="preserve">3 </w:t>
      </w:r>
      <w:r>
        <w:t>different power levels being used elsewhere – low power indoor, very low power, and standard power (30 dBm) with the use of an AFC system.</w:t>
      </w:r>
    </w:p>
    <w:p w14:paraId="45819D75" w14:textId="6162A8A8" w:rsidR="00F142F0" w:rsidRDefault="00F142F0" w:rsidP="00F142F0">
      <w:pPr>
        <w:pStyle w:val="Paragraph"/>
      </w:pPr>
      <w:r>
        <w:t xml:space="preserve">Russia </w:t>
      </w:r>
      <w:r w:rsidR="007E4D16">
        <w:t>is</w:t>
      </w:r>
      <w:r>
        <w:t xml:space="preserve"> planning full-scale tests of 6GHz IMT equipment in 2021. </w:t>
      </w:r>
      <w:r w:rsidR="007E4D16">
        <w:t xml:space="preserve">It is </w:t>
      </w:r>
      <w:r>
        <w:t>also one of the main proponents of agenda item 1.2 at WRC-23, for allocating the upper part of the 6 GHz band to IMT.</w:t>
      </w:r>
    </w:p>
    <w:p w14:paraId="18826D4B" w14:textId="72C04BBA" w:rsidR="00F142F0" w:rsidRDefault="00F142F0" w:rsidP="00F142F0">
      <w:pPr>
        <w:pStyle w:val="Paragraph"/>
      </w:pPr>
      <w:r>
        <w:t>Some European countries are considering following the CEPT/ECC recommendations by opening the frequencies up to 6425 MHz for unlicensed use, while leaving the upper part of the band for now, for possible licensed use – for</w:t>
      </w:r>
      <w:r w:rsidR="007E4D16">
        <w:t xml:space="preserve"> example,</w:t>
      </w:r>
      <w:r>
        <w:t xml:space="preserve"> commercial 5G networks.</w:t>
      </w:r>
    </w:p>
    <w:p w14:paraId="5EA79D47" w14:textId="0EB1F498" w:rsidR="00F142F0" w:rsidRDefault="00F142F0" w:rsidP="00F142F0">
      <w:pPr>
        <w:pStyle w:val="Paragraph"/>
      </w:pPr>
      <w:r>
        <w:t xml:space="preserve">This is far from a comprehensive list of administrations who have started planning for changes in the 6 GHz band. Japan, Saudi Arabia, Jordan, Mexico and Argentina are some of the other countries also already looking at arrangements in the band, all of which are proposing arrangements </w:t>
      </w:r>
      <w:r w:rsidR="00BC158E">
        <w:t>that</w:t>
      </w:r>
      <w:r>
        <w:t xml:space="preserve"> are similar to one or more of the countries already discussed.</w:t>
      </w:r>
    </w:p>
    <w:p w14:paraId="019413E5" w14:textId="77777777" w:rsidR="00A4193E" w:rsidRPr="0041233F" w:rsidRDefault="00A4193E" w:rsidP="005B2F0D">
      <w:pPr>
        <w:pStyle w:val="Paragraph"/>
      </w:pPr>
    </w:p>
    <w:sectPr w:rsidR="00A4193E" w:rsidRPr="0041233F" w:rsidSect="00D81582">
      <w:footerReference w:type="even" r:id="rId69"/>
      <w:footerReference w:type="default" r:id="rId70"/>
      <w:pgSz w:w="11906" w:h="16838" w:code="9"/>
      <w:pgMar w:top="1945" w:right="3101" w:bottom="1134" w:left="1134" w:header="709" w:footer="1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7AB5A2" w14:textId="77777777" w:rsidR="005E4ADB" w:rsidRDefault="005E4ADB">
      <w:r>
        <w:separator/>
      </w:r>
    </w:p>
  </w:endnote>
  <w:endnote w:type="continuationSeparator" w:id="0">
    <w:p w14:paraId="26D9066F" w14:textId="77777777" w:rsidR="005E4ADB" w:rsidRDefault="005E4ADB">
      <w:r>
        <w:continuationSeparator/>
      </w:r>
    </w:p>
  </w:endnote>
  <w:endnote w:type="continuationNotice" w:id="1">
    <w:p w14:paraId="0616A0B0" w14:textId="77777777" w:rsidR="005E4ADB" w:rsidRDefault="005E4AD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HelveticaNeueLT Std Lt">
    <w:altName w:val="Arial"/>
    <w:panose1 w:val="020B0403020202020204"/>
    <w:charset w:val="00"/>
    <w:family w:val="swiss"/>
    <w:notTrueType/>
    <w:pitch w:val="variable"/>
    <w:sig w:usb0="800000AF" w:usb1="4000204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Std">
    <w:panose1 w:val="020B0604020202020204"/>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AC5E8F" w14:textId="77777777" w:rsidR="003D0DF7" w:rsidRDefault="003D0DF7" w:rsidP="005E250B">
    <w:pPr>
      <w:pStyle w:val="Footer"/>
      <w:jc w:val="right"/>
    </w:pPr>
    <w:r w:rsidRPr="005E250B">
      <w:rPr>
        <w:noProof/>
        <w:vertAlign w:val="subscript"/>
      </w:rPr>
      <w:drawing>
        <wp:inline distT="0" distB="0" distL="0" distR="0" wp14:anchorId="0DE9B532" wp14:editId="59D90573">
          <wp:extent cx="1066800" cy="277368"/>
          <wp:effectExtent l="0" t="0" r="0" b="0"/>
          <wp:docPr id="15" name="Picture 15" descr="acma.gov.au">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cma.gov.au">
                    <a:hlinkClick r:id="rId1"/>
                  </pic:cNvPr>
                  <pic:cNvPicPr/>
                </pic:nvPicPr>
                <pic:blipFill>
                  <a:blip r:embed="rId2"/>
                  <a:stretch>
                    <a:fillRect/>
                  </a:stretch>
                </pic:blipFill>
                <pic:spPr>
                  <a:xfrm>
                    <a:off x="0" y="0"/>
                    <a:ext cx="1133985" cy="294836"/>
                  </a:xfrm>
                  <a:prstGeom prst="rect">
                    <a:avLst/>
                  </a:prstGeom>
                </pic:spPr>
              </pic:pic>
            </a:graphicData>
          </a:graphic>
        </wp:inline>
      </w:drawing>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3E637D" w14:textId="77777777" w:rsidR="003D0DF7" w:rsidRPr="00622A3B" w:rsidRDefault="003D0DF7" w:rsidP="00447037">
    <w:pPr>
      <w:pStyle w:val="Footer"/>
      <w:framePr w:w="1440" w:h="357" w:hRule="exact" w:vSpace="425" w:wrap="around" w:vAnchor="page" w:hAnchor="page" w:x="7335" w:y="16166"/>
      <w:pBdr>
        <w:top w:val="single" w:sz="4" w:space="1" w:color="auto"/>
      </w:pBdr>
      <w:tabs>
        <w:tab w:val="clear" w:pos="113"/>
        <w:tab w:val="left" w:pos="397"/>
      </w:tabs>
      <w:jc w:val="right"/>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575AC5">
      <w:rPr>
        <w:color w:val="505050"/>
      </w:rPr>
      <w:fldChar w:fldCharType="begin"/>
    </w:r>
    <w:r w:rsidRPr="00575AC5">
      <w:rPr>
        <w:color w:val="505050"/>
      </w:rPr>
      <w:instrText xml:space="preserve"> PAGE  \* Arabic  \* MERGEFORMAT </w:instrText>
    </w:r>
    <w:r w:rsidRPr="00575AC5">
      <w:rPr>
        <w:color w:val="505050"/>
      </w:rPr>
      <w:fldChar w:fldCharType="separate"/>
    </w:r>
    <w:r>
      <w:rPr>
        <w:noProof/>
        <w:color w:val="505050"/>
      </w:rPr>
      <w:t>1</w:t>
    </w:r>
    <w:r w:rsidRPr="00575AC5">
      <w:rPr>
        <w:color w:val="505050"/>
      </w:rPr>
      <w:fldChar w:fldCharType="end"/>
    </w:r>
  </w:p>
  <w:p w14:paraId="285E324D" w14:textId="67B85B4A" w:rsidR="003D0DF7" w:rsidRDefault="003D0DF7" w:rsidP="00970F92">
    <w:pPr>
      <w:tabs>
        <w:tab w:val="left" w:pos="5573"/>
      </w:tabs>
    </w:pPr>
  </w:p>
  <w:p w14:paraId="40BC7B61" w14:textId="77777777" w:rsidR="003D0DF7" w:rsidRDefault="003D0DF7"/>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DC6A96" w14:textId="77777777" w:rsidR="003D0DF7" w:rsidRPr="00622A3B" w:rsidRDefault="003D0DF7" w:rsidP="00447037">
    <w:pPr>
      <w:pStyle w:val="Footer"/>
      <w:framePr w:w="1440" w:h="357" w:hRule="exact" w:vSpace="425" w:wrap="around" w:vAnchor="page" w:hAnchor="page" w:x="7335" w:y="16166"/>
      <w:pBdr>
        <w:top w:val="single" w:sz="4" w:space="1" w:color="auto"/>
      </w:pBdr>
      <w:tabs>
        <w:tab w:val="clear" w:pos="113"/>
        <w:tab w:val="left" w:pos="397"/>
      </w:tabs>
      <w:jc w:val="right"/>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575AC5">
      <w:rPr>
        <w:color w:val="505050"/>
      </w:rPr>
      <w:fldChar w:fldCharType="begin"/>
    </w:r>
    <w:r w:rsidRPr="00575AC5">
      <w:rPr>
        <w:color w:val="505050"/>
      </w:rPr>
      <w:instrText xml:space="preserve"> PAGE  \* Arabic  \* MERGEFORMAT </w:instrText>
    </w:r>
    <w:r w:rsidRPr="00575AC5">
      <w:rPr>
        <w:color w:val="505050"/>
      </w:rPr>
      <w:fldChar w:fldCharType="separate"/>
    </w:r>
    <w:r>
      <w:rPr>
        <w:noProof/>
        <w:color w:val="505050"/>
      </w:rPr>
      <w:t>1</w:t>
    </w:r>
    <w:r w:rsidRPr="00575AC5">
      <w:rPr>
        <w:color w:val="505050"/>
      </w:rPr>
      <w:fldChar w:fldCharType="end"/>
    </w:r>
  </w:p>
  <w:p w14:paraId="65F1C013" w14:textId="77777777" w:rsidR="003D0DF7" w:rsidRPr="00A5474E" w:rsidRDefault="003D0DF7" w:rsidP="00B37949">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46AEF4" w14:textId="77777777" w:rsidR="003D0DF7" w:rsidRPr="00622A3B" w:rsidRDefault="003D0DF7" w:rsidP="00B43262">
    <w:pPr>
      <w:pStyle w:val="FooterLeft"/>
      <w:framePr w:wrap="around" w:x="1141" w:y="16166"/>
      <w:tabs>
        <w:tab w:val="clear" w:pos="113"/>
        <w:tab w:val="right" w:pos="397"/>
      </w:tabs>
    </w:pPr>
    <w:r w:rsidRPr="00575AC5">
      <w:fldChar w:fldCharType="begin"/>
    </w:r>
    <w:r w:rsidRPr="00575AC5">
      <w:instrText xml:space="preserve"> PAGE  \* Arabic  \* MERGEFORMAT </w:instrText>
    </w:r>
    <w:r w:rsidRPr="00575AC5">
      <w:fldChar w:fldCharType="separate"/>
    </w:r>
    <w:r>
      <w:rPr>
        <w:noProof/>
      </w:rPr>
      <w:t>6</w:t>
    </w:r>
    <w:r w:rsidRPr="00575AC5">
      <w:fldChar w:fldCharType="end"/>
    </w:r>
    <w:r w:rsidRPr="0094078F">
      <w:tab/>
    </w:r>
    <w:r w:rsidRPr="00622A3B">
      <w:t>|</w:t>
    </w:r>
    <w:r>
      <w:tab/>
    </w:r>
    <w:r w:rsidRPr="00622A3B">
      <w:rPr>
        <w:b/>
        <w:noProof/>
        <w:spacing w:val="-16"/>
        <w:sz w:val="20"/>
        <w:szCs w:val="20"/>
      </w:rPr>
      <w:t>a</w:t>
    </w:r>
    <w:r w:rsidRPr="00622A3B">
      <w:rPr>
        <w:b/>
        <w:noProof/>
        <w:spacing w:val="-15"/>
        <w:sz w:val="20"/>
        <w:szCs w:val="20"/>
      </w:rPr>
      <w:t>c</w:t>
    </w:r>
    <w:r w:rsidRPr="00622A3B">
      <w:rPr>
        <w:b/>
        <w:noProof/>
        <w:spacing w:val="-16"/>
        <w:sz w:val="20"/>
        <w:szCs w:val="20"/>
      </w:rPr>
      <w:t>m</w:t>
    </w:r>
    <w:r w:rsidRPr="00622A3B">
      <w:rPr>
        <w:b/>
        <w:noProof/>
        <w:spacing w:val="-14"/>
        <w:sz w:val="20"/>
        <w:szCs w:val="20"/>
      </w:rPr>
      <w:t>a</w:t>
    </w:r>
  </w:p>
  <w:p w14:paraId="39B2A859" w14:textId="77777777" w:rsidR="003D0DF7" w:rsidRDefault="003D0DF7"/>
  <w:p w14:paraId="15F132C7" w14:textId="77777777" w:rsidR="003D0DF7" w:rsidRDefault="003D0DF7"/>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C0ADEE" w14:textId="77777777" w:rsidR="003D0DF7" w:rsidRPr="00622A3B" w:rsidRDefault="003D0DF7" w:rsidP="00447037">
    <w:pPr>
      <w:pStyle w:val="Footer"/>
      <w:framePr w:w="1440" w:h="357" w:hRule="exact" w:vSpace="425" w:wrap="around" w:vAnchor="page" w:hAnchor="page" w:x="7335" w:y="16166"/>
      <w:pBdr>
        <w:top w:val="single" w:sz="4" w:space="1" w:color="auto"/>
      </w:pBdr>
      <w:tabs>
        <w:tab w:val="clear" w:pos="113"/>
        <w:tab w:val="left" w:pos="397"/>
      </w:tabs>
      <w:jc w:val="right"/>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575AC5">
      <w:rPr>
        <w:color w:val="505050"/>
      </w:rPr>
      <w:fldChar w:fldCharType="begin"/>
    </w:r>
    <w:r w:rsidRPr="00575AC5">
      <w:rPr>
        <w:color w:val="505050"/>
      </w:rPr>
      <w:instrText xml:space="preserve"> PAGE  \* Arabic  \* MERGEFORMAT </w:instrText>
    </w:r>
    <w:r w:rsidRPr="00575AC5">
      <w:rPr>
        <w:color w:val="505050"/>
      </w:rPr>
      <w:fldChar w:fldCharType="separate"/>
    </w:r>
    <w:r>
      <w:rPr>
        <w:noProof/>
        <w:color w:val="505050"/>
      </w:rPr>
      <w:t>1</w:t>
    </w:r>
    <w:r w:rsidRPr="00575AC5">
      <w:rPr>
        <w:color w:val="505050"/>
      </w:rPr>
      <w:fldChar w:fldCharType="end"/>
    </w:r>
  </w:p>
  <w:p w14:paraId="462C9FE0" w14:textId="77777777" w:rsidR="003D0DF7" w:rsidRDefault="003D0DF7" w:rsidP="00970F92">
    <w:pPr>
      <w:tabs>
        <w:tab w:val="left" w:pos="5573"/>
      </w:tabs>
    </w:pPr>
  </w:p>
  <w:p w14:paraId="38FE3568" w14:textId="77777777" w:rsidR="003D0DF7" w:rsidRDefault="003D0DF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689307" w14:textId="77777777" w:rsidR="003D0DF7" w:rsidRDefault="003D0DF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A9FFE9" w14:textId="77777777" w:rsidR="003D0DF7" w:rsidRDefault="003D0DF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6DD40F" w14:textId="77777777" w:rsidR="003D0DF7" w:rsidRPr="00622A3B" w:rsidRDefault="003D0DF7" w:rsidP="00971914">
    <w:pPr>
      <w:pStyle w:val="Footer"/>
      <w:framePr w:w="1334" w:h="357" w:hRule="exact" w:vSpace="425" w:wrap="around" w:vAnchor="page" w:hAnchor="page" w:x="1156" w:y="16166"/>
      <w:pBdr>
        <w:top w:val="single" w:sz="4" w:space="1" w:color="auto"/>
      </w:pBdr>
      <w:tabs>
        <w:tab w:val="clear" w:pos="113"/>
        <w:tab w:val="left" w:pos="284"/>
      </w:tabs>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2E4DDC">
      <w:rPr>
        <w:color w:val="505050"/>
      </w:rPr>
      <w:fldChar w:fldCharType="begin"/>
    </w:r>
    <w:r w:rsidRPr="002E4DDC">
      <w:rPr>
        <w:color w:val="505050"/>
      </w:rPr>
      <w:instrText xml:space="preserve"> PAGE  \* roman  \* MERGEFORMAT </w:instrText>
    </w:r>
    <w:r w:rsidRPr="002E4DDC">
      <w:rPr>
        <w:color w:val="505050"/>
      </w:rPr>
      <w:fldChar w:fldCharType="separate"/>
    </w:r>
    <w:r>
      <w:rPr>
        <w:noProof/>
        <w:color w:val="505050"/>
      </w:rPr>
      <w:t>iv</w:t>
    </w:r>
    <w:r w:rsidRPr="002E4DDC">
      <w:rPr>
        <w:color w:val="505050"/>
      </w:rPr>
      <w:fldChar w:fldCharType="end"/>
    </w:r>
  </w:p>
  <w:p w14:paraId="506D2CF3" w14:textId="77777777" w:rsidR="003D0DF7" w:rsidRPr="00A5474E" w:rsidRDefault="003D0DF7" w:rsidP="00A5474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D2A11F" w14:textId="77777777" w:rsidR="003D0DF7" w:rsidRPr="00622A3B" w:rsidRDefault="003D0DF7" w:rsidP="00971914">
    <w:pPr>
      <w:pStyle w:val="Footer"/>
      <w:framePr w:w="1334" w:h="357" w:hRule="exact" w:vSpace="425" w:wrap="around" w:vAnchor="page" w:hAnchor="page" w:x="7335" w:y="16166"/>
      <w:pBdr>
        <w:top w:val="single" w:sz="4" w:space="1" w:color="auto"/>
      </w:pBdr>
      <w:tabs>
        <w:tab w:val="clear" w:pos="113"/>
        <w:tab w:val="left" w:pos="284"/>
      </w:tabs>
      <w:jc w:val="right"/>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2E4DDC">
      <w:rPr>
        <w:color w:val="505050"/>
      </w:rPr>
      <w:fldChar w:fldCharType="begin"/>
    </w:r>
    <w:r w:rsidRPr="002E4DDC">
      <w:rPr>
        <w:color w:val="505050"/>
      </w:rPr>
      <w:instrText xml:space="preserve"> PAGE  \* roman  \* MERGEFORMAT </w:instrText>
    </w:r>
    <w:r w:rsidRPr="002E4DDC">
      <w:rPr>
        <w:color w:val="505050"/>
      </w:rPr>
      <w:fldChar w:fldCharType="separate"/>
    </w:r>
    <w:r>
      <w:rPr>
        <w:noProof/>
        <w:color w:val="505050"/>
      </w:rPr>
      <w:t>v</w:t>
    </w:r>
    <w:r w:rsidRPr="002E4DDC">
      <w:rPr>
        <w:color w:val="505050"/>
      </w:rPr>
      <w:fldChar w:fldCharType="end"/>
    </w:r>
  </w:p>
  <w:p w14:paraId="747C186C" w14:textId="77777777" w:rsidR="003D0DF7" w:rsidRPr="00A5474E" w:rsidRDefault="003D0DF7" w:rsidP="00A5474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AB09F5" w14:textId="77777777" w:rsidR="003D0DF7" w:rsidRPr="00622A3B" w:rsidRDefault="003D0DF7" w:rsidP="0094078F">
    <w:pPr>
      <w:pStyle w:val="Footer"/>
      <w:framePr w:w="1334" w:h="357" w:hRule="exact" w:vSpace="425" w:wrap="around" w:vAnchor="page" w:hAnchor="page" w:x="7335" w:y="16166"/>
      <w:pBdr>
        <w:top w:val="single" w:sz="4" w:space="1" w:color="auto"/>
      </w:pBdr>
      <w:tabs>
        <w:tab w:val="clear" w:pos="113"/>
        <w:tab w:val="left" w:pos="284"/>
      </w:tabs>
      <w:jc w:val="right"/>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2E4DDC">
      <w:rPr>
        <w:color w:val="505050"/>
      </w:rPr>
      <w:fldChar w:fldCharType="begin"/>
    </w:r>
    <w:r w:rsidRPr="002E4DDC">
      <w:rPr>
        <w:color w:val="505050"/>
      </w:rPr>
      <w:instrText xml:space="preserve"> PAGE  \* roman  \* MERGEFORMAT </w:instrText>
    </w:r>
    <w:r w:rsidRPr="002E4DDC">
      <w:rPr>
        <w:color w:val="505050"/>
      </w:rPr>
      <w:fldChar w:fldCharType="separate"/>
    </w:r>
    <w:r>
      <w:rPr>
        <w:noProof/>
        <w:color w:val="505050"/>
      </w:rPr>
      <w:t>iii</w:t>
    </w:r>
    <w:r w:rsidRPr="002E4DDC">
      <w:rPr>
        <w:color w:val="505050"/>
      </w:rPr>
      <w:fldChar w:fldCharType="end"/>
    </w:r>
  </w:p>
  <w:p w14:paraId="59A9E4C1" w14:textId="77777777" w:rsidR="003D0DF7" w:rsidRPr="00A5474E" w:rsidRDefault="003D0DF7" w:rsidP="00A5474E">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81C913" w14:textId="77777777" w:rsidR="003D0DF7" w:rsidRPr="00622A3B" w:rsidRDefault="003D0DF7" w:rsidP="00B43262">
    <w:pPr>
      <w:pStyle w:val="FooterLeft"/>
      <w:framePr w:wrap="around" w:x="1141" w:y="16166"/>
      <w:tabs>
        <w:tab w:val="clear" w:pos="113"/>
        <w:tab w:val="right" w:pos="397"/>
      </w:tabs>
    </w:pPr>
    <w:r w:rsidRPr="00575AC5">
      <w:fldChar w:fldCharType="begin"/>
    </w:r>
    <w:r w:rsidRPr="00575AC5">
      <w:instrText xml:space="preserve"> PAGE  \* Arabic  \* MERGEFORMAT </w:instrText>
    </w:r>
    <w:r w:rsidRPr="00575AC5">
      <w:fldChar w:fldCharType="separate"/>
    </w:r>
    <w:r>
      <w:rPr>
        <w:noProof/>
      </w:rPr>
      <w:t>6</w:t>
    </w:r>
    <w:r w:rsidRPr="00575AC5">
      <w:fldChar w:fldCharType="end"/>
    </w:r>
    <w:r w:rsidRPr="0094078F">
      <w:tab/>
    </w:r>
    <w:r w:rsidRPr="00622A3B">
      <w:t>|</w:t>
    </w:r>
    <w:r>
      <w:tab/>
    </w:r>
    <w:r w:rsidRPr="00622A3B">
      <w:rPr>
        <w:b/>
        <w:noProof/>
        <w:spacing w:val="-16"/>
        <w:sz w:val="20"/>
        <w:szCs w:val="20"/>
      </w:rPr>
      <w:t>a</w:t>
    </w:r>
    <w:r w:rsidRPr="00622A3B">
      <w:rPr>
        <w:b/>
        <w:noProof/>
        <w:spacing w:val="-15"/>
        <w:sz w:val="20"/>
        <w:szCs w:val="20"/>
      </w:rPr>
      <w:t>c</w:t>
    </w:r>
    <w:r w:rsidRPr="00622A3B">
      <w:rPr>
        <w:b/>
        <w:noProof/>
        <w:spacing w:val="-16"/>
        <w:sz w:val="20"/>
        <w:szCs w:val="20"/>
      </w:rPr>
      <w:t>m</w:t>
    </w:r>
    <w:r w:rsidRPr="00622A3B">
      <w:rPr>
        <w:b/>
        <w:noProof/>
        <w:spacing w:val="-14"/>
        <w:sz w:val="20"/>
        <w:szCs w:val="20"/>
      </w:rPr>
      <w:t>a</w:t>
    </w:r>
  </w:p>
  <w:p w14:paraId="2AF9F015" w14:textId="77777777" w:rsidR="003D0DF7" w:rsidRDefault="003D0DF7"/>
  <w:p w14:paraId="5E34BDF9" w14:textId="77777777" w:rsidR="003D0DF7" w:rsidRDefault="003D0DF7"/>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27F1E6" w14:textId="77777777" w:rsidR="003D0DF7" w:rsidRPr="00622A3B" w:rsidRDefault="003D0DF7" w:rsidP="00447037">
    <w:pPr>
      <w:pStyle w:val="Footer"/>
      <w:framePr w:w="1440" w:h="357" w:hRule="exact" w:vSpace="425" w:wrap="around" w:vAnchor="page" w:hAnchor="page" w:x="7335" w:y="16166"/>
      <w:pBdr>
        <w:top w:val="single" w:sz="4" w:space="1" w:color="auto"/>
      </w:pBdr>
      <w:tabs>
        <w:tab w:val="clear" w:pos="113"/>
        <w:tab w:val="left" w:pos="397"/>
      </w:tabs>
      <w:jc w:val="right"/>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575AC5">
      <w:rPr>
        <w:color w:val="505050"/>
      </w:rPr>
      <w:fldChar w:fldCharType="begin"/>
    </w:r>
    <w:r w:rsidRPr="00575AC5">
      <w:rPr>
        <w:color w:val="505050"/>
      </w:rPr>
      <w:instrText xml:space="preserve"> PAGE  \* Arabic  \* MERGEFORMAT </w:instrText>
    </w:r>
    <w:r w:rsidRPr="00575AC5">
      <w:rPr>
        <w:color w:val="505050"/>
      </w:rPr>
      <w:fldChar w:fldCharType="separate"/>
    </w:r>
    <w:r>
      <w:rPr>
        <w:noProof/>
        <w:color w:val="505050"/>
      </w:rPr>
      <w:t>1</w:t>
    </w:r>
    <w:r w:rsidRPr="00575AC5">
      <w:rPr>
        <w:color w:val="505050"/>
      </w:rPr>
      <w:fldChar w:fldCharType="end"/>
    </w:r>
  </w:p>
  <w:p w14:paraId="6224A626" w14:textId="77777777" w:rsidR="003D0DF7" w:rsidRDefault="003D0DF7"/>
  <w:p w14:paraId="1EF98C12" w14:textId="77777777" w:rsidR="003D0DF7" w:rsidRDefault="003D0DF7"/>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AAA159" w14:textId="77777777" w:rsidR="003D0DF7" w:rsidRPr="00622A3B" w:rsidRDefault="003D0DF7" w:rsidP="00447037">
    <w:pPr>
      <w:pStyle w:val="Footer"/>
      <w:framePr w:w="1440" w:h="357" w:hRule="exact" w:vSpace="425" w:wrap="around" w:vAnchor="page" w:hAnchor="page" w:x="7335" w:y="16166"/>
      <w:pBdr>
        <w:top w:val="single" w:sz="4" w:space="1" w:color="auto"/>
      </w:pBdr>
      <w:tabs>
        <w:tab w:val="clear" w:pos="113"/>
        <w:tab w:val="left" w:pos="397"/>
      </w:tabs>
      <w:jc w:val="right"/>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575AC5">
      <w:rPr>
        <w:color w:val="505050"/>
      </w:rPr>
      <w:fldChar w:fldCharType="begin"/>
    </w:r>
    <w:r w:rsidRPr="00575AC5">
      <w:rPr>
        <w:color w:val="505050"/>
      </w:rPr>
      <w:instrText xml:space="preserve"> PAGE  \* Arabic  \* MERGEFORMAT </w:instrText>
    </w:r>
    <w:r w:rsidRPr="00575AC5">
      <w:rPr>
        <w:color w:val="505050"/>
      </w:rPr>
      <w:fldChar w:fldCharType="separate"/>
    </w:r>
    <w:r>
      <w:rPr>
        <w:noProof/>
        <w:color w:val="505050"/>
      </w:rPr>
      <w:t>1</w:t>
    </w:r>
    <w:r w:rsidRPr="00575AC5">
      <w:rPr>
        <w:color w:val="505050"/>
      </w:rPr>
      <w:fldChar w:fldCharType="end"/>
    </w:r>
  </w:p>
  <w:p w14:paraId="7DFC799E" w14:textId="77777777" w:rsidR="003D0DF7" w:rsidRPr="00A5474E" w:rsidRDefault="003D0DF7" w:rsidP="00A5474E">
    <w:pPr>
      <w:pStyle w:val="Footer"/>
    </w:pPr>
  </w:p>
  <w:p w14:paraId="7FA96BCA" w14:textId="77777777" w:rsidR="003D0DF7" w:rsidRDefault="003D0DF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6C5757" w14:textId="77777777" w:rsidR="005E4ADB" w:rsidRDefault="005E4ADB" w:rsidP="00695998">
      <w:pPr>
        <w:spacing w:after="120"/>
      </w:pPr>
      <w:r>
        <w:separator/>
      </w:r>
    </w:p>
  </w:footnote>
  <w:footnote w:type="continuationSeparator" w:id="0">
    <w:p w14:paraId="45D1A5AD" w14:textId="77777777" w:rsidR="005E4ADB" w:rsidRDefault="005E4ADB">
      <w:r>
        <w:continuationSeparator/>
      </w:r>
    </w:p>
  </w:footnote>
  <w:footnote w:type="continuationNotice" w:id="1">
    <w:p w14:paraId="6A9728EE" w14:textId="77777777" w:rsidR="005E4ADB" w:rsidRDefault="005E4ADB">
      <w:pPr>
        <w:spacing w:after="0" w:line="240" w:lineRule="auto"/>
      </w:pPr>
    </w:p>
  </w:footnote>
  <w:footnote w:id="2">
    <w:p w14:paraId="7BB4CC92" w14:textId="39DA6652" w:rsidR="003D0DF7" w:rsidRPr="00D121E4" w:rsidRDefault="003D0DF7" w:rsidP="00510B6F">
      <w:pPr>
        <w:pStyle w:val="FootnoteText"/>
      </w:pPr>
      <w:r w:rsidRPr="00D121E4">
        <w:rPr>
          <w:rStyle w:val="FootnoteReference"/>
        </w:rPr>
        <w:footnoteRef/>
      </w:r>
      <w:r w:rsidRPr="00D121E4">
        <w:t xml:space="preserve"> </w:t>
      </w:r>
      <w:r>
        <w:t xml:space="preserve">Wi-Fi Alliance, </w:t>
      </w:r>
      <w:hyperlink r:id="rId1" w:history="1">
        <w:r w:rsidRPr="00D121E4">
          <w:rPr>
            <w:rStyle w:val="Hyperlink"/>
          </w:rPr>
          <w:t>Value of Wi-Fi</w:t>
        </w:r>
      </w:hyperlink>
      <w:r>
        <w:t>, accessed 31 March 2021.</w:t>
      </w:r>
      <w:r w:rsidRPr="00D121E4" w:rsidDel="00D121E4">
        <w:t xml:space="preserve"> </w:t>
      </w:r>
    </w:p>
  </w:footnote>
  <w:footnote w:id="3">
    <w:p w14:paraId="7C5CF6B7" w14:textId="0961E7AD" w:rsidR="003D0DF7" w:rsidRPr="003D0DF7" w:rsidRDefault="003D0DF7" w:rsidP="00510B6F">
      <w:pPr>
        <w:pStyle w:val="FootnoteText"/>
      </w:pPr>
      <w:r w:rsidRPr="00D121E4">
        <w:rPr>
          <w:rStyle w:val="FootnoteReference"/>
        </w:rPr>
        <w:footnoteRef/>
      </w:r>
      <w:r w:rsidRPr="00D121E4">
        <w:t xml:space="preserve"> </w:t>
      </w:r>
      <w:r>
        <w:t xml:space="preserve">Ofcom, </w:t>
      </w:r>
      <w:hyperlink r:id="rId2" w:anchor=":~:text=We%20have%20decided%20to%3A,(5725%2D5850%20MHz)." w:history="1">
        <w:r w:rsidRPr="003D0DF7">
          <w:rPr>
            <w:rStyle w:val="Hyperlink"/>
          </w:rPr>
          <w:t>Improving spectrum access for wifi – spectrum use in the 5 and 6 GHz bands</w:t>
        </w:r>
      </w:hyperlink>
      <w:r>
        <w:t>, 24 July 2020, accessed 1 April 2021.</w:t>
      </w:r>
      <w:r w:rsidRPr="003D0DF7">
        <w:t xml:space="preserve"> </w:t>
      </w:r>
    </w:p>
  </w:footnote>
  <w:footnote w:id="4">
    <w:p w14:paraId="7F5A9409" w14:textId="0C019B70" w:rsidR="003D0DF7" w:rsidRPr="003D0DF7" w:rsidRDefault="003D0DF7" w:rsidP="00510B6F">
      <w:pPr>
        <w:pStyle w:val="FootnoteText"/>
      </w:pPr>
      <w:r w:rsidRPr="003D0DF7">
        <w:rPr>
          <w:rStyle w:val="FootnoteReference"/>
        </w:rPr>
        <w:footnoteRef/>
      </w:r>
      <w:r w:rsidRPr="003D0DF7">
        <w:t xml:space="preserve"> </w:t>
      </w:r>
      <w:r w:rsidR="004A67A2">
        <w:t xml:space="preserve">Wi-Fi Alliance, </w:t>
      </w:r>
      <w:hyperlink r:id="rId3" w:history="1">
        <w:r w:rsidR="004A67A2" w:rsidRPr="00D121E4">
          <w:rPr>
            <w:rStyle w:val="Hyperlink"/>
          </w:rPr>
          <w:t>Value of Wi-Fi</w:t>
        </w:r>
      </w:hyperlink>
      <w:r w:rsidR="004A67A2">
        <w:t>, accessed 31 March 2021.</w:t>
      </w:r>
      <w:r w:rsidR="004A67A2" w:rsidRPr="00D121E4" w:rsidDel="00D121E4">
        <w:t xml:space="preserve"> </w:t>
      </w:r>
    </w:p>
  </w:footnote>
  <w:footnote w:id="5">
    <w:p w14:paraId="3E3EE4C7" w14:textId="306715BB" w:rsidR="003D0DF7" w:rsidRDefault="003D0DF7" w:rsidP="00510B6F">
      <w:pPr>
        <w:pStyle w:val="FootnoteText"/>
      </w:pPr>
      <w:r w:rsidRPr="003D0DF7">
        <w:rPr>
          <w:rStyle w:val="FootnoteReference"/>
        </w:rPr>
        <w:footnoteRef/>
      </w:r>
      <w:r w:rsidRPr="003D0DF7">
        <w:t xml:space="preserve"> </w:t>
      </w:r>
      <w:r>
        <w:t xml:space="preserve">Ofcom, </w:t>
      </w:r>
      <w:hyperlink r:id="rId4" w:anchor=":~:text=We%20have%20decided%20to%3A,(5725%2D5850%20MHz)." w:history="1">
        <w:r w:rsidRPr="003D0DF7">
          <w:rPr>
            <w:rStyle w:val="Hyperlink"/>
          </w:rPr>
          <w:t>Improving spectrum access for wifi – spectrum use in the 5 and 6 GHz bands</w:t>
        </w:r>
      </w:hyperlink>
      <w:r>
        <w:t>, 24 July 2020, accessed 1 April 2021.</w:t>
      </w:r>
    </w:p>
  </w:footnote>
  <w:footnote w:id="6">
    <w:p w14:paraId="276A5688" w14:textId="30CB62A7" w:rsidR="003D0DF7" w:rsidRDefault="003D0DF7">
      <w:pPr>
        <w:pStyle w:val="FootnoteText"/>
      </w:pPr>
      <w:r>
        <w:rPr>
          <w:rStyle w:val="FootnoteReference"/>
        </w:rPr>
        <w:footnoteRef/>
      </w:r>
      <w:r>
        <w:t xml:space="preserve"> </w:t>
      </w:r>
      <w:r w:rsidR="004A67A2" w:rsidRPr="004A67A2">
        <w:t>Federal Register</w:t>
      </w:r>
      <w:r w:rsidR="004A67A2">
        <w:t xml:space="preserve">, </w:t>
      </w:r>
      <w:hyperlink r:id="rId5" w:history="1">
        <w:r w:rsidR="004A67A2" w:rsidRPr="004A67A2">
          <w:rPr>
            <w:rStyle w:val="Hyperlink"/>
          </w:rPr>
          <w:t>Unlicensed Use of the 6 GHz Band</w:t>
        </w:r>
      </w:hyperlink>
      <w:r w:rsidR="004A67A2">
        <w:t>, 26 May 2020, accessed 1 April 2021.</w:t>
      </w:r>
      <w:r w:rsidR="004A67A2" w:rsidRPr="004A67A2">
        <w:t xml:space="preserve"> </w:t>
      </w:r>
    </w:p>
  </w:footnote>
  <w:footnote w:id="7">
    <w:p w14:paraId="6B1BC616" w14:textId="31C6F1FD" w:rsidR="003D0DF7" w:rsidRDefault="003D0DF7" w:rsidP="00F142F0">
      <w:pPr>
        <w:pStyle w:val="FootnoteText"/>
      </w:pPr>
      <w:r>
        <w:rPr>
          <w:rStyle w:val="FootnoteReference"/>
        </w:rPr>
        <w:footnoteRef/>
      </w:r>
      <w:r>
        <w:t xml:space="preserve"> </w:t>
      </w:r>
      <w:r w:rsidR="004A67A2">
        <w:t xml:space="preserve">ITU, </w:t>
      </w:r>
      <w:hyperlink r:id="rId6" w:history="1">
        <w:r w:rsidR="004A67A2" w:rsidRPr="004A67A2">
          <w:rPr>
            <w:rStyle w:val="Hyperlink"/>
          </w:rPr>
          <w:t>ITU-R Preparatory Studies for WRC-23</w:t>
        </w:r>
      </w:hyperlink>
      <w:r w:rsidR="004A67A2">
        <w:t>, accessed 1 April 2021.</w:t>
      </w:r>
    </w:p>
  </w:footnote>
  <w:footnote w:id="8">
    <w:p w14:paraId="238B1ABA" w14:textId="77777777" w:rsidR="003D0DF7" w:rsidRDefault="003D0DF7" w:rsidP="00F142F0">
      <w:pPr>
        <w:pStyle w:val="FootnoteText"/>
      </w:pPr>
      <w:r>
        <w:rPr>
          <w:rStyle w:val="FootnoteReference"/>
        </w:rPr>
        <w:footnoteRef/>
      </w:r>
      <w:r>
        <w:t xml:space="preserve"> This mask has been used in the US for outdoor RLAN devices in this band since 2014.</w:t>
      </w:r>
    </w:p>
  </w:footnote>
  <w:footnote w:id="9">
    <w:p w14:paraId="2A8D183B" w14:textId="15A43E6B" w:rsidR="003D0DF7" w:rsidRDefault="003D0DF7" w:rsidP="00F142F0">
      <w:pPr>
        <w:pStyle w:val="FootnoteText"/>
      </w:pPr>
      <w:r>
        <w:rPr>
          <w:rStyle w:val="FootnoteReference"/>
        </w:rPr>
        <w:footnoteRef/>
      </w:r>
      <w:r>
        <w:t xml:space="preserve"> </w:t>
      </w:r>
      <w:r w:rsidR="0096479D">
        <w:t xml:space="preserve">FCC, </w:t>
      </w:r>
      <w:hyperlink r:id="rId7" w:history="1">
        <w:r w:rsidR="0096479D" w:rsidRPr="0096479D">
          <w:rPr>
            <w:rStyle w:val="Hyperlink"/>
          </w:rPr>
          <w:t>FCC Opens 6 GHz Band to Wi-Fi and Other Unlicensed Uses</w:t>
        </w:r>
      </w:hyperlink>
      <w:r w:rsidR="0096479D">
        <w:t>, 24 April 2020, accessed 1 April 2021.</w:t>
      </w:r>
      <w:r w:rsidR="0096479D" w:rsidDel="0096479D">
        <w:t xml:space="preserve"> </w:t>
      </w:r>
    </w:p>
  </w:footnote>
  <w:footnote w:id="10">
    <w:p w14:paraId="21A5434F" w14:textId="398B6BA5" w:rsidR="003D0DF7" w:rsidRDefault="003D0DF7" w:rsidP="00F142F0">
      <w:pPr>
        <w:pStyle w:val="FootnoteText"/>
      </w:pPr>
      <w:r>
        <w:rPr>
          <w:rStyle w:val="FootnoteReference"/>
        </w:rPr>
        <w:footnoteRef/>
      </w:r>
      <w:r>
        <w:t xml:space="preserve"> ECC reports 101, 228 and 290.</w:t>
      </w:r>
    </w:p>
  </w:footnote>
  <w:footnote w:id="11">
    <w:p w14:paraId="5C13E8BE" w14:textId="1EB9A2A6" w:rsidR="003D0DF7" w:rsidRDefault="003D0DF7" w:rsidP="00F142F0">
      <w:pPr>
        <w:pStyle w:val="FootnoteText"/>
      </w:pPr>
      <w:r>
        <w:rPr>
          <w:rStyle w:val="FootnoteReference"/>
        </w:rPr>
        <w:footnoteRef/>
      </w:r>
      <w:r>
        <w:t xml:space="preserve"> </w:t>
      </w:r>
      <w:r w:rsidR="0096479D">
        <w:t xml:space="preserve">Ofcom, </w:t>
      </w:r>
      <w:hyperlink r:id="rId8" w:history="1">
        <w:r w:rsidR="0096479D" w:rsidRPr="002D7BF6">
          <w:rPr>
            <w:rStyle w:val="Hyperlink"/>
          </w:rPr>
          <w:t>Statement: Improving spectrum access for wifi – spectrum use in the 5 and 6 GHz bands</w:t>
        </w:r>
      </w:hyperlink>
      <w:r w:rsidR="002D7BF6">
        <w:t>, 24 July 2020, accessed 1 April 2021.</w:t>
      </w:r>
      <w:r w:rsidR="002D7BF6" w:rsidDel="002D7BF6">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691834" w14:textId="77777777" w:rsidR="003D0DF7" w:rsidRPr="00A5474E" w:rsidRDefault="003D0DF7" w:rsidP="00A5474E">
    <w:pPr>
      <w:pStyle w:val="Header"/>
    </w:pPr>
    <w:r>
      <w:rPr>
        <w:noProof/>
      </w:rPr>
      <w:drawing>
        <wp:inline distT="0" distB="0" distL="0" distR="0" wp14:anchorId="79F331EE" wp14:editId="01CF6F33">
          <wp:extent cx="6210300" cy="571134"/>
          <wp:effectExtent l="0" t="0" r="0" b="0"/>
          <wp:docPr id="14" name="Picture 14" descr="ACM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cussion-paper-header-block.pdf"/>
                  <pic:cNvPicPr/>
                </pic:nvPicPr>
                <pic:blipFill>
                  <a:blip r:embed="rId1"/>
                  <a:stretch>
                    <a:fillRect/>
                  </a:stretch>
                </pic:blipFill>
                <pic:spPr>
                  <a:xfrm>
                    <a:off x="0" y="0"/>
                    <a:ext cx="6210300" cy="571134"/>
                  </a:xfrm>
                  <a:prstGeom prst="rect">
                    <a:avLst/>
                  </a:prstGeom>
                </pic:spPr>
              </pic:pic>
            </a:graphicData>
          </a:graphic>
        </wp:inline>
      </w:drawing>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769228" w14:textId="77777777" w:rsidR="003D0DF7" w:rsidRDefault="003D0DF7">
    <w:pPr>
      <w:pStyle w:val="Header"/>
    </w:pPr>
  </w:p>
  <w:p w14:paraId="54D20DE7" w14:textId="77777777" w:rsidR="003D0DF7" w:rsidRDefault="003D0DF7"/>
  <w:p w14:paraId="196C3D0C" w14:textId="77777777" w:rsidR="003D0DF7" w:rsidRDefault="003D0DF7"/>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B7134B" w14:textId="77777777" w:rsidR="003D0DF7" w:rsidRPr="00B37949" w:rsidRDefault="003D0DF7" w:rsidP="00B379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7C5B29" w14:textId="77777777" w:rsidR="003D0DF7" w:rsidRPr="00A5474E" w:rsidRDefault="003D0DF7" w:rsidP="00594E9C">
    <w:pPr>
      <w:pStyle w:val="TOCHeading"/>
    </w:pPr>
    <w:r w:rsidRPr="0029593B">
      <w:t>Contents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E3537B" w14:textId="77777777" w:rsidR="003D0DF7" w:rsidRDefault="003D0DF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B5B59F" w14:textId="77777777" w:rsidR="003D0DF7" w:rsidRDefault="003D0DF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678" w:type="dxa"/>
      <w:tblLayout w:type="fixed"/>
      <w:tblCellMar>
        <w:left w:w="0" w:type="dxa"/>
        <w:right w:w="0" w:type="dxa"/>
      </w:tblCellMar>
      <w:tblLook w:val="01E0" w:firstRow="1" w:lastRow="1" w:firstColumn="1" w:lastColumn="1" w:noHBand="0" w:noVBand="0"/>
    </w:tblPr>
    <w:tblGrid>
      <w:gridCol w:w="7678"/>
    </w:tblGrid>
    <w:tr w:rsidR="003D0DF7" w14:paraId="34D4835F" w14:textId="77777777" w:rsidTr="00EA6946">
      <w:trPr>
        <w:trHeight w:hRule="exact" w:val="988"/>
      </w:trPr>
      <w:tc>
        <w:tcPr>
          <w:tcW w:w="7678" w:type="dxa"/>
          <w:shd w:val="clear" w:color="auto" w:fill="auto"/>
        </w:tcPr>
        <w:p w14:paraId="1DFE0362" w14:textId="77777777" w:rsidR="003D0DF7" w:rsidRDefault="003D0DF7" w:rsidP="00971914">
          <w:pPr>
            <w:pStyle w:val="Header"/>
          </w:pPr>
        </w:p>
      </w:tc>
    </w:tr>
    <w:tr w:rsidR="003D0DF7" w14:paraId="11D07506" w14:textId="77777777" w:rsidTr="00EA6946">
      <w:tc>
        <w:tcPr>
          <w:tcW w:w="7678" w:type="dxa"/>
          <w:shd w:val="clear" w:color="auto" w:fill="auto"/>
        </w:tcPr>
        <w:p w14:paraId="57C092E6" w14:textId="77777777" w:rsidR="003D0DF7" w:rsidRDefault="003D0DF7" w:rsidP="00971914">
          <w:pPr>
            <w:pStyle w:val="GridTable31"/>
          </w:pPr>
          <w:r>
            <w:t xml:space="preserve">Contents </w:t>
          </w:r>
          <w:r w:rsidRPr="00915B1C">
            <w:rPr>
              <w:b w:val="0"/>
              <w:spacing w:val="0"/>
              <w:sz w:val="28"/>
              <w:szCs w:val="28"/>
            </w:rPr>
            <w:t>(Continued)</w:t>
          </w:r>
        </w:p>
      </w:tc>
    </w:tr>
    <w:tr w:rsidR="003D0DF7" w14:paraId="215256C9" w14:textId="77777777" w:rsidTr="00EA6946">
      <w:trPr>
        <w:trHeight w:val="1220"/>
      </w:trPr>
      <w:tc>
        <w:tcPr>
          <w:tcW w:w="7678" w:type="dxa"/>
          <w:shd w:val="clear" w:color="auto" w:fill="auto"/>
        </w:tcPr>
        <w:p w14:paraId="05261723" w14:textId="77777777" w:rsidR="003D0DF7" w:rsidRDefault="003D0DF7" w:rsidP="00971914"/>
      </w:tc>
    </w:tr>
  </w:tbl>
  <w:p w14:paraId="6ED811EB" w14:textId="77777777" w:rsidR="003D0DF7" w:rsidRDefault="003D0DF7" w:rsidP="0097191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678" w:type="dxa"/>
      <w:tblLayout w:type="fixed"/>
      <w:tblCellMar>
        <w:left w:w="0" w:type="dxa"/>
        <w:right w:w="0" w:type="dxa"/>
      </w:tblCellMar>
      <w:tblLook w:val="01E0" w:firstRow="1" w:lastRow="1" w:firstColumn="1" w:lastColumn="1" w:noHBand="0" w:noVBand="0"/>
    </w:tblPr>
    <w:tblGrid>
      <w:gridCol w:w="7678"/>
    </w:tblGrid>
    <w:tr w:rsidR="003D0DF7" w14:paraId="18A299E2" w14:textId="77777777" w:rsidTr="00EA6946">
      <w:trPr>
        <w:trHeight w:hRule="exact" w:val="988"/>
      </w:trPr>
      <w:tc>
        <w:tcPr>
          <w:tcW w:w="7678" w:type="dxa"/>
          <w:shd w:val="clear" w:color="auto" w:fill="auto"/>
        </w:tcPr>
        <w:p w14:paraId="5AA21F96" w14:textId="77777777" w:rsidR="003D0DF7" w:rsidRDefault="003D0DF7" w:rsidP="00971914">
          <w:pPr>
            <w:pStyle w:val="Header"/>
          </w:pPr>
        </w:p>
      </w:tc>
    </w:tr>
    <w:tr w:rsidR="003D0DF7" w14:paraId="6DFC2FE4" w14:textId="77777777" w:rsidTr="00EA6946">
      <w:tc>
        <w:tcPr>
          <w:tcW w:w="7678" w:type="dxa"/>
          <w:shd w:val="clear" w:color="auto" w:fill="auto"/>
        </w:tcPr>
        <w:p w14:paraId="30F62528" w14:textId="77777777" w:rsidR="003D0DF7" w:rsidRDefault="003D0DF7" w:rsidP="00971914">
          <w:pPr>
            <w:pStyle w:val="GridTable31"/>
          </w:pPr>
          <w:r>
            <w:t xml:space="preserve">Contents </w:t>
          </w:r>
          <w:r w:rsidRPr="00915B1C">
            <w:rPr>
              <w:b w:val="0"/>
              <w:spacing w:val="0"/>
              <w:sz w:val="28"/>
              <w:szCs w:val="28"/>
            </w:rPr>
            <w:t>(Continued)</w:t>
          </w:r>
        </w:p>
      </w:tc>
    </w:tr>
    <w:tr w:rsidR="003D0DF7" w14:paraId="1671A8CA" w14:textId="77777777" w:rsidTr="00EA6946">
      <w:trPr>
        <w:trHeight w:val="1220"/>
      </w:trPr>
      <w:tc>
        <w:tcPr>
          <w:tcW w:w="7678" w:type="dxa"/>
          <w:shd w:val="clear" w:color="auto" w:fill="auto"/>
        </w:tcPr>
        <w:p w14:paraId="7EC63F27" w14:textId="77777777" w:rsidR="003D0DF7" w:rsidRDefault="003D0DF7" w:rsidP="00971914"/>
      </w:tc>
    </w:tr>
  </w:tbl>
  <w:p w14:paraId="21651D55" w14:textId="77777777" w:rsidR="003D0DF7" w:rsidRPr="00A5474E" w:rsidRDefault="003D0DF7" w:rsidP="00A5474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89D7E0" w14:textId="77777777" w:rsidR="003D0DF7" w:rsidRDefault="003D0DF7"/>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6C28A9" w14:textId="77777777" w:rsidR="003D0DF7" w:rsidRDefault="003D0DF7"/>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E6D2B5" w14:textId="77777777" w:rsidR="003D0DF7" w:rsidRDefault="003D0D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75F22F60"/>
    <w:lvl w:ilvl="0">
      <w:start w:val="1"/>
      <w:numFmt w:val="lowerRoman"/>
      <w:pStyle w:val="ListNumber2"/>
      <w:lvlText w:val="%1."/>
      <w:lvlJc w:val="right"/>
      <w:pPr>
        <w:ind w:left="4544" w:hanging="360"/>
      </w:pPr>
      <w:rPr>
        <w:rFonts w:hint="default"/>
      </w:rPr>
    </w:lvl>
  </w:abstractNum>
  <w:abstractNum w:abstractNumId="1" w15:restartNumberingAfterBreak="0">
    <w:nsid w:val="FFFFFF83"/>
    <w:multiLevelType w:val="singleLevel"/>
    <w:tmpl w:val="909E78BC"/>
    <w:lvl w:ilvl="0">
      <w:start w:val="1"/>
      <w:numFmt w:val="bullet"/>
      <w:pStyle w:val="ListBullet2"/>
      <w:lvlText w:val="&gt;"/>
      <w:lvlJc w:val="left"/>
      <w:pPr>
        <w:tabs>
          <w:tab w:val="num" w:pos="845"/>
        </w:tabs>
        <w:ind w:left="845" w:hanging="544"/>
      </w:pPr>
      <w:rPr>
        <w:rFonts w:ascii="HelveticaNeueLT Std Lt" w:hAnsi="HelveticaNeueLT Std Lt" w:hint="default"/>
        <w:sz w:val="20"/>
      </w:rPr>
    </w:lvl>
  </w:abstractNum>
  <w:abstractNum w:abstractNumId="2" w15:restartNumberingAfterBreak="0">
    <w:nsid w:val="FFFFFF88"/>
    <w:multiLevelType w:val="singleLevel"/>
    <w:tmpl w:val="51B60EB2"/>
    <w:lvl w:ilvl="0">
      <w:start w:val="1"/>
      <w:numFmt w:val="decimal"/>
      <w:pStyle w:val="ListNumber"/>
      <w:lvlText w:val="%1."/>
      <w:lvlJc w:val="left"/>
      <w:pPr>
        <w:ind w:left="360" w:hanging="360"/>
      </w:pPr>
      <w:rPr>
        <w:rFonts w:hint="default"/>
        <w:b w:val="0"/>
        <w:bCs/>
        <w:caps/>
        <w:sz w:val="20"/>
      </w:rPr>
    </w:lvl>
  </w:abstractNum>
  <w:abstractNum w:abstractNumId="3" w15:restartNumberingAfterBreak="0">
    <w:nsid w:val="FFFFFF89"/>
    <w:multiLevelType w:val="singleLevel"/>
    <w:tmpl w:val="E552FEBA"/>
    <w:lvl w:ilvl="0">
      <w:start w:val="1"/>
      <w:numFmt w:val="bullet"/>
      <w:pStyle w:val="ListBullet"/>
      <w:lvlText w:val="&gt;"/>
      <w:lvlJc w:val="left"/>
      <w:pPr>
        <w:tabs>
          <w:tab w:val="num" w:pos="295"/>
        </w:tabs>
        <w:ind w:left="295" w:hanging="295"/>
      </w:pPr>
      <w:rPr>
        <w:rFonts w:ascii="HelveticaNeueLT Std Lt" w:hAnsi="HelveticaNeueLT Std Lt" w:hint="default"/>
        <w:sz w:val="20"/>
      </w:rPr>
    </w:lvl>
  </w:abstractNum>
  <w:abstractNum w:abstractNumId="4" w15:restartNumberingAfterBreak="0">
    <w:nsid w:val="01524956"/>
    <w:multiLevelType w:val="hybridMultilevel"/>
    <w:tmpl w:val="42669C3C"/>
    <w:lvl w:ilvl="0" w:tplc="7AF48432">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2AF1222"/>
    <w:multiLevelType w:val="hybridMultilevel"/>
    <w:tmpl w:val="BC6E3CCC"/>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60477E9"/>
    <w:multiLevelType w:val="hybridMultilevel"/>
    <w:tmpl w:val="09E60C90"/>
    <w:lvl w:ilvl="0" w:tplc="7AF4843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87C268C"/>
    <w:multiLevelType w:val="hybridMultilevel"/>
    <w:tmpl w:val="E0A6CA9A"/>
    <w:lvl w:ilvl="0" w:tplc="44EEC084">
      <w:start w:val="1"/>
      <w:numFmt w:val="bullet"/>
      <w:lvlText w:val="&gt;"/>
      <w:lvlJc w:val="left"/>
      <w:pPr>
        <w:ind w:left="720" w:hanging="360"/>
      </w:pPr>
      <w:rPr>
        <w:rFonts w:ascii="HelveticaNeueLT Std" w:hAnsi="HelveticaNeueLT Std"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91170FB"/>
    <w:multiLevelType w:val="hybridMultilevel"/>
    <w:tmpl w:val="338CD2A2"/>
    <w:lvl w:ilvl="0" w:tplc="7AF4843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DEF3F4A"/>
    <w:multiLevelType w:val="hybridMultilevel"/>
    <w:tmpl w:val="5BD45B54"/>
    <w:lvl w:ilvl="0" w:tplc="0C090001">
      <w:start w:val="1"/>
      <w:numFmt w:val="bullet"/>
      <w:lvlText w:val=""/>
      <w:lvlJc w:val="left"/>
      <w:pPr>
        <w:ind w:left="775" w:hanging="360"/>
      </w:pPr>
      <w:rPr>
        <w:rFonts w:ascii="Symbol" w:hAnsi="Symbol" w:hint="default"/>
      </w:rPr>
    </w:lvl>
    <w:lvl w:ilvl="1" w:tplc="0C090003">
      <w:start w:val="1"/>
      <w:numFmt w:val="bullet"/>
      <w:lvlText w:val="o"/>
      <w:lvlJc w:val="left"/>
      <w:pPr>
        <w:ind w:left="1495" w:hanging="360"/>
      </w:pPr>
      <w:rPr>
        <w:rFonts w:ascii="Courier New" w:hAnsi="Courier New" w:cs="Courier New" w:hint="default"/>
      </w:rPr>
    </w:lvl>
    <w:lvl w:ilvl="2" w:tplc="0C090005" w:tentative="1">
      <w:start w:val="1"/>
      <w:numFmt w:val="bullet"/>
      <w:lvlText w:val=""/>
      <w:lvlJc w:val="left"/>
      <w:pPr>
        <w:ind w:left="2215" w:hanging="360"/>
      </w:pPr>
      <w:rPr>
        <w:rFonts w:ascii="Wingdings" w:hAnsi="Wingdings" w:hint="default"/>
      </w:rPr>
    </w:lvl>
    <w:lvl w:ilvl="3" w:tplc="0C090001" w:tentative="1">
      <w:start w:val="1"/>
      <w:numFmt w:val="bullet"/>
      <w:lvlText w:val=""/>
      <w:lvlJc w:val="left"/>
      <w:pPr>
        <w:ind w:left="2935" w:hanging="360"/>
      </w:pPr>
      <w:rPr>
        <w:rFonts w:ascii="Symbol" w:hAnsi="Symbol" w:hint="default"/>
      </w:rPr>
    </w:lvl>
    <w:lvl w:ilvl="4" w:tplc="0C090003" w:tentative="1">
      <w:start w:val="1"/>
      <w:numFmt w:val="bullet"/>
      <w:lvlText w:val="o"/>
      <w:lvlJc w:val="left"/>
      <w:pPr>
        <w:ind w:left="3655" w:hanging="360"/>
      </w:pPr>
      <w:rPr>
        <w:rFonts w:ascii="Courier New" w:hAnsi="Courier New" w:cs="Courier New" w:hint="default"/>
      </w:rPr>
    </w:lvl>
    <w:lvl w:ilvl="5" w:tplc="0C090005" w:tentative="1">
      <w:start w:val="1"/>
      <w:numFmt w:val="bullet"/>
      <w:lvlText w:val=""/>
      <w:lvlJc w:val="left"/>
      <w:pPr>
        <w:ind w:left="4375" w:hanging="360"/>
      </w:pPr>
      <w:rPr>
        <w:rFonts w:ascii="Wingdings" w:hAnsi="Wingdings" w:hint="default"/>
      </w:rPr>
    </w:lvl>
    <w:lvl w:ilvl="6" w:tplc="0C090001" w:tentative="1">
      <w:start w:val="1"/>
      <w:numFmt w:val="bullet"/>
      <w:lvlText w:val=""/>
      <w:lvlJc w:val="left"/>
      <w:pPr>
        <w:ind w:left="5095" w:hanging="360"/>
      </w:pPr>
      <w:rPr>
        <w:rFonts w:ascii="Symbol" w:hAnsi="Symbol" w:hint="default"/>
      </w:rPr>
    </w:lvl>
    <w:lvl w:ilvl="7" w:tplc="0C090003" w:tentative="1">
      <w:start w:val="1"/>
      <w:numFmt w:val="bullet"/>
      <w:lvlText w:val="o"/>
      <w:lvlJc w:val="left"/>
      <w:pPr>
        <w:ind w:left="5815" w:hanging="360"/>
      </w:pPr>
      <w:rPr>
        <w:rFonts w:ascii="Courier New" w:hAnsi="Courier New" w:cs="Courier New" w:hint="default"/>
      </w:rPr>
    </w:lvl>
    <w:lvl w:ilvl="8" w:tplc="0C090005" w:tentative="1">
      <w:start w:val="1"/>
      <w:numFmt w:val="bullet"/>
      <w:lvlText w:val=""/>
      <w:lvlJc w:val="left"/>
      <w:pPr>
        <w:ind w:left="6535" w:hanging="360"/>
      </w:pPr>
      <w:rPr>
        <w:rFonts w:ascii="Wingdings" w:hAnsi="Wingdings" w:hint="default"/>
      </w:rPr>
    </w:lvl>
  </w:abstractNum>
  <w:abstractNum w:abstractNumId="10" w15:restartNumberingAfterBreak="0">
    <w:nsid w:val="106C217B"/>
    <w:multiLevelType w:val="hybridMultilevel"/>
    <w:tmpl w:val="551EE03A"/>
    <w:lvl w:ilvl="0" w:tplc="7AF4843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06D597B"/>
    <w:multiLevelType w:val="hybridMultilevel"/>
    <w:tmpl w:val="B1AE130E"/>
    <w:lvl w:ilvl="0" w:tplc="7AF4843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2B56CED"/>
    <w:multiLevelType w:val="hybridMultilevel"/>
    <w:tmpl w:val="2280F6AA"/>
    <w:lvl w:ilvl="0" w:tplc="7AF4843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E301DD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15:restartNumberingAfterBreak="0">
    <w:nsid w:val="2F5A5080"/>
    <w:multiLevelType w:val="hybridMultilevel"/>
    <w:tmpl w:val="BE2AF6CE"/>
    <w:lvl w:ilvl="0" w:tplc="D05E2434">
      <w:start w:val="1"/>
      <w:numFmt w:val="bullet"/>
      <w:pStyle w:val="ACMABulletLevel1"/>
      <w:lvlText w:val="●"/>
      <w:lvlJc w:val="left"/>
      <w:pPr>
        <w:ind w:left="357" w:hanging="357"/>
      </w:pPr>
      <w:rPr>
        <w:rFonts w:ascii="Arial" w:hAnsi="Arial" w:cs="Arial" w:hint="default"/>
        <w:sz w:val="20"/>
        <w:szCs w:val="20"/>
      </w:rPr>
    </w:lvl>
    <w:lvl w:ilvl="1" w:tplc="04090003">
      <w:start w:val="1"/>
      <w:numFmt w:val="bullet"/>
      <w:lvlText w:val="o"/>
      <w:lvlJc w:val="left"/>
      <w:pPr>
        <w:tabs>
          <w:tab w:val="num" w:pos="1728"/>
        </w:tabs>
        <w:ind w:left="1728" w:hanging="360"/>
      </w:pPr>
      <w:rPr>
        <w:rFonts w:ascii="Courier New" w:hAnsi="Courier New" w:cs="Times New Roman" w:hint="default"/>
      </w:rPr>
    </w:lvl>
    <w:lvl w:ilvl="2" w:tplc="04090005">
      <w:start w:val="1"/>
      <w:numFmt w:val="bullet"/>
      <w:lvlText w:val=""/>
      <w:lvlJc w:val="left"/>
      <w:pPr>
        <w:tabs>
          <w:tab w:val="num" w:pos="2448"/>
        </w:tabs>
        <w:ind w:left="2448" w:hanging="360"/>
      </w:pPr>
      <w:rPr>
        <w:rFonts w:ascii="Wingdings" w:hAnsi="Wingdings" w:hint="default"/>
      </w:rPr>
    </w:lvl>
    <w:lvl w:ilvl="3" w:tplc="04090001">
      <w:start w:val="1"/>
      <w:numFmt w:val="bullet"/>
      <w:lvlText w:val=""/>
      <w:lvlJc w:val="left"/>
      <w:pPr>
        <w:tabs>
          <w:tab w:val="num" w:pos="3168"/>
        </w:tabs>
        <w:ind w:left="3168" w:hanging="360"/>
      </w:pPr>
      <w:rPr>
        <w:rFonts w:ascii="Symbol" w:hAnsi="Symbol" w:hint="default"/>
      </w:rPr>
    </w:lvl>
    <w:lvl w:ilvl="4" w:tplc="04090003">
      <w:start w:val="1"/>
      <w:numFmt w:val="bullet"/>
      <w:lvlText w:val="o"/>
      <w:lvlJc w:val="left"/>
      <w:pPr>
        <w:tabs>
          <w:tab w:val="num" w:pos="3888"/>
        </w:tabs>
        <w:ind w:left="3888" w:hanging="360"/>
      </w:pPr>
      <w:rPr>
        <w:rFonts w:ascii="Courier New" w:hAnsi="Courier New" w:cs="Times New Roman" w:hint="default"/>
      </w:rPr>
    </w:lvl>
    <w:lvl w:ilvl="5" w:tplc="04090005">
      <w:start w:val="1"/>
      <w:numFmt w:val="bullet"/>
      <w:lvlText w:val=""/>
      <w:lvlJc w:val="left"/>
      <w:pPr>
        <w:tabs>
          <w:tab w:val="num" w:pos="4608"/>
        </w:tabs>
        <w:ind w:left="4608" w:hanging="360"/>
      </w:pPr>
      <w:rPr>
        <w:rFonts w:ascii="Wingdings" w:hAnsi="Wingdings" w:hint="default"/>
      </w:rPr>
    </w:lvl>
    <w:lvl w:ilvl="6" w:tplc="04090001">
      <w:start w:val="1"/>
      <w:numFmt w:val="bullet"/>
      <w:lvlText w:val=""/>
      <w:lvlJc w:val="left"/>
      <w:pPr>
        <w:tabs>
          <w:tab w:val="num" w:pos="5328"/>
        </w:tabs>
        <w:ind w:left="5328" w:hanging="360"/>
      </w:pPr>
      <w:rPr>
        <w:rFonts w:ascii="Symbol" w:hAnsi="Symbol" w:hint="default"/>
      </w:rPr>
    </w:lvl>
    <w:lvl w:ilvl="7" w:tplc="04090003">
      <w:start w:val="1"/>
      <w:numFmt w:val="bullet"/>
      <w:lvlText w:val="o"/>
      <w:lvlJc w:val="left"/>
      <w:pPr>
        <w:tabs>
          <w:tab w:val="num" w:pos="6048"/>
        </w:tabs>
        <w:ind w:left="6048" w:hanging="360"/>
      </w:pPr>
      <w:rPr>
        <w:rFonts w:ascii="Courier New" w:hAnsi="Courier New" w:cs="Times New Roman" w:hint="default"/>
      </w:rPr>
    </w:lvl>
    <w:lvl w:ilvl="8" w:tplc="04090005">
      <w:start w:val="1"/>
      <w:numFmt w:val="bullet"/>
      <w:lvlText w:val=""/>
      <w:lvlJc w:val="left"/>
      <w:pPr>
        <w:tabs>
          <w:tab w:val="num" w:pos="6768"/>
        </w:tabs>
        <w:ind w:left="6768" w:hanging="360"/>
      </w:pPr>
      <w:rPr>
        <w:rFonts w:ascii="Wingdings" w:hAnsi="Wingdings" w:hint="default"/>
      </w:rPr>
    </w:lvl>
  </w:abstractNum>
  <w:abstractNum w:abstractNumId="15" w15:restartNumberingAfterBreak="0">
    <w:nsid w:val="34393428"/>
    <w:multiLevelType w:val="hybridMultilevel"/>
    <w:tmpl w:val="5504FE80"/>
    <w:lvl w:ilvl="0" w:tplc="7AF4843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6145996"/>
    <w:multiLevelType w:val="hybridMultilevel"/>
    <w:tmpl w:val="36C8F23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6BD1E1F"/>
    <w:multiLevelType w:val="hybridMultilevel"/>
    <w:tmpl w:val="8C3EAE62"/>
    <w:lvl w:ilvl="0" w:tplc="7AF4843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A5B7C2E"/>
    <w:multiLevelType w:val="hybridMultilevel"/>
    <w:tmpl w:val="EC588884"/>
    <w:lvl w:ilvl="0" w:tplc="7AF48432">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CD43F40"/>
    <w:multiLevelType w:val="hybridMultilevel"/>
    <w:tmpl w:val="5FF0F73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E8704F5"/>
    <w:multiLevelType w:val="hybridMultilevel"/>
    <w:tmpl w:val="B0F6650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1" w15:restartNumberingAfterBreak="0">
    <w:nsid w:val="4A1C49B5"/>
    <w:multiLevelType w:val="hybridMultilevel"/>
    <w:tmpl w:val="B622C3C0"/>
    <w:lvl w:ilvl="0" w:tplc="7AF48432">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CA34E13"/>
    <w:multiLevelType w:val="hybridMultilevel"/>
    <w:tmpl w:val="8AB6D7B0"/>
    <w:lvl w:ilvl="0" w:tplc="7AF48432">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3" w15:restartNumberingAfterBreak="0">
    <w:nsid w:val="532A3078"/>
    <w:multiLevelType w:val="hybridMultilevel"/>
    <w:tmpl w:val="36F6F3F0"/>
    <w:lvl w:ilvl="0" w:tplc="7AF48432">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4A17435"/>
    <w:multiLevelType w:val="hybridMultilevel"/>
    <w:tmpl w:val="EC168B38"/>
    <w:lvl w:ilvl="0" w:tplc="7AF48432">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5" w15:restartNumberingAfterBreak="0">
    <w:nsid w:val="55833DB0"/>
    <w:multiLevelType w:val="hybridMultilevel"/>
    <w:tmpl w:val="7F382B1C"/>
    <w:lvl w:ilvl="0" w:tplc="7AF4843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5AA21F0"/>
    <w:multiLevelType w:val="hybridMultilevel"/>
    <w:tmpl w:val="9B5CB936"/>
    <w:lvl w:ilvl="0" w:tplc="CCA08FFA">
      <w:start w:val="1"/>
      <w:numFmt w:val="decimal"/>
      <w:pStyle w:val="ACMATableHeader"/>
      <w:lvlText w:val="Table %1:"/>
      <w:lvlJc w:val="left"/>
      <w:pPr>
        <w:tabs>
          <w:tab w:val="num" w:pos="964"/>
        </w:tabs>
        <w:ind w:left="964" w:hanging="9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D4202EA"/>
    <w:multiLevelType w:val="hybridMultilevel"/>
    <w:tmpl w:val="CE180008"/>
    <w:lvl w:ilvl="0" w:tplc="7AF4843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3C30333"/>
    <w:multiLevelType w:val="hybridMultilevel"/>
    <w:tmpl w:val="A5FC2D54"/>
    <w:lvl w:ilvl="0" w:tplc="65EA47EC">
      <w:start w:val="1"/>
      <w:numFmt w:val="decimal"/>
      <w:pStyle w:val="Captionfigure"/>
      <w:lvlText w:val="Figure %1:"/>
      <w:lvlJc w:val="left"/>
      <w:pPr>
        <w:tabs>
          <w:tab w:val="num" w:pos="1021"/>
        </w:tabs>
        <w:ind w:left="1021" w:hanging="1021"/>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447529A"/>
    <w:multiLevelType w:val="hybridMultilevel"/>
    <w:tmpl w:val="27E62B7A"/>
    <w:lvl w:ilvl="0" w:tplc="7AF4843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5071478"/>
    <w:multiLevelType w:val="hybridMultilevel"/>
    <w:tmpl w:val="16D2B96E"/>
    <w:lvl w:ilvl="0" w:tplc="3A9CF91A">
      <w:start w:val="1"/>
      <w:numFmt w:val="decimal"/>
      <w:pStyle w:val="ACMAFigureHeader"/>
      <w:lvlText w:val="Figure %1: "/>
      <w:lvlJc w:val="left"/>
      <w:pPr>
        <w:tabs>
          <w:tab w:val="num" w:pos="1021"/>
        </w:tabs>
        <w:ind w:left="1021" w:hanging="1021"/>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59553DA"/>
    <w:multiLevelType w:val="hybridMultilevel"/>
    <w:tmpl w:val="464EB224"/>
    <w:lvl w:ilvl="0" w:tplc="7AF4843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9616C39"/>
    <w:multiLevelType w:val="hybridMultilevel"/>
    <w:tmpl w:val="2ABE0B2E"/>
    <w:lvl w:ilvl="0" w:tplc="7AF4843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CB36217"/>
    <w:multiLevelType w:val="hybridMultilevel"/>
    <w:tmpl w:val="D37CDB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D757AE6"/>
    <w:multiLevelType w:val="hybridMultilevel"/>
    <w:tmpl w:val="4BAEE1E2"/>
    <w:lvl w:ilvl="0" w:tplc="0DA4929C">
      <w:start w:val="1"/>
      <w:numFmt w:val="decimal"/>
      <w:pStyle w:val="Caption"/>
      <w:lvlText w:val="Table %1:"/>
      <w:lvlJc w:val="left"/>
      <w:pPr>
        <w:tabs>
          <w:tab w:val="num" w:pos="964"/>
        </w:tabs>
        <w:ind w:left="964" w:hanging="9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F1B213F"/>
    <w:multiLevelType w:val="hybridMultilevel"/>
    <w:tmpl w:val="51F230BE"/>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36" w15:restartNumberingAfterBreak="0">
    <w:nsid w:val="7300120F"/>
    <w:multiLevelType w:val="hybridMultilevel"/>
    <w:tmpl w:val="B374DDFC"/>
    <w:lvl w:ilvl="0" w:tplc="7AF48432">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CAF2A3B"/>
    <w:multiLevelType w:val="hybridMultilevel"/>
    <w:tmpl w:val="B21C6B84"/>
    <w:lvl w:ilvl="0" w:tplc="7AF48432">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 w:numId="5">
    <w:abstractNumId w:val="13"/>
  </w:num>
  <w:num w:numId="6">
    <w:abstractNumId w:val="30"/>
  </w:num>
  <w:num w:numId="7">
    <w:abstractNumId w:val="26"/>
  </w:num>
  <w:num w:numId="8">
    <w:abstractNumId w:val="28"/>
  </w:num>
  <w:num w:numId="9">
    <w:abstractNumId w:val="34"/>
  </w:num>
  <w:num w:numId="10">
    <w:abstractNumId w:val="7"/>
  </w:num>
  <w:num w:numId="11">
    <w:abstractNumId w:val="5"/>
  </w:num>
  <w:num w:numId="12">
    <w:abstractNumId w:val="3"/>
  </w:num>
  <w:num w:numId="13">
    <w:abstractNumId w:val="2"/>
    <w:lvlOverride w:ilvl="0">
      <w:startOverride w:val="1"/>
    </w:lvlOverride>
  </w:num>
  <w:num w:numId="14">
    <w:abstractNumId w:val="2"/>
    <w:lvlOverride w:ilvl="0">
      <w:startOverride w:val="1"/>
    </w:lvlOverride>
  </w:num>
  <w:num w:numId="15">
    <w:abstractNumId w:val="2"/>
    <w:lvlOverride w:ilvl="0">
      <w:startOverride w:val="1"/>
    </w:lvlOverride>
  </w:num>
  <w:num w:numId="16">
    <w:abstractNumId w:val="14"/>
  </w:num>
  <w:num w:numId="17">
    <w:abstractNumId w:val="20"/>
  </w:num>
  <w:num w:numId="18">
    <w:abstractNumId w:val="35"/>
  </w:num>
  <w:num w:numId="19">
    <w:abstractNumId w:val="24"/>
  </w:num>
  <w:num w:numId="20">
    <w:abstractNumId w:val="31"/>
  </w:num>
  <w:num w:numId="21">
    <w:abstractNumId w:val="33"/>
  </w:num>
  <w:num w:numId="22">
    <w:abstractNumId w:val="16"/>
  </w:num>
  <w:num w:numId="23">
    <w:abstractNumId w:val="21"/>
  </w:num>
  <w:num w:numId="24">
    <w:abstractNumId w:val="6"/>
  </w:num>
  <w:num w:numId="25">
    <w:abstractNumId w:val="25"/>
  </w:num>
  <w:num w:numId="26">
    <w:abstractNumId w:val="19"/>
  </w:num>
  <w:num w:numId="27">
    <w:abstractNumId w:val="27"/>
  </w:num>
  <w:num w:numId="28">
    <w:abstractNumId w:val="23"/>
  </w:num>
  <w:num w:numId="29">
    <w:abstractNumId w:val="10"/>
  </w:num>
  <w:num w:numId="30">
    <w:abstractNumId w:val="12"/>
  </w:num>
  <w:num w:numId="31">
    <w:abstractNumId w:val="29"/>
  </w:num>
  <w:num w:numId="32">
    <w:abstractNumId w:val="22"/>
  </w:num>
  <w:num w:numId="33">
    <w:abstractNumId w:val="32"/>
  </w:num>
  <w:num w:numId="34">
    <w:abstractNumId w:val="11"/>
  </w:num>
  <w:num w:numId="35">
    <w:abstractNumId w:val="8"/>
  </w:num>
  <w:num w:numId="36">
    <w:abstractNumId w:val="18"/>
  </w:num>
  <w:num w:numId="37">
    <w:abstractNumId w:val="9"/>
  </w:num>
  <w:num w:numId="38">
    <w:abstractNumId w:val="17"/>
  </w:num>
  <w:num w:numId="39">
    <w:abstractNumId w:val="4"/>
  </w:num>
  <w:num w:numId="40">
    <w:abstractNumId w:val="37"/>
  </w:num>
  <w:num w:numId="41">
    <w:abstractNumId w:val="36"/>
  </w:num>
  <w:num w:numId="42">
    <w:abstractNumId w:val="15"/>
  </w:num>
  <w:num w:numId="43">
    <w:abstractNumId w:val="1"/>
  </w:num>
  <w:num w:numId="44">
    <w:abstractNumId w:val="3"/>
  </w:num>
  <w:num w:numId="45">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4"/>
  <w:removePersonalInformation/>
  <w:removeDateAndTime/>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284"/>
  <w:evenAndOddHeaders/>
  <w:drawingGridHorizontalSpacing w:val="100"/>
  <w:displayHorizontalDrawingGridEvery w:val="2"/>
  <w:characterSpacingControl w:val="doNotCompress"/>
  <w:hdrShapeDefaults>
    <o:shapedefaults v:ext="edit" spidmax="10241">
      <o:colormru v:ext="edit" colors="red,#4d4d4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A6F"/>
    <w:rsid w:val="00000D2C"/>
    <w:rsid w:val="000015F4"/>
    <w:rsid w:val="00001630"/>
    <w:rsid w:val="00001800"/>
    <w:rsid w:val="00001E3E"/>
    <w:rsid w:val="00002EBC"/>
    <w:rsid w:val="000059C2"/>
    <w:rsid w:val="00005FD9"/>
    <w:rsid w:val="000068F9"/>
    <w:rsid w:val="00007B31"/>
    <w:rsid w:val="00007D27"/>
    <w:rsid w:val="00010363"/>
    <w:rsid w:val="00010667"/>
    <w:rsid w:val="00011503"/>
    <w:rsid w:val="000129D5"/>
    <w:rsid w:val="000131C8"/>
    <w:rsid w:val="00014DD0"/>
    <w:rsid w:val="00014E6E"/>
    <w:rsid w:val="00015AE7"/>
    <w:rsid w:val="00016E21"/>
    <w:rsid w:val="0001719C"/>
    <w:rsid w:val="00017309"/>
    <w:rsid w:val="00017DF0"/>
    <w:rsid w:val="000200F4"/>
    <w:rsid w:val="000201E3"/>
    <w:rsid w:val="00020CE6"/>
    <w:rsid w:val="0002224E"/>
    <w:rsid w:val="000230C5"/>
    <w:rsid w:val="0002424F"/>
    <w:rsid w:val="00024551"/>
    <w:rsid w:val="000245E5"/>
    <w:rsid w:val="000253B5"/>
    <w:rsid w:val="00025561"/>
    <w:rsid w:val="0002696C"/>
    <w:rsid w:val="00026F91"/>
    <w:rsid w:val="00027C59"/>
    <w:rsid w:val="00030806"/>
    <w:rsid w:val="0003099E"/>
    <w:rsid w:val="00030FBA"/>
    <w:rsid w:val="000313F1"/>
    <w:rsid w:val="00031C70"/>
    <w:rsid w:val="00032621"/>
    <w:rsid w:val="0003387E"/>
    <w:rsid w:val="00033AB5"/>
    <w:rsid w:val="00033E89"/>
    <w:rsid w:val="00035570"/>
    <w:rsid w:val="0003593B"/>
    <w:rsid w:val="00036A40"/>
    <w:rsid w:val="0003739F"/>
    <w:rsid w:val="00037856"/>
    <w:rsid w:val="00037BD8"/>
    <w:rsid w:val="00040FEE"/>
    <w:rsid w:val="000429EE"/>
    <w:rsid w:val="00044324"/>
    <w:rsid w:val="00044ABD"/>
    <w:rsid w:val="00045458"/>
    <w:rsid w:val="00045AED"/>
    <w:rsid w:val="0004764C"/>
    <w:rsid w:val="00047790"/>
    <w:rsid w:val="0005011A"/>
    <w:rsid w:val="0005045A"/>
    <w:rsid w:val="00050AD3"/>
    <w:rsid w:val="00050DD6"/>
    <w:rsid w:val="00051593"/>
    <w:rsid w:val="00051C1E"/>
    <w:rsid w:val="00051E1D"/>
    <w:rsid w:val="0005215A"/>
    <w:rsid w:val="00052507"/>
    <w:rsid w:val="00052BC4"/>
    <w:rsid w:val="000539F9"/>
    <w:rsid w:val="00053A6B"/>
    <w:rsid w:val="00054C27"/>
    <w:rsid w:val="00055360"/>
    <w:rsid w:val="0005554F"/>
    <w:rsid w:val="00055711"/>
    <w:rsid w:val="00055EC3"/>
    <w:rsid w:val="000563CE"/>
    <w:rsid w:val="00056611"/>
    <w:rsid w:val="000572EF"/>
    <w:rsid w:val="000620CF"/>
    <w:rsid w:val="00062779"/>
    <w:rsid w:val="000628E3"/>
    <w:rsid w:val="0006361A"/>
    <w:rsid w:val="00064EAA"/>
    <w:rsid w:val="000659B6"/>
    <w:rsid w:val="0006686F"/>
    <w:rsid w:val="000668B4"/>
    <w:rsid w:val="00066999"/>
    <w:rsid w:val="00066DD9"/>
    <w:rsid w:val="0006722A"/>
    <w:rsid w:val="00067EB4"/>
    <w:rsid w:val="000713D4"/>
    <w:rsid w:val="000717CB"/>
    <w:rsid w:val="0007198A"/>
    <w:rsid w:val="00072287"/>
    <w:rsid w:val="00072432"/>
    <w:rsid w:val="00072A50"/>
    <w:rsid w:val="00073234"/>
    <w:rsid w:val="000732CF"/>
    <w:rsid w:val="00073B40"/>
    <w:rsid w:val="00074710"/>
    <w:rsid w:val="00074B77"/>
    <w:rsid w:val="00075B96"/>
    <w:rsid w:val="00076CA9"/>
    <w:rsid w:val="0007725E"/>
    <w:rsid w:val="00077381"/>
    <w:rsid w:val="000808AC"/>
    <w:rsid w:val="000810B5"/>
    <w:rsid w:val="0008196A"/>
    <w:rsid w:val="00083FF5"/>
    <w:rsid w:val="00084BF9"/>
    <w:rsid w:val="0008518A"/>
    <w:rsid w:val="00085EFC"/>
    <w:rsid w:val="00087EE6"/>
    <w:rsid w:val="00090391"/>
    <w:rsid w:val="000904AE"/>
    <w:rsid w:val="00090A01"/>
    <w:rsid w:val="00090B16"/>
    <w:rsid w:val="000915ED"/>
    <w:rsid w:val="00091E85"/>
    <w:rsid w:val="0009209D"/>
    <w:rsid w:val="00092CC5"/>
    <w:rsid w:val="000939F0"/>
    <w:rsid w:val="0009463C"/>
    <w:rsid w:val="00095D0D"/>
    <w:rsid w:val="00096011"/>
    <w:rsid w:val="000969BD"/>
    <w:rsid w:val="000969BF"/>
    <w:rsid w:val="000974BC"/>
    <w:rsid w:val="000A04FC"/>
    <w:rsid w:val="000A0C22"/>
    <w:rsid w:val="000A1400"/>
    <w:rsid w:val="000A2408"/>
    <w:rsid w:val="000A271D"/>
    <w:rsid w:val="000A3C43"/>
    <w:rsid w:val="000A442C"/>
    <w:rsid w:val="000A4685"/>
    <w:rsid w:val="000A4A51"/>
    <w:rsid w:val="000A4E7C"/>
    <w:rsid w:val="000A4F52"/>
    <w:rsid w:val="000A54E8"/>
    <w:rsid w:val="000A5604"/>
    <w:rsid w:val="000A5955"/>
    <w:rsid w:val="000A5CFE"/>
    <w:rsid w:val="000A5D2B"/>
    <w:rsid w:val="000A62F9"/>
    <w:rsid w:val="000A79B4"/>
    <w:rsid w:val="000A7AA6"/>
    <w:rsid w:val="000B0420"/>
    <w:rsid w:val="000B0DCC"/>
    <w:rsid w:val="000B27EF"/>
    <w:rsid w:val="000B305C"/>
    <w:rsid w:val="000B3272"/>
    <w:rsid w:val="000B4664"/>
    <w:rsid w:val="000B587F"/>
    <w:rsid w:val="000B5DE3"/>
    <w:rsid w:val="000B794E"/>
    <w:rsid w:val="000C0A57"/>
    <w:rsid w:val="000C2220"/>
    <w:rsid w:val="000C226D"/>
    <w:rsid w:val="000C230C"/>
    <w:rsid w:val="000C3DD3"/>
    <w:rsid w:val="000C576E"/>
    <w:rsid w:val="000C5CD9"/>
    <w:rsid w:val="000C6AB4"/>
    <w:rsid w:val="000C73B1"/>
    <w:rsid w:val="000D0697"/>
    <w:rsid w:val="000D0909"/>
    <w:rsid w:val="000D0A60"/>
    <w:rsid w:val="000D1323"/>
    <w:rsid w:val="000D23DC"/>
    <w:rsid w:val="000D3F13"/>
    <w:rsid w:val="000D5D98"/>
    <w:rsid w:val="000D6147"/>
    <w:rsid w:val="000D71D9"/>
    <w:rsid w:val="000D76E0"/>
    <w:rsid w:val="000D7E8B"/>
    <w:rsid w:val="000E0506"/>
    <w:rsid w:val="000E13FC"/>
    <w:rsid w:val="000E1894"/>
    <w:rsid w:val="000E1AB9"/>
    <w:rsid w:val="000E243B"/>
    <w:rsid w:val="000E2959"/>
    <w:rsid w:val="000E3C6B"/>
    <w:rsid w:val="000E3E63"/>
    <w:rsid w:val="000E4449"/>
    <w:rsid w:val="000E4B6A"/>
    <w:rsid w:val="000E5753"/>
    <w:rsid w:val="000E5B40"/>
    <w:rsid w:val="000E5E33"/>
    <w:rsid w:val="000E6097"/>
    <w:rsid w:val="000E6426"/>
    <w:rsid w:val="000E76AC"/>
    <w:rsid w:val="000F1AB7"/>
    <w:rsid w:val="000F3DFF"/>
    <w:rsid w:val="000F4709"/>
    <w:rsid w:val="000F5371"/>
    <w:rsid w:val="000F6003"/>
    <w:rsid w:val="000F6DAA"/>
    <w:rsid w:val="000F6F92"/>
    <w:rsid w:val="000F7A16"/>
    <w:rsid w:val="001008EB"/>
    <w:rsid w:val="00100ED8"/>
    <w:rsid w:val="00101648"/>
    <w:rsid w:val="00102169"/>
    <w:rsid w:val="0010281A"/>
    <w:rsid w:val="001030B4"/>
    <w:rsid w:val="00103829"/>
    <w:rsid w:val="00103837"/>
    <w:rsid w:val="00103A8D"/>
    <w:rsid w:val="00104961"/>
    <w:rsid w:val="00105A79"/>
    <w:rsid w:val="00110CC1"/>
    <w:rsid w:val="00111C6E"/>
    <w:rsid w:val="00111FCE"/>
    <w:rsid w:val="001120ED"/>
    <w:rsid w:val="00112A3A"/>
    <w:rsid w:val="001144B5"/>
    <w:rsid w:val="00114616"/>
    <w:rsid w:val="0011590B"/>
    <w:rsid w:val="00115A47"/>
    <w:rsid w:val="00116F31"/>
    <w:rsid w:val="00117E10"/>
    <w:rsid w:val="00120DD2"/>
    <w:rsid w:val="00121856"/>
    <w:rsid w:val="001225A9"/>
    <w:rsid w:val="0012268D"/>
    <w:rsid w:val="0012286D"/>
    <w:rsid w:val="001229A5"/>
    <w:rsid w:val="00124850"/>
    <w:rsid w:val="0012489B"/>
    <w:rsid w:val="00125A0B"/>
    <w:rsid w:val="00125F89"/>
    <w:rsid w:val="00126985"/>
    <w:rsid w:val="00126BB8"/>
    <w:rsid w:val="00130017"/>
    <w:rsid w:val="00130F91"/>
    <w:rsid w:val="00131889"/>
    <w:rsid w:val="0013287B"/>
    <w:rsid w:val="001329A6"/>
    <w:rsid w:val="00132C98"/>
    <w:rsid w:val="00134376"/>
    <w:rsid w:val="001349ED"/>
    <w:rsid w:val="00135B0C"/>
    <w:rsid w:val="00137031"/>
    <w:rsid w:val="00137424"/>
    <w:rsid w:val="001376DD"/>
    <w:rsid w:val="00137ADF"/>
    <w:rsid w:val="00140318"/>
    <w:rsid w:val="0014187D"/>
    <w:rsid w:val="0014196F"/>
    <w:rsid w:val="00141AD9"/>
    <w:rsid w:val="0014214F"/>
    <w:rsid w:val="00142E02"/>
    <w:rsid w:val="00142F61"/>
    <w:rsid w:val="00144E5D"/>
    <w:rsid w:val="00144F74"/>
    <w:rsid w:val="00145106"/>
    <w:rsid w:val="00146059"/>
    <w:rsid w:val="00146CE6"/>
    <w:rsid w:val="00146E0B"/>
    <w:rsid w:val="00146EF5"/>
    <w:rsid w:val="00150DC8"/>
    <w:rsid w:val="00152903"/>
    <w:rsid w:val="00153626"/>
    <w:rsid w:val="0015368E"/>
    <w:rsid w:val="00153F70"/>
    <w:rsid w:val="00153FD5"/>
    <w:rsid w:val="00154022"/>
    <w:rsid w:val="0015614F"/>
    <w:rsid w:val="00156BD6"/>
    <w:rsid w:val="001577C2"/>
    <w:rsid w:val="00160DAF"/>
    <w:rsid w:val="00161FDC"/>
    <w:rsid w:val="001625DE"/>
    <w:rsid w:val="001633C4"/>
    <w:rsid w:val="001635EE"/>
    <w:rsid w:val="00163D1D"/>
    <w:rsid w:val="001655A8"/>
    <w:rsid w:val="00165D73"/>
    <w:rsid w:val="001704D5"/>
    <w:rsid w:val="00170713"/>
    <w:rsid w:val="00170F3A"/>
    <w:rsid w:val="00170F87"/>
    <w:rsid w:val="00171591"/>
    <w:rsid w:val="001726A2"/>
    <w:rsid w:val="00172DD2"/>
    <w:rsid w:val="001734F2"/>
    <w:rsid w:val="00173981"/>
    <w:rsid w:val="001742AF"/>
    <w:rsid w:val="00174993"/>
    <w:rsid w:val="001749B1"/>
    <w:rsid w:val="00174EF7"/>
    <w:rsid w:val="0017617E"/>
    <w:rsid w:val="0017719D"/>
    <w:rsid w:val="00177E89"/>
    <w:rsid w:val="00180D94"/>
    <w:rsid w:val="00180D9B"/>
    <w:rsid w:val="00181224"/>
    <w:rsid w:val="0018294D"/>
    <w:rsid w:val="00183367"/>
    <w:rsid w:val="00183BFB"/>
    <w:rsid w:val="00183DAA"/>
    <w:rsid w:val="00183FD7"/>
    <w:rsid w:val="0018402A"/>
    <w:rsid w:val="00184B99"/>
    <w:rsid w:val="00185793"/>
    <w:rsid w:val="00185B1E"/>
    <w:rsid w:val="00185CAB"/>
    <w:rsid w:val="00186928"/>
    <w:rsid w:val="001875B7"/>
    <w:rsid w:val="00187CB3"/>
    <w:rsid w:val="0019050A"/>
    <w:rsid w:val="001910D4"/>
    <w:rsid w:val="00192CF3"/>
    <w:rsid w:val="001931DF"/>
    <w:rsid w:val="00194008"/>
    <w:rsid w:val="001941F5"/>
    <w:rsid w:val="001947D6"/>
    <w:rsid w:val="001956C8"/>
    <w:rsid w:val="0019710C"/>
    <w:rsid w:val="001976E3"/>
    <w:rsid w:val="00197979"/>
    <w:rsid w:val="001A0ADE"/>
    <w:rsid w:val="001A25E9"/>
    <w:rsid w:val="001A28CB"/>
    <w:rsid w:val="001A2B55"/>
    <w:rsid w:val="001A44EC"/>
    <w:rsid w:val="001A4CE6"/>
    <w:rsid w:val="001A5891"/>
    <w:rsid w:val="001A60C1"/>
    <w:rsid w:val="001A6224"/>
    <w:rsid w:val="001A6490"/>
    <w:rsid w:val="001B08D5"/>
    <w:rsid w:val="001B225A"/>
    <w:rsid w:val="001B27AA"/>
    <w:rsid w:val="001B324A"/>
    <w:rsid w:val="001B3314"/>
    <w:rsid w:val="001B3382"/>
    <w:rsid w:val="001B3473"/>
    <w:rsid w:val="001B375D"/>
    <w:rsid w:val="001B4F43"/>
    <w:rsid w:val="001B58AA"/>
    <w:rsid w:val="001B5CC8"/>
    <w:rsid w:val="001B5EB2"/>
    <w:rsid w:val="001B6732"/>
    <w:rsid w:val="001B6763"/>
    <w:rsid w:val="001B76F5"/>
    <w:rsid w:val="001B7E48"/>
    <w:rsid w:val="001C03DA"/>
    <w:rsid w:val="001C17CE"/>
    <w:rsid w:val="001C1BF5"/>
    <w:rsid w:val="001C36CA"/>
    <w:rsid w:val="001C44D1"/>
    <w:rsid w:val="001C4EEC"/>
    <w:rsid w:val="001C5851"/>
    <w:rsid w:val="001C68B3"/>
    <w:rsid w:val="001C6AEE"/>
    <w:rsid w:val="001C6B7D"/>
    <w:rsid w:val="001C6F83"/>
    <w:rsid w:val="001C719A"/>
    <w:rsid w:val="001C722F"/>
    <w:rsid w:val="001C7630"/>
    <w:rsid w:val="001D03CC"/>
    <w:rsid w:val="001D1496"/>
    <w:rsid w:val="001D27A5"/>
    <w:rsid w:val="001D2AC3"/>
    <w:rsid w:val="001D2AD1"/>
    <w:rsid w:val="001D2F81"/>
    <w:rsid w:val="001D34D7"/>
    <w:rsid w:val="001D42C0"/>
    <w:rsid w:val="001D4550"/>
    <w:rsid w:val="001D4E4D"/>
    <w:rsid w:val="001D5543"/>
    <w:rsid w:val="001D6D15"/>
    <w:rsid w:val="001D6EEA"/>
    <w:rsid w:val="001D76D1"/>
    <w:rsid w:val="001E06D9"/>
    <w:rsid w:val="001E11E1"/>
    <w:rsid w:val="001E189E"/>
    <w:rsid w:val="001E2FFD"/>
    <w:rsid w:val="001E3204"/>
    <w:rsid w:val="001E3CD1"/>
    <w:rsid w:val="001E488D"/>
    <w:rsid w:val="001E554A"/>
    <w:rsid w:val="001E59F2"/>
    <w:rsid w:val="001E5EB8"/>
    <w:rsid w:val="001E5F42"/>
    <w:rsid w:val="001E714E"/>
    <w:rsid w:val="001F2268"/>
    <w:rsid w:val="001F3CA1"/>
    <w:rsid w:val="001F50F7"/>
    <w:rsid w:val="001F6AFA"/>
    <w:rsid w:val="001F6AFD"/>
    <w:rsid w:val="001F7558"/>
    <w:rsid w:val="001F768E"/>
    <w:rsid w:val="001F7D6C"/>
    <w:rsid w:val="00200266"/>
    <w:rsid w:val="00200327"/>
    <w:rsid w:val="00201983"/>
    <w:rsid w:val="00201EE2"/>
    <w:rsid w:val="002026BD"/>
    <w:rsid w:val="00204776"/>
    <w:rsid w:val="00205A24"/>
    <w:rsid w:val="00205B57"/>
    <w:rsid w:val="002061A3"/>
    <w:rsid w:val="00210155"/>
    <w:rsid w:val="00210D76"/>
    <w:rsid w:val="00210F2B"/>
    <w:rsid w:val="00212B1B"/>
    <w:rsid w:val="00213170"/>
    <w:rsid w:val="002133FE"/>
    <w:rsid w:val="0021426C"/>
    <w:rsid w:val="00214B79"/>
    <w:rsid w:val="002157E0"/>
    <w:rsid w:val="00216A57"/>
    <w:rsid w:val="00217448"/>
    <w:rsid w:val="00217BC7"/>
    <w:rsid w:val="0022013D"/>
    <w:rsid w:val="002204C3"/>
    <w:rsid w:val="00221598"/>
    <w:rsid w:val="0022334F"/>
    <w:rsid w:val="00225241"/>
    <w:rsid w:val="00226819"/>
    <w:rsid w:val="0023053C"/>
    <w:rsid w:val="00231FB8"/>
    <w:rsid w:val="00232640"/>
    <w:rsid w:val="00233101"/>
    <w:rsid w:val="002334FF"/>
    <w:rsid w:val="00233817"/>
    <w:rsid w:val="00234023"/>
    <w:rsid w:val="002350F8"/>
    <w:rsid w:val="0023537D"/>
    <w:rsid w:val="002367FF"/>
    <w:rsid w:val="0023699F"/>
    <w:rsid w:val="00237CE2"/>
    <w:rsid w:val="00237D58"/>
    <w:rsid w:val="00240CE9"/>
    <w:rsid w:val="00241FE2"/>
    <w:rsid w:val="002420D2"/>
    <w:rsid w:val="00242C47"/>
    <w:rsid w:val="002434BA"/>
    <w:rsid w:val="00245A3F"/>
    <w:rsid w:val="00246089"/>
    <w:rsid w:val="00246093"/>
    <w:rsid w:val="00246702"/>
    <w:rsid w:val="0024681A"/>
    <w:rsid w:val="00246A1E"/>
    <w:rsid w:val="00246FC8"/>
    <w:rsid w:val="002476C7"/>
    <w:rsid w:val="00247C59"/>
    <w:rsid w:val="00247F2E"/>
    <w:rsid w:val="00250ADC"/>
    <w:rsid w:val="00250B07"/>
    <w:rsid w:val="002513D6"/>
    <w:rsid w:val="00253451"/>
    <w:rsid w:val="00254674"/>
    <w:rsid w:val="00255466"/>
    <w:rsid w:val="00257553"/>
    <w:rsid w:val="0026010F"/>
    <w:rsid w:val="002607DC"/>
    <w:rsid w:val="00260FB2"/>
    <w:rsid w:val="002613DD"/>
    <w:rsid w:val="00261AAD"/>
    <w:rsid w:val="00261D67"/>
    <w:rsid w:val="00262128"/>
    <w:rsid w:val="00263315"/>
    <w:rsid w:val="002635C0"/>
    <w:rsid w:val="0026459A"/>
    <w:rsid w:val="00264A14"/>
    <w:rsid w:val="002658DF"/>
    <w:rsid w:val="00267000"/>
    <w:rsid w:val="002677F4"/>
    <w:rsid w:val="002679EB"/>
    <w:rsid w:val="002701E3"/>
    <w:rsid w:val="00270891"/>
    <w:rsid w:val="00270DC0"/>
    <w:rsid w:val="0027102A"/>
    <w:rsid w:val="0027165D"/>
    <w:rsid w:val="002717D6"/>
    <w:rsid w:val="0027230C"/>
    <w:rsid w:val="00272776"/>
    <w:rsid w:val="002728C2"/>
    <w:rsid w:val="00273CEB"/>
    <w:rsid w:val="00273FFD"/>
    <w:rsid w:val="00274FBC"/>
    <w:rsid w:val="00275AB2"/>
    <w:rsid w:val="00275B82"/>
    <w:rsid w:val="00276153"/>
    <w:rsid w:val="00277904"/>
    <w:rsid w:val="002809F9"/>
    <w:rsid w:val="00280D6E"/>
    <w:rsid w:val="00280F2D"/>
    <w:rsid w:val="00281C89"/>
    <w:rsid w:val="0028282F"/>
    <w:rsid w:val="0028283B"/>
    <w:rsid w:val="00282D2A"/>
    <w:rsid w:val="0028368E"/>
    <w:rsid w:val="0028527D"/>
    <w:rsid w:val="002866AB"/>
    <w:rsid w:val="00291C5A"/>
    <w:rsid w:val="00292516"/>
    <w:rsid w:val="00293A1B"/>
    <w:rsid w:val="00294477"/>
    <w:rsid w:val="00294879"/>
    <w:rsid w:val="00295153"/>
    <w:rsid w:val="0029593B"/>
    <w:rsid w:val="00296313"/>
    <w:rsid w:val="00296539"/>
    <w:rsid w:val="00296560"/>
    <w:rsid w:val="00297093"/>
    <w:rsid w:val="0029714F"/>
    <w:rsid w:val="002976FC"/>
    <w:rsid w:val="00297FC5"/>
    <w:rsid w:val="002A0118"/>
    <w:rsid w:val="002A0209"/>
    <w:rsid w:val="002A0417"/>
    <w:rsid w:val="002A1423"/>
    <w:rsid w:val="002A16D8"/>
    <w:rsid w:val="002A18D8"/>
    <w:rsid w:val="002A1BC8"/>
    <w:rsid w:val="002A3EF2"/>
    <w:rsid w:val="002A4DFB"/>
    <w:rsid w:val="002A5055"/>
    <w:rsid w:val="002A57C0"/>
    <w:rsid w:val="002A7847"/>
    <w:rsid w:val="002B0462"/>
    <w:rsid w:val="002B0DED"/>
    <w:rsid w:val="002B19A2"/>
    <w:rsid w:val="002B2EFC"/>
    <w:rsid w:val="002B381A"/>
    <w:rsid w:val="002B4FCC"/>
    <w:rsid w:val="002B519C"/>
    <w:rsid w:val="002B660E"/>
    <w:rsid w:val="002B7408"/>
    <w:rsid w:val="002B7CFD"/>
    <w:rsid w:val="002C04DF"/>
    <w:rsid w:val="002C0530"/>
    <w:rsid w:val="002C0558"/>
    <w:rsid w:val="002C1997"/>
    <w:rsid w:val="002C210F"/>
    <w:rsid w:val="002C451C"/>
    <w:rsid w:val="002C4E31"/>
    <w:rsid w:val="002C4F64"/>
    <w:rsid w:val="002C6B97"/>
    <w:rsid w:val="002D204F"/>
    <w:rsid w:val="002D233A"/>
    <w:rsid w:val="002D2EF3"/>
    <w:rsid w:val="002D3600"/>
    <w:rsid w:val="002D3CEF"/>
    <w:rsid w:val="002D3FDA"/>
    <w:rsid w:val="002D4150"/>
    <w:rsid w:val="002D4660"/>
    <w:rsid w:val="002D4834"/>
    <w:rsid w:val="002D524C"/>
    <w:rsid w:val="002D6697"/>
    <w:rsid w:val="002D7B4C"/>
    <w:rsid w:val="002D7BF6"/>
    <w:rsid w:val="002E0122"/>
    <w:rsid w:val="002E1304"/>
    <w:rsid w:val="002E1861"/>
    <w:rsid w:val="002E20E4"/>
    <w:rsid w:val="002E22CD"/>
    <w:rsid w:val="002E2455"/>
    <w:rsid w:val="002E4DDC"/>
    <w:rsid w:val="002E7E90"/>
    <w:rsid w:val="002F049F"/>
    <w:rsid w:val="002F1B8F"/>
    <w:rsid w:val="002F2B7A"/>
    <w:rsid w:val="002F3F1A"/>
    <w:rsid w:val="002F4DC0"/>
    <w:rsid w:val="002F5151"/>
    <w:rsid w:val="002F56D7"/>
    <w:rsid w:val="002F7081"/>
    <w:rsid w:val="002F7566"/>
    <w:rsid w:val="003007F4"/>
    <w:rsid w:val="0030093A"/>
    <w:rsid w:val="00300E27"/>
    <w:rsid w:val="003013D8"/>
    <w:rsid w:val="00301E56"/>
    <w:rsid w:val="00302480"/>
    <w:rsid w:val="0030271D"/>
    <w:rsid w:val="00302758"/>
    <w:rsid w:val="00303ADB"/>
    <w:rsid w:val="0030473A"/>
    <w:rsid w:val="00305107"/>
    <w:rsid w:val="0030526C"/>
    <w:rsid w:val="00305DB4"/>
    <w:rsid w:val="003074BB"/>
    <w:rsid w:val="00307C93"/>
    <w:rsid w:val="00311066"/>
    <w:rsid w:val="0031139A"/>
    <w:rsid w:val="00311B97"/>
    <w:rsid w:val="003140FE"/>
    <w:rsid w:val="003147D4"/>
    <w:rsid w:val="003154CD"/>
    <w:rsid w:val="003165E6"/>
    <w:rsid w:val="003166E9"/>
    <w:rsid w:val="00316BB7"/>
    <w:rsid w:val="00317BE2"/>
    <w:rsid w:val="00317FE2"/>
    <w:rsid w:val="00321323"/>
    <w:rsid w:val="00321582"/>
    <w:rsid w:val="003215B5"/>
    <w:rsid w:val="00321624"/>
    <w:rsid w:val="00321FAC"/>
    <w:rsid w:val="003221CF"/>
    <w:rsid w:val="003233DA"/>
    <w:rsid w:val="003233ED"/>
    <w:rsid w:val="003237EC"/>
    <w:rsid w:val="0032496D"/>
    <w:rsid w:val="00324D9F"/>
    <w:rsid w:val="0032612A"/>
    <w:rsid w:val="00326275"/>
    <w:rsid w:val="003269FB"/>
    <w:rsid w:val="00326DE9"/>
    <w:rsid w:val="003275FC"/>
    <w:rsid w:val="00327948"/>
    <w:rsid w:val="0033000F"/>
    <w:rsid w:val="003312AA"/>
    <w:rsid w:val="00332011"/>
    <w:rsid w:val="00332518"/>
    <w:rsid w:val="00332925"/>
    <w:rsid w:val="00332E3F"/>
    <w:rsid w:val="00332EA8"/>
    <w:rsid w:val="003332ED"/>
    <w:rsid w:val="00334F5E"/>
    <w:rsid w:val="00335D98"/>
    <w:rsid w:val="003368DC"/>
    <w:rsid w:val="00337A73"/>
    <w:rsid w:val="00337D4B"/>
    <w:rsid w:val="00341467"/>
    <w:rsid w:val="00341780"/>
    <w:rsid w:val="00342CB4"/>
    <w:rsid w:val="00344E30"/>
    <w:rsid w:val="00345927"/>
    <w:rsid w:val="00345D0F"/>
    <w:rsid w:val="00345F81"/>
    <w:rsid w:val="0034639B"/>
    <w:rsid w:val="00346466"/>
    <w:rsid w:val="00350584"/>
    <w:rsid w:val="003512EE"/>
    <w:rsid w:val="0035146D"/>
    <w:rsid w:val="003514DF"/>
    <w:rsid w:val="00351857"/>
    <w:rsid w:val="00352291"/>
    <w:rsid w:val="003545E8"/>
    <w:rsid w:val="003546A8"/>
    <w:rsid w:val="00354BB1"/>
    <w:rsid w:val="00355553"/>
    <w:rsid w:val="00355AC3"/>
    <w:rsid w:val="00356959"/>
    <w:rsid w:val="003569B9"/>
    <w:rsid w:val="00357E88"/>
    <w:rsid w:val="003610E1"/>
    <w:rsid w:val="003615FC"/>
    <w:rsid w:val="00362A1C"/>
    <w:rsid w:val="00363776"/>
    <w:rsid w:val="00364257"/>
    <w:rsid w:val="00365007"/>
    <w:rsid w:val="003657E1"/>
    <w:rsid w:val="00365D83"/>
    <w:rsid w:val="003671BE"/>
    <w:rsid w:val="0037235C"/>
    <w:rsid w:val="00372485"/>
    <w:rsid w:val="00373122"/>
    <w:rsid w:val="00373200"/>
    <w:rsid w:val="003737BB"/>
    <w:rsid w:val="0037423A"/>
    <w:rsid w:val="003744F7"/>
    <w:rsid w:val="00374C35"/>
    <w:rsid w:val="00375A30"/>
    <w:rsid w:val="00375C6C"/>
    <w:rsid w:val="00375EF5"/>
    <w:rsid w:val="003762B7"/>
    <w:rsid w:val="003767A5"/>
    <w:rsid w:val="0037687E"/>
    <w:rsid w:val="00377CF5"/>
    <w:rsid w:val="00380D68"/>
    <w:rsid w:val="00381109"/>
    <w:rsid w:val="00381D15"/>
    <w:rsid w:val="00381E20"/>
    <w:rsid w:val="00382D18"/>
    <w:rsid w:val="003832A2"/>
    <w:rsid w:val="00385253"/>
    <w:rsid w:val="00385254"/>
    <w:rsid w:val="00385D7F"/>
    <w:rsid w:val="00386480"/>
    <w:rsid w:val="00386A03"/>
    <w:rsid w:val="00387AE8"/>
    <w:rsid w:val="00387CB9"/>
    <w:rsid w:val="003900D5"/>
    <w:rsid w:val="00391198"/>
    <w:rsid w:val="00392624"/>
    <w:rsid w:val="003926AA"/>
    <w:rsid w:val="003933E8"/>
    <w:rsid w:val="00393AA2"/>
    <w:rsid w:val="00394031"/>
    <w:rsid w:val="00394A3E"/>
    <w:rsid w:val="00395AA3"/>
    <w:rsid w:val="00395D48"/>
    <w:rsid w:val="00396DC2"/>
    <w:rsid w:val="003A04DB"/>
    <w:rsid w:val="003A0BD3"/>
    <w:rsid w:val="003A1749"/>
    <w:rsid w:val="003A28A9"/>
    <w:rsid w:val="003A5F5B"/>
    <w:rsid w:val="003A77EA"/>
    <w:rsid w:val="003A789A"/>
    <w:rsid w:val="003B0DB5"/>
    <w:rsid w:val="003B12EC"/>
    <w:rsid w:val="003B1331"/>
    <w:rsid w:val="003B469B"/>
    <w:rsid w:val="003B6361"/>
    <w:rsid w:val="003C03B8"/>
    <w:rsid w:val="003C1FE4"/>
    <w:rsid w:val="003C299C"/>
    <w:rsid w:val="003C2FBC"/>
    <w:rsid w:val="003C30E5"/>
    <w:rsid w:val="003C4BF6"/>
    <w:rsid w:val="003C556C"/>
    <w:rsid w:val="003C77E0"/>
    <w:rsid w:val="003D0811"/>
    <w:rsid w:val="003D0DF7"/>
    <w:rsid w:val="003D17D7"/>
    <w:rsid w:val="003D2552"/>
    <w:rsid w:val="003D2678"/>
    <w:rsid w:val="003D2A9D"/>
    <w:rsid w:val="003D2BC5"/>
    <w:rsid w:val="003D2F99"/>
    <w:rsid w:val="003D32CC"/>
    <w:rsid w:val="003D4119"/>
    <w:rsid w:val="003D4234"/>
    <w:rsid w:val="003D51AF"/>
    <w:rsid w:val="003D6219"/>
    <w:rsid w:val="003D71A3"/>
    <w:rsid w:val="003E2A49"/>
    <w:rsid w:val="003E2B8A"/>
    <w:rsid w:val="003E3B3F"/>
    <w:rsid w:val="003E3C74"/>
    <w:rsid w:val="003E4451"/>
    <w:rsid w:val="003E5A0A"/>
    <w:rsid w:val="003E72BB"/>
    <w:rsid w:val="003E763F"/>
    <w:rsid w:val="003F10EE"/>
    <w:rsid w:val="003F15EC"/>
    <w:rsid w:val="003F16F6"/>
    <w:rsid w:val="003F1767"/>
    <w:rsid w:val="003F2637"/>
    <w:rsid w:val="003F28E1"/>
    <w:rsid w:val="003F348A"/>
    <w:rsid w:val="003F38CC"/>
    <w:rsid w:val="003F4DC7"/>
    <w:rsid w:val="003F5235"/>
    <w:rsid w:val="00400FCC"/>
    <w:rsid w:val="00402287"/>
    <w:rsid w:val="0040270A"/>
    <w:rsid w:val="004027E4"/>
    <w:rsid w:val="00402A1F"/>
    <w:rsid w:val="00402CA3"/>
    <w:rsid w:val="00402DEE"/>
    <w:rsid w:val="0040442A"/>
    <w:rsid w:val="0040463D"/>
    <w:rsid w:val="0040488A"/>
    <w:rsid w:val="00405ED2"/>
    <w:rsid w:val="00406256"/>
    <w:rsid w:val="00406BBF"/>
    <w:rsid w:val="00406D82"/>
    <w:rsid w:val="004100F7"/>
    <w:rsid w:val="0041071D"/>
    <w:rsid w:val="00410C42"/>
    <w:rsid w:val="0041101B"/>
    <w:rsid w:val="00411EB1"/>
    <w:rsid w:val="004127D5"/>
    <w:rsid w:val="00412C4E"/>
    <w:rsid w:val="00414AFC"/>
    <w:rsid w:val="004151A7"/>
    <w:rsid w:val="00415310"/>
    <w:rsid w:val="00415807"/>
    <w:rsid w:val="00421346"/>
    <w:rsid w:val="00421709"/>
    <w:rsid w:val="00423763"/>
    <w:rsid w:val="00423D9E"/>
    <w:rsid w:val="004266CC"/>
    <w:rsid w:val="00426C19"/>
    <w:rsid w:val="0042762F"/>
    <w:rsid w:val="00427DC7"/>
    <w:rsid w:val="00427F34"/>
    <w:rsid w:val="00431613"/>
    <w:rsid w:val="00431792"/>
    <w:rsid w:val="0043297A"/>
    <w:rsid w:val="00432A6F"/>
    <w:rsid w:val="00432AFE"/>
    <w:rsid w:val="00432EB2"/>
    <w:rsid w:val="00433212"/>
    <w:rsid w:val="00433825"/>
    <w:rsid w:val="00433959"/>
    <w:rsid w:val="0043714F"/>
    <w:rsid w:val="0044095A"/>
    <w:rsid w:val="00440C71"/>
    <w:rsid w:val="00441F47"/>
    <w:rsid w:val="00442122"/>
    <w:rsid w:val="00442896"/>
    <w:rsid w:val="00442C4B"/>
    <w:rsid w:val="0044312C"/>
    <w:rsid w:val="0044313D"/>
    <w:rsid w:val="00443345"/>
    <w:rsid w:val="004438B5"/>
    <w:rsid w:val="0044490B"/>
    <w:rsid w:val="00444982"/>
    <w:rsid w:val="00446EE9"/>
    <w:rsid w:val="00447037"/>
    <w:rsid w:val="004476ED"/>
    <w:rsid w:val="00450BDC"/>
    <w:rsid w:val="0045124D"/>
    <w:rsid w:val="00451C19"/>
    <w:rsid w:val="00451E2C"/>
    <w:rsid w:val="004529B6"/>
    <w:rsid w:val="0045398B"/>
    <w:rsid w:val="00454596"/>
    <w:rsid w:val="0045605D"/>
    <w:rsid w:val="0045626F"/>
    <w:rsid w:val="004569D6"/>
    <w:rsid w:val="00456F3C"/>
    <w:rsid w:val="00457036"/>
    <w:rsid w:val="00457226"/>
    <w:rsid w:val="00457871"/>
    <w:rsid w:val="004600B3"/>
    <w:rsid w:val="0046135B"/>
    <w:rsid w:val="00461396"/>
    <w:rsid w:val="00461D47"/>
    <w:rsid w:val="00462586"/>
    <w:rsid w:val="0046291C"/>
    <w:rsid w:val="00462C2F"/>
    <w:rsid w:val="00462C8A"/>
    <w:rsid w:val="00462E7C"/>
    <w:rsid w:val="0046421A"/>
    <w:rsid w:val="00464597"/>
    <w:rsid w:val="0046460A"/>
    <w:rsid w:val="004655E4"/>
    <w:rsid w:val="00465CCF"/>
    <w:rsid w:val="00466B7D"/>
    <w:rsid w:val="00466F2B"/>
    <w:rsid w:val="0046766E"/>
    <w:rsid w:val="00467E1C"/>
    <w:rsid w:val="00467E93"/>
    <w:rsid w:val="004703ED"/>
    <w:rsid w:val="004718CC"/>
    <w:rsid w:val="00472692"/>
    <w:rsid w:val="0047476E"/>
    <w:rsid w:val="00474E50"/>
    <w:rsid w:val="00475DE0"/>
    <w:rsid w:val="00476A36"/>
    <w:rsid w:val="00477EE7"/>
    <w:rsid w:val="00481695"/>
    <w:rsid w:val="004825C3"/>
    <w:rsid w:val="004831A6"/>
    <w:rsid w:val="00485007"/>
    <w:rsid w:val="00486089"/>
    <w:rsid w:val="00487B0A"/>
    <w:rsid w:val="0049252F"/>
    <w:rsid w:val="00494533"/>
    <w:rsid w:val="00495A96"/>
    <w:rsid w:val="00495BB3"/>
    <w:rsid w:val="00495E32"/>
    <w:rsid w:val="004968D8"/>
    <w:rsid w:val="004A0BB2"/>
    <w:rsid w:val="004A2675"/>
    <w:rsid w:val="004A4DA3"/>
    <w:rsid w:val="004A56BB"/>
    <w:rsid w:val="004A609B"/>
    <w:rsid w:val="004A67A2"/>
    <w:rsid w:val="004A70D6"/>
    <w:rsid w:val="004A7787"/>
    <w:rsid w:val="004A7AD0"/>
    <w:rsid w:val="004B0B8D"/>
    <w:rsid w:val="004B1751"/>
    <w:rsid w:val="004B20C3"/>
    <w:rsid w:val="004B2833"/>
    <w:rsid w:val="004B296D"/>
    <w:rsid w:val="004B31E7"/>
    <w:rsid w:val="004B3F7A"/>
    <w:rsid w:val="004B405D"/>
    <w:rsid w:val="004B4333"/>
    <w:rsid w:val="004B478D"/>
    <w:rsid w:val="004B4DBB"/>
    <w:rsid w:val="004B5C83"/>
    <w:rsid w:val="004B5DF0"/>
    <w:rsid w:val="004C0253"/>
    <w:rsid w:val="004C1732"/>
    <w:rsid w:val="004C2571"/>
    <w:rsid w:val="004C3BA9"/>
    <w:rsid w:val="004C3D8A"/>
    <w:rsid w:val="004D081D"/>
    <w:rsid w:val="004D3080"/>
    <w:rsid w:val="004D3252"/>
    <w:rsid w:val="004D33B9"/>
    <w:rsid w:val="004D41B8"/>
    <w:rsid w:val="004D56FF"/>
    <w:rsid w:val="004D58C7"/>
    <w:rsid w:val="004E10BF"/>
    <w:rsid w:val="004E17DB"/>
    <w:rsid w:val="004E212C"/>
    <w:rsid w:val="004E2D57"/>
    <w:rsid w:val="004E307A"/>
    <w:rsid w:val="004E39D3"/>
    <w:rsid w:val="004E4EC0"/>
    <w:rsid w:val="004E508A"/>
    <w:rsid w:val="004E616D"/>
    <w:rsid w:val="004F15A0"/>
    <w:rsid w:val="004F1BDE"/>
    <w:rsid w:val="004F2CEE"/>
    <w:rsid w:val="004F51A4"/>
    <w:rsid w:val="004F556E"/>
    <w:rsid w:val="004F591C"/>
    <w:rsid w:val="004F5C89"/>
    <w:rsid w:val="004F5DB1"/>
    <w:rsid w:val="004F6624"/>
    <w:rsid w:val="004F74F7"/>
    <w:rsid w:val="004F7F44"/>
    <w:rsid w:val="0050167B"/>
    <w:rsid w:val="00501A34"/>
    <w:rsid w:val="005020D5"/>
    <w:rsid w:val="0050290B"/>
    <w:rsid w:val="00502FAB"/>
    <w:rsid w:val="005034D5"/>
    <w:rsid w:val="005037B4"/>
    <w:rsid w:val="00503919"/>
    <w:rsid w:val="00504E17"/>
    <w:rsid w:val="005054C5"/>
    <w:rsid w:val="00507232"/>
    <w:rsid w:val="0050747D"/>
    <w:rsid w:val="005079BF"/>
    <w:rsid w:val="005107AB"/>
    <w:rsid w:val="00510B6F"/>
    <w:rsid w:val="005116D1"/>
    <w:rsid w:val="00512299"/>
    <w:rsid w:val="0051269A"/>
    <w:rsid w:val="00515E12"/>
    <w:rsid w:val="00516316"/>
    <w:rsid w:val="00516E52"/>
    <w:rsid w:val="005170FA"/>
    <w:rsid w:val="005171D8"/>
    <w:rsid w:val="00517478"/>
    <w:rsid w:val="00520B25"/>
    <w:rsid w:val="00520BD8"/>
    <w:rsid w:val="005219E7"/>
    <w:rsid w:val="005225F4"/>
    <w:rsid w:val="00523380"/>
    <w:rsid w:val="005237CB"/>
    <w:rsid w:val="0052459A"/>
    <w:rsid w:val="00524AD8"/>
    <w:rsid w:val="00526CB9"/>
    <w:rsid w:val="00530719"/>
    <w:rsid w:val="00530B3A"/>
    <w:rsid w:val="0053102E"/>
    <w:rsid w:val="00531B9A"/>
    <w:rsid w:val="00531D15"/>
    <w:rsid w:val="0053228E"/>
    <w:rsid w:val="0053297D"/>
    <w:rsid w:val="00533186"/>
    <w:rsid w:val="00533D0E"/>
    <w:rsid w:val="00536609"/>
    <w:rsid w:val="00536AB7"/>
    <w:rsid w:val="00537604"/>
    <w:rsid w:val="005406A3"/>
    <w:rsid w:val="00540F4A"/>
    <w:rsid w:val="00541104"/>
    <w:rsid w:val="00541790"/>
    <w:rsid w:val="00542377"/>
    <w:rsid w:val="0054538E"/>
    <w:rsid w:val="0054610B"/>
    <w:rsid w:val="005476EB"/>
    <w:rsid w:val="00550374"/>
    <w:rsid w:val="005508B2"/>
    <w:rsid w:val="00550C58"/>
    <w:rsid w:val="005516DC"/>
    <w:rsid w:val="00551782"/>
    <w:rsid w:val="00552154"/>
    <w:rsid w:val="00552255"/>
    <w:rsid w:val="005526A1"/>
    <w:rsid w:val="0055380C"/>
    <w:rsid w:val="0055449F"/>
    <w:rsid w:val="005556DA"/>
    <w:rsid w:val="00556F78"/>
    <w:rsid w:val="0056007F"/>
    <w:rsid w:val="0056084C"/>
    <w:rsid w:val="00560B5C"/>
    <w:rsid w:val="005614A9"/>
    <w:rsid w:val="00562BAB"/>
    <w:rsid w:val="005635E9"/>
    <w:rsid w:val="00563AD7"/>
    <w:rsid w:val="00563C7C"/>
    <w:rsid w:val="00563C9C"/>
    <w:rsid w:val="00563EF1"/>
    <w:rsid w:val="00564516"/>
    <w:rsid w:val="00564A12"/>
    <w:rsid w:val="005652CE"/>
    <w:rsid w:val="00565A32"/>
    <w:rsid w:val="00566AB4"/>
    <w:rsid w:val="00566D46"/>
    <w:rsid w:val="005673EA"/>
    <w:rsid w:val="00570186"/>
    <w:rsid w:val="005702B1"/>
    <w:rsid w:val="0057031C"/>
    <w:rsid w:val="00570C3E"/>
    <w:rsid w:val="0057162F"/>
    <w:rsid w:val="0057166C"/>
    <w:rsid w:val="00573812"/>
    <w:rsid w:val="00574391"/>
    <w:rsid w:val="005743D2"/>
    <w:rsid w:val="0057457E"/>
    <w:rsid w:val="005745C4"/>
    <w:rsid w:val="00575AC5"/>
    <w:rsid w:val="0057605D"/>
    <w:rsid w:val="0057643F"/>
    <w:rsid w:val="0057672D"/>
    <w:rsid w:val="00576AFB"/>
    <w:rsid w:val="00577C8E"/>
    <w:rsid w:val="005806F8"/>
    <w:rsid w:val="00581347"/>
    <w:rsid w:val="0058143A"/>
    <w:rsid w:val="00581A17"/>
    <w:rsid w:val="00581A2E"/>
    <w:rsid w:val="00581AC9"/>
    <w:rsid w:val="0058254D"/>
    <w:rsid w:val="005845AD"/>
    <w:rsid w:val="005847E5"/>
    <w:rsid w:val="005849F8"/>
    <w:rsid w:val="00585418"/>
    <w:rsid w:val="00586F7A"/>
    <w:rsid w:val="00587408"/>
    <w:rsid w:val="005904AB"/>
    <w:rsid w:val="00591066"/>
    <w:rsid w:val="005910F4"/>
    <w:rsid w:val="00591C35"/>
    <w:rsid w:val="00591D97"/>
    <w:rsid w:val="005938DF"/>
    <w:rsid w:val="00593EAA"/>
    <w:rsid w:val="0059465B"/>
    <w:rsid w:val="00594E9C"/>
    <w:rsid w:val="00594E9D"/>
    <w:rsid w:val="00595062"/>
    <w:rsid w:val="00596EAC"/>
    <w:rsid w:val="00597005"/>
    <w:rsid w:val="005A099B"/>
    <w:rsid w:val="005A0B44"/>
    <w:rsid w:val="005A24D7"/>
    <w:rsid w:val="005A2D9C"/>
    <w:rsid w:val="005A2DEA"/>
    <w:rsid w:val="005A30E1"/>
    <w:rsid w:val="005A4D04"/>
    <w:rsid w:val="005A535A"/>
    <w:rsid w:val="005A545C"/>
    <w:rsid w:val="005A55FE"/>
    <w:rsid w:val="005A6505"/>
    <w:rsid w:val="005A673A"/>
    <w:rsid w:val="005A6A11"/>
    <w:rsid w:val="005A7B62"/>
    <w:rsid w:val="005B0385"/>
    <w:rsid w:val="005B041F"/>
    <w:rsid w:val="005B1105"/>
    <w:rsid w:val="005B1199"/>
    <w:rsid w:val="005B1F99"/>
    <w:rsid w:val="005B2F0D"/>
    <w:rsid w:val="005B4082"/>
    <w:rsid w:val="005B55FC"/>
    <w:rsid w:val="005B5BA4"/>
    <w:rsid w:val="005B6333"/>
    <w:rsid w:val="005B656C"/>
    <w:rsid w:val="005B7D7A"/>
    <w:rsid w:val="005C21E1"/>
    <w:rsid w:val="005C34EF"/>
    <w:rsid w:val="005C60BC"/>
    <w:rsid w:val="005C61F4"/>
    <w:rsid w:val="005C64AD"/>
    <w:rsid w:val="005C6994"/>
    <w:rsid w:val="005C71BA"/>
    <w:rsid w:val="005C7535"/>
    <w:rsid w:val="005C7C5C"/>
    <w:rsid w:val="005D06F4"/>
    <w:rsid w:val="005D0E78"/>
    <w:rsid w:val="005D1067"/>
    <w:rsid w:val="005D2502"/>
    <w:rsid w:val="005D3CB6"/>
    <w:rsid w:val="005D404E"/>
    <w:rsid w:val="005D40BB"/>
    <w:rsid w:val="005D47F3"/>
    <w:rsid w:val="005D49BF"/>
    <w:rsid w:val="005D4AA5"/>
    <w:rsid w:val="005D563A"/>
    <w:rsid w:val="005D5DC1"/>
    <w:rsid w:val="005D6F4E"/>
    <w:rsid w:val="005D7AF6"/>
    <w:rsid w:val="005D7C73"/>
    <w:rsid w:val="005D7E22"/>
    <w:rsid w:val="005D7F59"/>
    <w:rsid w:val="005E0459"/>
    <w:rsid w:val="005E05A5"/>
    <w:rsid w:val="005E0B2E"/>
    <w:rsid w:val="005E250B"/>
    <w:rsid w:val="005E3ACD"/>
    <w:rsid w:val="005E3E6B"/>
    <w:rsid w:val="005E4024"/>
    <w:rsid w:val="005E432C"/>
    <w:rsid w:val="005E4ADB"/>
    <w:rsid w:val="005E5498"/>
    <w:rsid w:val="005E552A"/>
    <w:rsid w:val="005E7226"/>
    <w:rsid w:val="005E7270"/>
    <w:rsid w:val="005E784A"/>
    <w:rsid w:val="005E7A57"/>
    <w:rsid w:val="005F24B0"/>
    <w:rsid w:val="005F2D29"/>
    <w:rsid w:val="005F320C"/>
    <w:rsid w:val="005F3AF7"/>
    <w:rsid w:val="005F5DC8"/>
    <w:rsid w:val="005F5F26"/>
    <w:rsid w:val="005F657A"/>
    <w:rsid w:val="005F6BDA"/>
    <w:rsid w:val="005F7362"/>
    <w:rsid w:val="005F7B7A"/>
    <w:rsid w:val="006003D4"/>
    <w:rsid w:val="00601031"/>
    <w:rsid w:val="00602042"/>
    <w:rsid w:val="00602340"/>
    <w:rsid w:val="00602B58"/>
    <w:rsid w:val="00604315"/>
    <w:rsid w:val="00604E26"/>
    <w:rsid w:val="0060523F"/>
    <w:rsid w:val="006052CF"/>
    <w:rsid w:val="00607525"/>
    <w:rsid w:val="00607B8D"/>
    <w:rsid w:val="00610DAA"/>
    <w:rsid w:val="0061127C"/>
    <w:rsid w:val="00611F5C"/>
    <w:rsid w:val="00612D94"/>
    <w:rsid w:val="00613835"/>
    <w:rsid w:val="006156B5"/>
    <w:rsid w:val="006160F7"/>
    <w:rsid w:val="00616E09"/>
    <w:rsid w:val="006176AB"/>
    <w:rsid w:val="00617B02"/>
    <w:rsid w:val="00620339"/>
    <w:rsid w:val="00621713"/>
    <w:rsid w:val="00622A3B"/>
    <w:rsid w:val="00622EEA"/>
    <w:rsid w:val="006233BC"/>
    <w:rsid w:val="0062396C"/>
    <w:rsid w:val="00623D9E"/>
    <w:rsid w:val="00623F2C"/>
    <w:rsid w:val="00623FF9"/>
    <w:rsid w:val="00625DF5"/>
    <w:rsid w:val="00627D4E"/>
    <w:rsid w:val="00631871"/>
    <w:rsid w:val="00632B89"/>
    <w:rsid w:val="00632FB5"/>
    <w:rsid w:val="0063303B"/>
    <w:rsid w:val="0063346D"/>
    <w:rsid w:val="0063405A"/>
    <w:rsid w:val="0063417A"/>
    <w:rsid w:val="00634478"/>
    <w:rsid w:val="0063540C"/>
    <w:rsid w:val="006405AE"/>
    <w:rsid w:val="00640D6C"/>
    <w:rsid w:val="00642E55"/>
    <w:rsid w:val="0064359D"/>
    <w:rsid w:val="00643B41"/>
    <w:rsid w:val="00644373"/>
    <w:rsid w:val="00645915"/>
    <w:rsid w:val="00646A4F"/>
    <w:rsid w:val="00646CC4"/>
    <w:rsid w:val="00646CC6"/>
    <w:rsid w:val="006506E8"/>
    <w:rsid w:val="0065092B"/>
    <w:rsid w:val="006515D7"/>
    <w:rsid w:val="006519C3"/>
    <w:rsid w:val="006527F4"/>
    <w:rsid w:val="00652B30"/>
    <w:rsid w:val="0065315D"/>
    <w:rsid w:val="00655972"/>
    <w:rsid w:val="00656345"/>
    <w:rsid w:val="006564A0"/>
    <w:rsid w:val="00656B23"/>
    <w:rsid w:val="00656DC6"/>
    <w:rsid w:val="006571DE"/>
    <w:rsid w:val="00660705"/>
    <w:rsid w:val="00660EC6"/>
    <w:rsid w:val="0066127E"/>
    <w:rsid w:val="00662F41"/>
    <w:rsid w:val="006632A6"/>
    <w:rsid w:val="006636E5"/>
    <w:rsid w:val="00664110"/>
    <w:rsid w:val="00664799"/>
    <w:rsid w:val="00664D17"/>
    <w:rsid w:val="00664FE3"/>
    <w:rsid w:val="00665B50"/>
    <w:rsid w:val="00666520"/>
    <w:rsid w:val="0066684A"/>
    <w:rsid w:val="00667C5B"/>
    <w:rsid w:val="00670134"/>
    <w:rsid w:val="0067014C"/>
    <w:rsid w:val="0067124F"/>
    <w:rsid w:val="00671B46"/>
    <w:rsid w:val="006728C3"/>
    <w:rsid w:val="0067335C"/>
    <w:rsid w:val="00674AC7"/>
    <w:rsid w:val="00675A50"/>
    <w:rsid w:val="00676173"/>
    <w:rsid w:val="00676343"/>
    <w:rsid w:val="006808AA"/>
    <w:rsid w:val="006811ED"/>
    <w:rsid w:val="00681C1B"/>
    <w:rsid w:val="00682C01"/>
    <w:rsid w:val="0068384B"/>
    <w:rsid w:val="00683BBC"/>
    <w:rsid w:val="00685AD5"/>
    <w:rsid w:val="00685D23"/>
    <w:rsid w:val="006873B8"/>
    <w:rsid w:val="00690A95"/>
    <w:rsid w:val="00691050"/>
    <w:rsid w:val="00691EB8"/>
    <w:rsid w:val="0069236E"/>
    <w:rsid w:val="006925A3"/>
    <w:rsid w:val="00692CDE"/>
    <w:rsid w:val="00693073"/>
    <w:rsid w:val="00693A46"/>
    <w:rsid w:val="0069463B"/>
    <w:rsid w:val="00694E8E"/>
    <w:rsid w:val="00695234"/>
    <w:rsid w:val="00695998"/>
    <w:rsid w:val="006977FF"/>
    <w:rsid w:val="006979D8"/>
    <w:rsid w:val="006A01FA"/>
    <w:rsid w:val="006A0C46"/>
    <w:rsid w:val="006A0E9E"/>
    <w:rsid w:val="006A1CAC"/>
    <w:rsid w:val="006A2378"/>
    <w:rsid w:val="006A25C7"/>
    <w:rsid w:val="006A3A4D"/>
    <w:rsid w:val="006A40A5"/>
    <w:rsid w:val="006A48BB"/>
    <w:rsid w:val="006A4AAD"/>
    <w:rsid w:val="006A4CCA"/>
    <w:rsid w:val="006A5721"/>
    <w:rsid w:val="006A5D59"/>
    <w:rsid w:val="006A65B7"/>
    <w:rsid w:val="006A6DA2"/>
    <w:rsid w:val="006A747B"/>
    <w:rsid w:val="006A7AB2"/>
    <w:rsid w:val="006B0DF6"/>
    <w:rsid w:val="006B153F"/>
    <w:rsid w:val="006B31EF"/>
    <w:rsid w:val="006B3720"/>
    <w:rsid w:val="006B3B18"/>
    <w:rsid w:val="006B52DE"/>
    <w:rsid w:val="006B5717"/>
    <w:rsid w:val="006B582F"/>
    <w:rsid w:val="006B5EB2"/>
    <w:rsid w:val="006B7299"/>
    <w:rsid w:val="006C07AA"/>
    <w:rsid w:val="006C0CEB"/>
    <w:rsid w:val="006C0DF0"/>
    <w:rsid w:val="006C11C3"/>
    <w:rsid w:val="006C14BB"/>
    <w:rsid w:val="006C1631"/>
    <w:rsid w:val="006C22D8"/>
    <w:rsid w:val="006C24B9"/>
    <w:rsid w:val="006C3066"/>
    <w:rsid w:val="006C3A23"/>
    <w:rsid w:val="006C3B1E"/>
    <w:rsid w:val="006C47FD"/>
    <w:rsid w:val="006C5C19"/>
    <w:rsid w:val="006C6379"/>
    <w:rsid w:val="006C66C1"/>
    <w:rsid w:val="006C70A0"/>
    <w:rsid w:val="006D054D"/>
    <w:rsid w:val="006D0684"/>
    <w:rsid w:val="006D1365"/>
    <w:rsid w:val="006D27CB"/>
    <w:rsid w:val="006D2F08"/>
    <w:rsid w:val="006D38DA"/>
    <w:rsid w:val="006D4D94"/>
    <w:rsid w:val="006D4F42"/>
    <w:rsid w:val="006D576C"/>
    <w:rsid w:val="006D5865"/>
    <w:rsid w:val="006D7798"/>
    <w:rsid w:val="006E00EA"/>
    <w:rsid w:val="006E1206"/>
    <w:rsid w:val="006E1541"/>
    <w:rsid w:val="006E1F03"/>
    <w:rsid w:val="006E2022"/>
    <w:rsid w:val="006E21C9"/>
    <w:rsid w:val="006E37A7"/>
    <w:rsid w:val="006E3A76"/>
    <w:rsid w:val="006E4B1B"/>
    <w:rsid w:val="006E5445"/>
    <w:rsid w:val="006E731E"/>
    <w:rsid w:val="006E7D93"/>
    <w:rsid w:val="006F0E32"/>
    <w:rsid w:val="006F115E"/>
    <w:rsid w:val="006F1800"/>
    <w:rsid w:val="006F21F5"/>
    <w:rsid w:val="006F3EBD"/>
    <w:rsid w:val="006F52B2"/>
    <w:rsid w:val="006F6006"/>
    <w:rsid w:val="006F6039"/>
    <w:rsid w:val="006F6DB3"/>
    <w:rsid w:val="0070133D"/>
    <w:rsid w:val="00701BEC"/>
    <w:rsid w:val="007029A3"/>
    <w:rsid w:val="007029F6"/>
    <w:rsid w:val="00703F73"/>
    <w:rsid w:val="00704764"/>
    <w:rsid w:val="00705283"/>
    <w:rsid w:val="00706A4C"/>
    <w:rsid w:val="00706CDF"/>
    <w:rsid w:val="00706E4E"/>
    <w:rsid w:val="00706EF7"/>
    <w:rsid w:val="0070725A"/>
    <w:rsid w:val="007074BF"/>
    <w:rsid w:val="00707775"/>
    <w:rsid w:val="00707837"/>
    <w:rsid w:val="0070791C"/>
    <w:rsid w:val="00707A96"/>
    <w:rsid w:val="007102D4"/>
    <w:rsid w:val="00710524"/>
    <w:rsid w:val="00710BD4"/>
    <w:rsid w:val="007113AB"/>
    <w:rsid w:val="007117DF"/>
    <w:rsid w:val="0071215C"/>
    <w:rsid w:val="007121E2"/>
    <w:rsid w:val="0071383C"/>
    <w:rsid w:val="00713ED7"/>
    <w:rsid w:val="007141A7"/>
    <w:rsid w:val="00714AA8"/>
    <w:rsid w:val="00715353"/>
    <w:rsid w:val="00715722"/>
    <w:rsid w:val="007157AF"/>
    <w:rsid w:val="0071584B"/>
    <w:rsid w:val="00715B5D"/>
    <w:rsid w:val="00715BAF"/>
    <w:rsid w:val="007178EA"/>
    <w:rsid w:val="00717EF9"/>
    <w:rsid w:val="00721032"/>
    <w:rsid w:val="00721B55"/>
    <w:rsid w:val="00721C4B"/>
    <w:rsid w:val="00721CC9"/>
    <w:rsid w:val="00721EAC"/>
    <w:rsid w:val="00722429"/>
    <w:rsid w:val="00723DFD"/>
    <w:rsid w:val="007247A2"/>
    <w:rsid w:val="00724FC5"/>
    <w:rsid w:val="00725AA1"/>
    <w:rsid w:val="00725AED"/>
    <w:rsid w:val="00726150"/>
    <w:rsid w:val="00726CE4"/>
    <w:rsid w:val="00730222"/>
    <w:rsid w:val="007304FD"/>
    <w:rsid w:val="00731794"/>
    <w:rsid w:val="00732FCD"/>
    <w:rsid w:val="00733FEE"/>
    <w:rsid w:val="00734143"/>
    <w:rsid w:val="0073569B"/>
    <w:rsid w:val="0073606D"/>
    <w:rsid w:val="00736D75"/>
    <w:rsid w:val="00736DB0"/>
    <w:rsid w:val="00737E47"/>
    <w:rsid w:val="00740175"/>
    <w:rsid w:val="0074082A"/>
    <w:rsid w:val="00740EAC"/>
    <w:rsid w:val="0074274A"/>
    <w:rsid w:val="00743C93"/>
    <w:rsid w:val="00744956"/>
    <w:rsid w:val="00744AD1"/>
    <w:rsid w:val="00744CD8"/>
    <w:rsid w:val="00744DFC"/>
    <w:rsid w:val="00745A5C"/>
    <w:rsid w:val="0074605F"/>
    <w:rsid w:val="007469FF"/>
    <w:rsid w:val="00746A67"/>
    <w:rsid w:val="00747351"/>
    <w:rsid w:val="00747E94"/>
    <w:rsid w:val="00750BDE"/>
    <w:rsid w:val="007514F4"/>
    <w:rsid w:val="00751E20"/>
    <w:rsid w:val="0075271F"/>
    <w:rsid w:val="00752908"/>
    <w:rsid w:val="00754C83"/>
    <w:rsid w:val="00754E49"/>
    <w:rsid w:val="00754E69"/>
    <w:rsid w:val="007615E7"/>
    <w:rsid w:val="00761E5C"/>
    <w:rsid w:val="00762699"/>
    <w:rsid w:val="0076282F"/>
    <w:rsid w:val="00763731"/>
    <w:rsid w:val="00765145"/>
    <w:rsid w:val="00765320"/>
    <w:rsid w:val="00765B2E"/>
    <w:rsid w:val="00765DF8"/>
    <w:rsid w:val="00766749"/>
    <w:rsid w:val="007676F8"/>
    <w:rsid w:val="00767C1B"/>
    <w:rsid w:val="00770B3F"/>
    <w:rsid w:val="007714A9"/>
    <w:rsid w:val="00772DE3"/>
    <w:rsid w:val="0077365E"/>
    <w:rsid w:val="00773AFA"/>
    <w:rsid w:val="00774F88"/>
    <w:rsid w:val="00774FDB"/>
    <w:rsid w:val="00775240"/>
    <w:rsid w:val="00777BA2"/>
    <w:rsid w:val="00780BC2"/>
    <w:rsid w:val="00781408"/>
    <w:rsid w:val="00784F7F"/>
    <w:rsid w:val="00784FC2"/>
    <w:rsid w:val="0078587D"/>
    <w:rsid w:val="0078602E"/>
    <w:rsid w:val="0078778C"/>
    <w:rsid w:val="007878BD"/>
    <w:rsid w:val="00787B4D"/>
    <w:rsid w:val="007913F4"/>
    <w:rsid w:val="00791F79"/>
    <w:rsid w:val="00792815"/>
    <w:rsid w:val="007933B4"/>
    <w:rsid w:val="0079392C"/>
    <w:rsid w:val="00793DA1"/>
    <w:rsid w:val="007947B0"/>
    <w:rsid w:val="00794E53"/>
    <w:rsid w:val="007956BC"/>
    <w:rsid w:val="00796032"/>
    <w:rsid w:val="00796B8F"/>
    <w:rsid w:val="00796F25"/>
    <w:rsid w:val="0079770D"/>
    <w:rsid w:val="007A032A"/>
    <w:rsid w:val="007A097B"/>
    <w:rsid w:val="007A1F85"/>
    <w:rsid w:val="007A2A75"/>
    <w:rsid w:val="007A2E98"/>
    <w:rsid w:val="007A387A"/>
    <w:rsid w:val="007A3BA3"/>
    <w:rsid w:val="007A3F03"/>
    <w:rsid w:val="007A60B4"/>
    <w:rsid w:val="007A6850"/>
    <w:rsid w:val="007A6CC0"/>
    <w:rsid w:val="007A7742"/>
    <w:rsid w:val="007A7BA5"/>
    <w:rsid w:val="007A7D64"/>
    <w:rsid w:val="007A7FEC"/>
    <w:rsid w:val="007B04FB"/>
    <w:rsid w:val="007B1499"/>
    <w:rsid w:val="007B15FD"/>
    <w:rsid w:val="007B172D"/>
    <w:rsid w:val="007B18E2"/>
    <w:rsid w:val="007B1BBF"/>
    <w:rsid w:val="007B1E47"/>
    <w:rsid w:val="007B220F"/>
    <w:rsid w:val="007B2960"/>
    <w:rsid w:val="007B29C2"/>
    <w:rsid w:val="007B2D0F"/>
    <w:rsid w:val="007B321C"/>
    <w:rsid w:val="007B355D"/>
    <w:rsid w:val="007B4E61"/>
    <w:rsid w:val="007B5598"/>
    <w:rsid w:val="007B5AF0"/>
    <w:rsid w:val="007B622C"/>
    <w:rsid w:val="007B6E88"/>
    <w:rsid w:val="007B7980"/>
    <w:rsid w:val="007C063F"/>
    <w:rsid w:val="007C0DEF"/>
    <w:rsid w:val="007C1527"/>
    <w:rsid w:val="007C2843"/>
    <w:rsid w:val="007C3AE1"/>
    <w:rsid w:val="007C47BC"/>
    <w:rsid w:val="007C4FE2"/>
    <w:rsid w:val="007C5D5A"/>
    <w:rsid w:val="007C607F"/>
    <w:rsid w:val="007C6830"/>
    <w:rsid w:val="007C6EDA"/>
    <w:rsid w:val="007C79DD"/>
    <w:rsid w:val="007D08EA"/>
    <w:rsid w:val="007D0919"/>
    <w:rsid w:val="007D11AB"/>
    <w:rsid w:val="007D1A97"/>
    <w:rsid w:val="007D2105"/>
    <w:rsid w:val="007D230C"/>
    <w:rsid w:val="007D2CD6"/>
    <w:rsid w:val="007D3063"/>
    <w:rsid w:val="007D3B61"/>
    <w:rsid w:val="007D3CEB"/>
    <w:rsid w:val="007D43B4"/>
    <w:rsid w:val="007D5625"/>
    <w:rsid w:val="007D58F4"/>
    <w:rsid w:val="007D6E87"/>
    <w:rsid w:val="007E0320"/>
    <w:rsid w:val="007E1006"/>
    <w:rsid w:val="007E10AC"/>
    <w:rsid w:val="007E116A"/>
    <w:rsid w:val="007E1A5F"/>
    <w:rsid w:val="007E26B8"/>
    <w:rsid w:val="007E304C"/>
    <w:rsid w:val="007E3B06"/>
    <w:rsid w:val="007E418A"/>
    <w:rsid w:val="007E4D16"/>
    <w:rsid w:val="007E5100"/>
    <w:rsid w:val="007E5935"/>
    <w:rsid w:val="007E5BC9"/>
    <w:rsid w:val="007E6603"/>
    <w:rsid w:val="007E7683"/>
    <w:rsid w:val="007F041B"/>
    <w:rsid w:val="007F3AED"/>
    <w:rsid w:val="007F49FA"/>
    <w:rsid w:val="007F54C4"/>
    <w:rsid w:val="007F60CE"/>
    <w:rsid w:val="007F67E7"/>
    <w:rsid w:val="007F6E9A"/>
    <w:rsid w:val="00800317"/>
    <w:rsid w:val="00800CCD"/>
    <w:rsid w:val="00801008"/>
    <w:rsid w:val="00802AB1"/>
    <w:rsid w:val="00803DE3"/>
    <w:rsid w:val="00803E15"/>
    <w:rsid w:val="00803EB2"/>
    <w:rsid w:val="008044D4"/>
    <w:rsid w:val="0080490A"/>
    <w:rsid w:val="0080517E"/>
    <w:rsid w:val="0080736B"/>
    <w:rsid w:val="00807F64"/>
    <w:rsid w:val="00810AB4"/>
    <w:rsid w:val="00810ACE"/>
    <w:rsid w:val="008119AF"/>
    <w:rsid w:val="00811C22"/>
    <w:rsid w:val="00812736"/>
    <w:rsid w:val="008128DE"/>
    <w:rsid w:val="00814EC9"/>
    <w:rsid w:val="00814FD2"/>
    <w:rsid w:val="008150EA"/>
    <w:rsid w:val="00815323"/>
    <w:rsid w:val="00815C5A"/>
    <w:rsid w:val="00816672"/>
    <w:rsid w:val="00817B56"/>
    <w:rsid w:val="00817F03"/>
    <w:rsid w:val="00817F9D"/>
    <w:rsid w:val="00820305"/>
    <w:rsid w:val="00820FAC"/>
    <w:rsid w:val="00821A88"/>
    <w:rsid w:val="00822E45"/>
    <w:rsid w:val="00822FC8"/>
    <w:rsid w:val="0082322E"/>
    <w:rsid w:val="0082495D"/>
    <w:rsid w:val="00827291"/>
    <w:rsid w:val="0083137D"/>
    <w:rsid w:val="00831908"/>
    <w:rsid w:val="00831AC3"/>
    <w:rsid w:val="00831D77"/>
    <w:rsid w:val="008336E8"/>
    <w:rsid w:val="00833ABD"/>
    <w:rsid w:val="00836610"/>
    <w:rsid w:val="00836FCE"/>
    <w:rsid w:val="008408FF"/>
    <w:rsid w:val="00840EBA"/>
    <w:rsid w:val="00842433"/>
    <w:rsid w:val="00843196"/>
    <w:rsid w:val="00843271"/>
    <w:rsid w:val="0084478C"/>
    <w:rsid w:val="00844E3C"/>
    <w:rsid w:val="008467D6"/>
    <w:rsid w:val="008472CE"/>
    <w:rsid w:val="00847ABE"/>
    <w:rsid w:val="00847B94"/>
    <w:rsid w:val="00851E56"/>
    <w:rsid w:val="00851F3F"/>
    <w:rsid w:val="00852DAE"/>
    <w:rsid w:val="008540A3"/>
    <w:rsid w:val="008551EA"/>
    <w:rsid w:val="00856EDC"/>
    <w:rsid w:val="0085728E"/>
    <w:rsid w:val="008578CD"/>
    <w:rsid w:val="00860669"/>
    <w:rsid w:val="00860CF8"/>
    <w:rsid w:val="008623B5"/>
    <w:rsid w:val="0086293A"/>
    <w:rsid w:val="00864E6E"/>
    <w:rsid w:val="00865442"/>
    <w:rsid w:val="0086626D"/>
    <w:rsid w:val="00867790"/>
    <w:rsid w:val="008678C7"/>
    <w:rsid w:val="0087093D"/>
    <w:rsid w:val="00870ABA"/>
    <w:rsid w:val="008710E1"/>
    <w:rsid w:val="008716E5"/>
    <w:rsid w:val="0087190F"/>
    <w:rsid w:val="008725AC"/>
    <w:rsid w:val="008737D6"/>
    <w:rsid w:val="008740C5"/>
    <w:rsid w:val="00876E1A"/>
    <w:rsid w:val="008800D4"/>
    <w:rsid w:val="008818C7"/>
    <w:rsid w:val="00881CA9"/>
    <w:rsid w:val="00882A3A"/>
    <w:rsid w:val="00883628"/>
    <w:rsid w:val="0088421A"/>
    <w:rsid w:val="00884AB4"/>
    <w:rsid w:val="00885544"/>
    <w:rsid w:val="00885B00"/>
    <w:rsid w:val="0088634E"/>
    <w:rsid w:val="00887C6A"/>
    <w:rsid w:val="00891EAB"/>
    <w:rsid w:val="008937CA"/>
    <w:rsid w:val="00893AB8"/>
    <w:rsid w:val="008955C6"/>
    <w:rsid w:val="00896785"/>
    <w:rsid w:val="008973FB"/>
    <w:rsid w:val="008975EC"/>
    <w:rsid w:val="008A04C8"/>
    <w:rsid w:val="008A295D"/>
    <w:rsid w:val="008A4732"/>
    <w:rsid w:val="008A4774"/>
    <w:rsid w:val="008A6913"/>
    <w:rsid w:val="008A6CBA"/>
    <w:rsid w:val="008B0766"/>
    <w:rsid w:val="008B147B"/>
    <w:rsid w:val="008B4522"/>
    <w:rsid w:val="008B4B4D"/>
    <w:rsid w:val="008B4F0F"/>
    <w:rsid w:val="008B656F"/>
    <w:rsid w:val="008B70F3"/>
    <w:rsid w:val="008B71C4"/>
    <w:rsid w:val="008B767C"/>
    <w:rsid w:val="008B76DF"/>
    <w:rsid w:val="008C0807"/>
    <w:rsid w:val="008C10F4"/>
    <w:rsid w:val="008C5050"/>
    <w:rsid w:val="008C5253"/>
    <w:rsid w:val="008C65F7"/>
    <w:rsid w:val="008C7EF9"/>
    <w:rsid w:val="008D007B"/>
    <w:rsid w:val="008D0AF0"/>
    <w:rsid w:val="008D0C35"/>
    <w:rsid w:val="008D177A"/>
    <w:rsid w:val="008D2577"/>
    <w:rsid w:val="008D2A87"/>
    <w:rsid w:val="008D2D2B"/>
    <w:rsid w:val="008D4A26"/>
    <w:rsid w:val="008E03F4"/>
    <w:rsid w:val="008E0428"/>
    <w:rsid w:val="008E0B6E"/>
    <w:rsid w:val="008E0E92"/>
    <w:rsid w:val="008E1173"/>
    <w:rsid w:val="008E20A4"/>
    <w:rsid w:val="008E32DD"/>
    <w:rsid w:val="008E3EC6"/>
    <w:rsid w:val="008E459C"/>
    <w:rsid w:val="008E4767"/>
    <w:rsid w:val="008E6643"/>
    <w:rsid w:val="008E7A8C"/>
    <w:rsid w:val="008F0AC1"/>
    <w:rsid w:val="008F10E6"/>
    <w:rsid w:val="008F34D5"/>
    <w:rsid w:val="008F39B3"/>
    <w:rsid w:val="008F4CC7"/>
    <w:rsid w:val="008F5DAC"/>
    <w:rsid w:val="008F5E98"/>
    <w:rsid w:val="008F61FE"/>
    <w:rsid w:val="008F6514"/>
    <w:rsid w:val="008F69F9"/>
    <w:rsid w:val="008F6D19"/>
    <w:rsid w:val="008F7197"/>
    <w:rsid w:val="008F735D"/>
    <w:rsid w:val="008F73F4"/>
    <w:rsid w:val="008F76EF"/>
    <w:rsid w:val="008F795F"/>
    <w:rsid w:val="00901729"/>
    <w:rsid w:val="00901E48"/>
    <w:rsid w:val="0090203B"/>
    <w:rsid w:val="0090245F"/>
    <w:rsid w:val="00902A3C"/>
    <w:rsid w:val="00903285"/>
    <w:rsid w:val="00905295"/>
    <w:rsid w:val="00905E37"/>
    <w:rsid w:val="00906C56"/>
    <w:rsid w:val="00906F40"/>
    <w:rsid w:val="0090731E"/>
    <w:rsid w:val="00907E88"/>
    <w:rsid w:val="00910C12"/>
    <w:rsid w:val="00911F05"/>
    <w:rsid w:val="00913DB3"/>
    <w:rsid w:val="00914636"/>
    <w:rsid w:val="00915B1C"/>
    <w:rsid w:val="009160F7"/>
    <w:rsid w:val="00916F7C"/>
    <w:rsid w:val="009174F3"/>
    <w:rsid w:val="0091797D"/>
    <w:rsid w:val="00917F9B"/>
    <w:rsid w:val="0092011D"/>
    <w:rsid w:val="00920900"/>
    <w:rsid w:val="00921486"/>
    <w:rsid w:val="00923151"/>
    <w:rsid w:val="009232FA"/>
    <w:rsid w:val="0092336D"/>
    <w:rsid w:val="00923B51"/>
    <w:rsid w:val="00923CBA"/>
    <w:rsid w:val="00925198"/>
    <w:rsid w:val="00925ECF"/>
    <w:rsid w:val="00926374"/>
    <w:rsid w:val="009263DA"/>
    <w:rsid w:val="00926703"/>
    <w:rsid w:val="00926E88"/>
    <w:rsid w:val="00927691"/>
    <w:rsid w:val="00927789"/>
    <w:rsid w:val="00927A5F"/>
    <w:rsid w:val="00930510"/>
    <w:rsid w:val="009313FD"/>
    <w:rsid w:val="00934EA3"/>
    <w:rsid w:val="00935044"/>
    <w:rsid w:val="00935715"/>
    <w:rsid w:val="00935B63"/>
    <w:rsid w:val="00936A21"/>
    <w:rsid w:val="00936E95"/>
    <w:rsid w:val="00937AA5"/>
    <w:rsid w:val="0094078F"/>
    <w:rsid w:val="00940FA3"/>
    <w:rsid w:val="009414BE"/>
    <w:rsid w:val="00941FB0"/>
    <w:rsid w:val="009426D4"/>
    <w:rsid w:val="009434D0"/>
    <w:rsid w:val="00943C95"/>
    <w:rsid w:val="00944455"/>
    <w:rsid w:val="00946DC9"/>
    <w:rsid w:val="00947F25"/>
    <w:rsid w:val="00950159"/>
    <w:rsid w:val="00950783"/>
    <w:rsid w:val="00950C8B"/>
    <w:rsid w:val="0095137B"/>
    <w:rsid w:val="00951946"/>
    <w:rsid w:val="00952276"/>
    <w:rsid w:val="00952BFE"/>
    <w:rsid w:val="0095330D"/>
    <w:rsid w:val="0095379F"/>
    <w:rsid w:val="00953B2D"/>
    <w:rsid w:val="00953BE5"/>
    <w:rsid w:val="0095482A"/>
    <w:rsid w:val="0095490B"/>
    <w:rsid w:val="0095663B"/>
    <w:rsid w:val="00956CFB"/>
    <w:rsid w:val="00960A33"/>
    <w:rsid w:val="00961571"/>
    <w:rsid w:val="0096479D"/>
    <w:rsid w:val="009673B4"/>
    <w:rsid w:val="00970F92"/>
    <w:rsid w:val="00971914"/>
    <w:rsid w:val="00971E97"/>
    <w:rsid w:val="00973018"/>
    <w:rsid w:val="00973924"/>
    <w:rsid w:val="00974329"/>
    <w:rsid w:val="00974363"/>
    <w:rsid w:val="00977978"/>
    <w:rsid w:val="00980EA9"/>
    <w:rsid w:val="00980F6B"/>
    <w:rsid w:val="00981898"/>
    <w:rsid w:val="00981A81"/>
    <w:rsid w:val="00981DD1"/>
    <w:rsid w:val="00982BE3"/>
    <w:rsid w:val="0098357D"/>
    <w:rsid w:val="00985D74"/>
    <w:rsid w:val="009861C2"/>
    <w:rsid w:val="00987629"/>
    <w:rsid w:val="0099013E"/>
    <w:rsid w:val="00992251"/>
    <w:rsid w:val="00992698"/>
    <w:rsid w:val="00993C3A"/>
    <w:rsid w:val="009949DB"/>
    <w:rsid w:val="00994EE1"/>
    <w:rsid w:val="0099577C"/>
    <w:rsid w:val="00996083"/>
    <w:rsid w:val="00996B16"/>
    <w:rsid w:val="0099737E"/>
    <w:rsid w:val="009A017B"/>
    <w:rsid w:val="009A021C"/>
    <w:rsid w:val="009A17EC"/>
    <w:rsid w:val="009A18B9"/>
    <w:rsid w:val="009A19B3"/>
    <w:rsid w:val="009A1A82"/>
    <w:rsid w:val="009A2394"/>
    <w:rsid w:val="009A24AB"/>
    <w:rsid w:val="009A25CC"/>
    <w:rsid w:val="009A3D55"/>
    <w:rsid w:val="009A429E"/>
    <w:rsid w:val="009A50A3"/>
    <w:rsid w:val="009A55F7"/>
    <w:rsid w:val="009A5B6A"/>
    <w:rsid w:val="009B2389"/>
    <w:rsid w:val="009B24A5"/>
    <w:rsid w:val="009B2601"/>
    <w:rsid w:val="009B26B7"/>
    <w:rsid w:val="009B2F9E"/>
    <w:rsid w:val="009B39EA"/>
    <w:rsid w:val="009B4546"/>
    <w:rsid w:val="009B4C77"/>
    <w:rsid w:val="009B4E9E"/>
    <w:rsid w:val="009B685B"/>
    <w:rsid w:val="009B6F25"/>
    <w:rsid w:val="009B6FFC"/>
    <w:rsid w:val="009C08C5"/>
    <w:rsid w:val="009C1690"/>
    <w:rsid w:val="009C2CCB"/>
    <w:rsid w:val="009C2CD4"/>
    <w:rsid w:val="009C44A0"/>
    <w:rsid w:val="009C5E37"/>
    <w:rsid w:val="009C6189"/>
    <w:rsid w:val="009C6881"/>
    <w:rsid w:val="009C73C8"/>
    <w:rsid w:val="009C7759"/>
    <w:rsid w:val="009C779C"/>
    <w:rsid w:val="009D043D"/>
    <w:rsid w:val="009D0450"/>
    <w:rsid w:val="009D07C8"/>
    <w:rsid w:val="009D0AD7"/>
    <w:rsid w:val="009D1904"/>
    <w:rsid w:val="009D1EA4"/>
    <w:rsid w:val="009D24E5"/>
    <w:rsid w:val="009D2890"/>
    <w:rsid w:val="009D2F5E"/>
    <w:rsid w:val="009D3031"/>
    <w:rsid w:val="009D4C85"/>
    <w:rsid w:val="009D64EB"/>
    <w:rsid w:val="009D6C71"/>
    <w:rsid w:val="009D6C8C"/>
    <w:rsid w:val="009D7AFA"/>
    <w:rsid w:val="009D7D4D"/>
    <w:rsid w:val="009E0631"/>
    <w:rsid w:val="009E0CA6"/>
    <w:rsid w:val="009E16D0"/>
    <w:rsid w:val="009E2051"/>
    <w:rsid w:val="009E28B0"/>
    <w:rsid w:val="009E2924"/>
    <w:rsid w:val="009E38FD"/>
    <w:rsid w:val="009E4243"/>
    <w:rsid w:val="009E6D92"/>
    <w:rsid w:val="009F0004"/>
    <w:rsid w:val="009F016C"/>
    <w:rsid w:val="009F13D6"/>
    <w:rsid w:val="009F1936"/>
    <w:rsid w:val="009F2C5E"/>
    <w:rsid w:val="009F38E5"/>
    <w:rsid w:val="009F39A4"/>
    <w:rsid w:val="009F4C11"/>
    <w:rsid w:val="009F4C6B"/>
    <w:rsid w:val="009F65E0"/>
    <w:rsid w:val="009F6EB6"/>
    <w:rsid w:val="009F71A3"/>
    <w:rsid w:val="009F78A8"/>
    <w:rsid w:val="00A02901"/>
    <w:rsid w:val="00A02AD6"/>
    <w:rsid w:val="00A03568"/>
    <w:rsid w:val="00A04327"/>
    <w:rsid w:val="00A04F4B"/>
    <w:rsid w:val="00A057D2"/>
    <w:rsid w:val="00A05D61"/>
    <w:rsid w:val="00A061D8"/>
    <w:rsid w:val="00A06577"/>
    <w:rsid w:val="00A07096"/>
    <w:rsid w:val="00A07318"/>
    <w:rsid w:val="00A07D41"/>
    <w:rsid w:val="00A1087E"/>
    <w:rsid w:val="00A11370"/>
    <w:rsid w:val="00A127D5"/>
    <w:rsid w:val="00A12840"/>
    <w:rsid w:val="00A13187"/>
    <w:rsid w:val="00A15235"/>
    <w:rsid w:val="00A157A6"/>
    <w:rsid w:val="00A1593F"/>
    <w:rsid w:val="00A15D30"/>
    <w:rsid w:val="00A203FD"/>
    <w:rsid w:val="00A20AD5"/>
    <w:rsid w:val="00A21225"/>
    <w:rsid w:val="00A21468"/>
    <w:rsid w:val="00A224CE"/>
    <w:rsid w:val="00A22522"/>
    <w:rsid w:val="00A23A2F"/>
    <w:rsid w:val="00A24117"/>
    <w:rsid w:val="00A24AFD"/>
    <w:rsid w:val="00A24F5C"/>
    <w:rsid w:val="00A254F9"/>
    <w:rsid w:val="00A26446"/>
    <w:rsid w:val="00A27115"/>
    <w:rsid w:val="00A31302"/>
    <w:rsid w:val="00A32F96"/>
    <w:rsid w:val="00A34759"/>
    <w:rsid w:val="00A3567B"/>
    <w:rsid w:val="00A3613F"/>
    <w:rsid w:val="00A36CCC"/>
    <w:rsid w:val="00A377C7"/>
    <w:rsid w:val="00A40871"/>
    <w:rsid w:val="00A412AB"/>
    <w:rsid w:val="00A41807"/>
    <w:rsid w:val="00A4183F"/>
    <w:rsid w:val="00A4193E"/>
    <w:rsid w:val="00A428E2"/>
    <w:rsid w:val="00A43B57"/>
    <w:rsid w:val="00A440E0"/>
    <w:rsid w:val="00A442EF"/>
    <w:rsid w:val="00A44D24"/>
    <w:rsid w:val="00A44F31"/>
    <w:rsid w:val="00A46508"/>
    <w:rsid w:val="00A46DF5"/>
    <w:rsid w:val="00A475E3"/>
    <w:rsid w:val="00A5099E"/>
    <w:rsid w:val="00A51D1A"/>
    <w:rsid w:val="00A51DB4"/>
    <w:rsid w:val="00A51F43"/>
    <w:rsid w:val="00A528BD"/>
    <w:rsid w:val="00A5418D"/>
    <w:rsid w:val="00A5474E"/>
    <w:rsid w:val="00A578E2"/>
    <w:rsid w:val="00A57B74"/>
    <w:rsid w:val="00A60759"/>
    <w:rsid w:val="00A60C63"/>
    <w:rsid w:val="00A62B4D"/>
    <w:rsid w:val="00A636CC"/>
    <w:rsid w:val="00A64234"/>
    <w:rsid w:val="00A65259"/>
    <w:rsid w:val="00A66729"/>
    <w:rsid w:val="00A67541"/>
    <w:rsid w:val="00A676AF"/>
    <w:rsid w:val="00A67CB6"/>
    <w:rsid w:val="00A704AB"/>
    <w:rsid w:val="00A708A6"/>
    <w:rsid w:val="00A70ADF"/>
    <w:rsid w:val="00A71466"/>
    <w:rsid w:val="00A71709"/>
    <w:rsid w:val="00A722E2"/>
    <w:rsid w:val="00A7263A"/>
    <w:rsid w:val="00A7284A"/>
    <w:rsid w:val="00A74B5E"/>
    <w:rsid w:val="00A7641A"/>
    <w:rsid w:val="00A76A55"/>
    <w:rsid w:val="00A76EB0"/>
    <w:rsid w:val="00A77ABA"/>
    <w:rsid w:val="00A802E9"/>
    <w:rsid w:val="00A812E3"/>
    <w:rsid w:val="00A81711"/>
    <w:rsid w:val="00A81971"/>
    <w:rsid w:val="00A81BED"/>
    <w:rsid w:val="00A81EC4"/>
    <w:rsid w:val="00A824E8"/>
    <w:rsid w:val="00A82661"/>
    <w:rsid w:val="00A83057"/>
    <w:rsid w:val="00A83B40"/>
    <w:rsid w:val="00A86729"/>
    <w:rsid w:val="00A901C8"/>
    <w:rsid w:val="00A90F38"/>
    <w:rsid w:val="00A9403B"/>
    <w:rsid w:val="00A94CA9"/>
    <w:rsid w:val="00A95BEB"/>
    <w:rsid w:val="00A95C28"/>
    <w:rsid w:val="00A961EB"/>
    <w:rsid w:val="00A967A7"/>
    <w:rsid w:val="00A967FD"/>
    <w:rsid w:val="00A97996"/>
    <w:rsid w:val="00AA0364"/>
    <w:rsid w:val="00AA07B0"/>
    <w:rsid w:val="00AA2DE5"/>
    <w:rsid w:val="00AA360E"/>
    <w:rsid w:val="00AA3DFC"/>
    <w:rsid w:val="00AA58C0"/>
    <w:rsid w:val="00AA6A99"/>
    <w:rsid w:val="00AA79DB"/>
    <w:rsid w:val="00AB06B0"/>
    <w:rsid w:val="00AB0AA7"/>
    <w:rsid w:val="00AB0DE5"/>
    <w:rsid w:val="00AB156C"/>
    <w:rsid w:val="00AB2493"/>
    <w:rsid w:val="00AB3396"/>
    <w:rsid w:val="00AB33EE"/>
    <w:rsid w:val="00AB3672"/>
    <w:rsid w:val="00AB49A3"/>
    <w:rsid w:val="00AB6814"/>
    <w:rsid w:val="00AC02DE"/>
    <w:rsid w:val="00AC04BA"/>
    <w:rsid w:val="00AC05E0"/>
    <w:rsid w:val="00AC0E39"/>
    <w:rsid w:val="00AC1834"/>
    <w:rsid w:val="00AC2FA6"/>
    <w:rsid w:val="00AC3DB0"/>
    <w:rsid w:val="00AC49E2"/>
    <w:rsid w:val="00AC681E"/>
    <w:rsid w:val="00AC7B85"/>
    <w:rsid w:val="00AD03AC"/>
    <w:rsid w:val="00AD1C56"/>
    <w:rsid w:val="00AD3082"/>
    <w:rsid w:val="00AD32B4"/>
    <w:rsid w:val="00AD32EC"/>
    <w:rsid w:val="00AD3E90"/>
    <w:rsid w:val="00AD42FD"/>
    <w:rsid w:val="00AD431A"/>
    <w:rsid w:val="00AD4AD0"/>
    <w:rsid w:val="00AD5436"/>
    <w:rsid w:val="00AD5D37"/>
    <w:rsid w:val="00AD60CD"/>
    <w:rsid w:val="00AD6B40"/>
    <w:rsid w:val="00AD6C8C"/>
    <w:rsid w:val="00AD746C"/>
    <w:rsid w:val="00AE091D"/>
    <w:rsid w:val="00AE1BED"/>
    <w:rsid w:val="00AE1D47"/>
    <w:rsid w:val="00AE1E9B"/>
    <w:rsid w:val="00AE28E9"/>
    <w:rsid w:val="00AE2E35"/>
    <w:rsid w:val="00AE34DB"/>
    <w:rsid w:val="00AE3970"/>
    <w:rsid w:val="00AE3B60"/>
    <w:rsid w:val="00AE462E"/>
    <w:rsid w:val="00AE53A1"/>
    <w:rsid w:val="00AE647D"/>
    <w:rsid w:val="00AE6F3E"/>
    <w:rsid w:val="00AE734A"/>
    <w:rsid w:val="00AE7DCA"/>
    <w:rsid w:val="00AF1AC1"/>
    <w:rsid w:val="00AF1F41"/>
    <w:rsid w:val="00AF2484"/>
    <w:rsid w:val="00AF36DE"/>
    <w:rsid w:val="00AF4F84"/>
    <w:rsid w:val="00AF50F9"/>
    <w:rsid w:val="00AF615D"/>
    <w:rsid w:val="00AF63E7"/>
    <w:rsid w:val="00AF6E17"/>
    <w:rsid w:val="00AF7768"/>
    <w:rsid w:val="00AF7C70"/>
    <w:rsid w:val="00B0165D"/>
    <w:rsid w:val="00B01B60"/>
    <w:rsid w:val="00B01F42"/>
    <w:rsid w:val="00B0289A"/>
    <w:rsid w:val="00B031F3"/>
    <w:rsid w:val="00B040C3"/>
    <w:rsid w:val="00B04A08"/>
    <w:rsid w:val="00B04BEF"/>
    <w:rsid w:val="00B04C0B"/>
    <w:rsid w:val="00B0526F"/>
    <w:rsid w:val="00B052A4"/>
    <w:rsid w:val="00B05D3A"/>
    <w:rsid w:val="00B0626B"/>
    <w:rsid w:val="00B06306"/>
    <w:rsid w:val="00B0685A"/>
    <w:rsid w:val="00B079A2"/>
    <w:rsid w:val="00B100B1"/>
    <w:rsid w:val="00B107A5"/>
    <w:rsid w:val="00B125DE"/>
    <w:rsid w:val="00B1338E"/>
    <w:rsid w:val="00B13FDD"/>
    <w:rsid w:val="00B17664"/>
    <w:rsid w:val="00B201E8"/>
    <w:rsid w:val="00B218D3"/>
    <w:rsid w:val="00B21DC8"/>
    <w:rsid w:val="00B2299C"/>
    <w:rsid w:val="00B22EB2"/>
    <w:rsid w:val="00B25C5F"/>
    <w:rsid w:val="00B2721D"/>
    <w:rsid w:val="00B27293"/>
    <w:rsid w:val="00B27442"/>
    <w:rsid w:val="00B27B39"/>
    <w:rsid w:val="00B27E34"/>
    <w:rsid w:val="00B302BA"/>
    <w:rsid w:val="00B31167"/>
    <w:rsid w:val="00B327F6"/>
    <w:rsid w:val="00B329D8"/>
    <w:rsid w:val="00B32BB9"/>
    <w:rsid w:val="00B33AE1"/>
    <w:rsid w:val="00B3570F"/>
    <w:rsid w:val="00B35A9F"/>
    <w:rsid w:val="00B35E19"/>
    <w:rsid w:val="00B37051"/>
    <w:rsid w:val="00B37296"/>
    <w:rsid w:val="00B37547"/>
    <w:rsid w:val="00B37949"/>
    <w:rsid w:val="00B37C38"/>
    <w:rsid w:val="00B4118E"/>
    <w:rsid w:val="00B4288C"/>
    <w:rsid w:val="00B429FD"/>
    <w:rsid w:val="00B42C55"/>
    <w:rsid w:val="00B43233"/>
    <w:rsid w:val="00B43262"/>
    <w:rsid w:val="00B44100"/>
    <w:rsid w:val="00B449F0"/>
    <w:rsid w:val="00B452B3"/>
    <w:rsid w:val="00B45875"/>
    <w:rsid w:val="00B46169"/>
    <w:rsid w:val="00B46CBA"/>
    <w:rsid w:val="00B46F94"/>
    <w:rsid w:val="00B47991"/>
    <w:rsid w:val="00B50AE8"/>
    <w:rsid w:val="00B50B42"/>
    <w:rsid w:val="00B5131C"/>
    <w:rsid w:val="00B52395"/>
    <w:rsid w:val="00B52606"/>
    <w:rsid w:val="00B52AC4"/>
    <w:rsid w:val="00B53885"/>
    <w:rsid w:val="00B565AF"/>
    <w:rsid w:val="00B6003C"/>
    <w:rsid w:val="00B61F03"/>
    <w:rsid w:val="00B626E4"/>
    <w:rsid w:val="00B62702"/>
    <w:rsid w:val="00B63353"/>
    <w:rsid w:val="00B63922"/>
    <w:rsid w:val="00B64353"/>
    <w:rsid w:val="00B649A7"/>
    <w:rsid w:val="00B64E6B"/>
    <w:rsid w:val="00B6530E"/>
    <w:rsid w:val="00B66136"/>
    <w:rsid w:val="00B676DD"/>
    <w:rsid w:val="00B679FD"/>
    <w:rsid w:val="00B715B2"/>
    <w:rsid w:val="00B72C40"/>
    <w:rsid w:val="00B72F4A"/>
    <w:rsid w:val="00B7340D"/>
    <w:rsid w:val="00B74864"/>
    <w:rsid w:val="00B74FF6"/>
    <w:rsid w:val="00B7681C"/>
    <w:rsid w:val="00B77495"/>
    <w:rsid w:val="00B77907"/>
    <w:rsid w:val="00B80176"/>
    <w:rsid w:val="00B80D63"/>
    <w:rsid w:val="00B816A0"/>
    <w:rsid w:val="00B81CBF"/>
    <w:rsid w:val="00B8202C"/>
    <w:rsid w:val="00B8364D"/>
    <w:rsid w:val="00B838C5"/>
    <w:rsid w:val="00B83C27"/>
    <w:rsid w:val="00B83F26"/>
    <w:rsid w:val="00B848DF"/>
    <w:rsid w:val="00B84A2F"/>
    <w:rsid w:val="00B84BC3"/>
    <w:rsid w:val="00B84BDD"/>
    <w:rsid w:val="00B855D5"/>
    <w:rsid w:val="00B91F53"/>
    <w:rsid w:val="00B92812"/>
    <w:rsid w:val="00B93152"/>
    <w:rsid w:val="00B93818"/>
    <w:rsid w:val="00B958FE"/>
    <w:rsid w:val="00B95A38"/>
    <w:rsid w:val="00B972A3"/>
    <w:rsid w:val="00B977D3"/>
    <w:rsid w:val="00BA0FE0"/>
    <w:rsid w:val="00BA1A7D"/>
    <w:rsid w:val="00BA1BF3"/>
    <w:rsid w:val="00BA25CD"/>
    <w:rsid w:val="00BA2F9C"/>
    <w:rsid w:val="00BA3245"/>
    <w:rsid w:val="00BA4495"/>
    <w:rsid w:val="00BA5530"/>
    <w:rsid w:val="00BA6503"/>
    <w:rsid w:val="00BA7D70"/>
    <w:rsid w:val="00BB0E23"/>
    <w:rsid w:val="00BB458E"/>
    <w:rsid w:val="00BB45A1"/>
    <w:rsid w:val="00BB6335"/>
    <w:rsid w:val="00BB63EE"/>
    <w:rsid w:val="00BB6ECC"/>
    <w:rsid w:val="00BB7686"/>
    <w:rsid w:val="00BB7802"/>
    <w:rsid w:val="00BC073D"/>
    <w:rsid w:val="00BC158E"/>
    <w:rsid w:val="00BC23F9"/>
    <w:rsid w:val="00BC2561"/>
    <w:rsid w:val="00BC3421"/>
    <w:rsid w:val="00BC3D5C"/>
    <w:rsid w:val="00BC4CAC"/>
    <w:rsid w:val="00BC565B"/>
    <w:rsid w:val="00BC5D21"/>
    <w:rsid w:val="00BC65E0"/>
    <w:rsid w:val="00BC732C"/>
    <w:rsid w:val="00BC787D"/>
    <w:rsid w:val="00BD016B"/>
    <w:rsid w:val="00BD0F0A"/>
    <w:rsid w:val="00BD1E7A"/>
    <w:rsid w:val="00BD283F"/>
    <w:rsid w:val="00BD392E"/>
    <w:rsid w:val="00BD3D1B"/>
    <w:rsid w:val="00BD3F54"/>
    <w:rsid w:val="00BD4421"/>
    <w:rsid w:val="00BD4DB2"/>
    <w:rsid w:val="00BD5FD1"/>
    <w:rsid w:val="00BD62EB"/>
    <w:rsid w:val="00BD6DB9"/>
    <w:rsid w:val="00BE0B78"/>
    <w:rsid w:val="00BE11B6"/>
    <w:rsid w:val="00BE2580"/>
    <w:rsid w:val="00BE266D"/>
    <w:rsid w:val="00BE3938"/>
    <w:rsid w:val="00BE4A47"/>
    <w:rsid w:val="00BE4BBE"/>
    <w:rsid w:val="00BE4C11"/>
    <w:rsid w:val="00BE6CC2"/>
    <w:rsid w:val="00BE70FB"/>
    <w:rsid w:val="00BE71C0"/>
    <w:rsid w:val="00BF014C"/>
    <w:rsid w:val="00BF1D73"/>
    <w:rsid w:val="00BF3316"/>
    <w:rsid w:val="00BF3385"/>
    <w:rsid w:val="00BF6030"/>
    <w:rsid w:val="00BF610C"/>
    <w:rsid w:val="00BF65B4"/>
    <w:rsid w:val="00BF6C88"/>
    <w:rsid w:val="00BF77BB"/>
    <w:rsid w:val="00C0060B"/>
    <w:rsid w:val="00C01A6C"/>
    <w:rsid w:val="00C01F42"/>
    <w:rsid w:val="00C0218A"/>
    <w:rsid w:val="00C0277D"/>
    <w:rsid w:val="00C02C50"/>
    <w:rsid w:val="00C02F26"/>
    <w:rsid w:val="00C041F6"/>
    <w:rsid w:val="00C04BF1"/>
    <w:rsid w:val="00C053A1"/>
    <w:rsid w:val="00C07397"/>
    <w:rsid w:val="00C074B5"/>
    <w:rsid w:val="00C101CF"/>
    <w:rsid w:val="00C122FF"/>
    <w:rsid w:val="00C12A09"/>
    <w:rsid w:val="00C13082"/>
    <w:rsid w:val="00C14264"/>
    <w:rsid w:val="00C145F3"/>
    <w:rsid w:val="00C1606C"/>
    <w:rsid w:val="00C16198"/>
    <w:rsid w:val="00C169E9"/>
    <w:rsid w:val="00C17AAD"/>
    <w:rsid w:val="00C2083D"/>
    <w:rsid w:val="00C21C1E"/>
    <w:rsid w:val="00C225AE"/>
    <w:rsid w:val="00C22A93"/>
    <w:rsid w:val="00C23ACF"/>
    <w:rsid w:val="00C2478A"/>
    <w:rsid w:val="00C24A53"/>
    <w:rsid w:val="00C255B5"/>
    <w:rsid w:val="00C25A6E"/>
    <w:rsid w:val="00C26B9D"/>
    <w:rsid w:val="00C27633"/>
    <w:rsid w:val="00C27D1B"/>
    <w:rsid w:val="00C30848"/>
    <w:rsid w:val="00C31A44"/>
    <w:rsid w:val="00C31BB0"/>
    <w:rsid w:val="00C31EBA"/>
    <w:rsid w:val="00C32C9B"/>
    <w:rsid w:val="00C32F24"/>
    <w:rsid w:val="00C33355"/>
    <w:rsid w:val="00C34A05"/>
    <w:rsid w:val="00C35CCE"/>
    <w:rsid w:val="00C3700C"/>
    <w:rsid w:val="00C37139"/>
    <w:rsid w:val="00C37774"/>
    <w:rsid w:val="00C4032F"/>
    <w:rsid w:val="00C40F64"/>
    <w:rsid w:val="00C41A16"/>
    <w:rsid w:val="00C41F21"/>
    <w:rsid w:val="00C43140"/>
    <w:rsid w:val="00C43C5A"/>
    <w:rsid w:val="00C44047"/>
    <w:rsid w:val="00C45155"/>
    <w:rsid w:val="00C4529F"/>
    <w:rsid w:val="00C455B2"/>
    <w:rsid w:val="00C45711"/>
    <w:rsid w:val="00C45AC2"/>
    <w:rsid w:val="00C45EF2"/>
    <w:rsid w:val="00C47857"/>
    <w:rsid w:val="00C47D23"/>
    <w:rsid w:val="00C5371B"/>
    <w:rsid w:val="00C5498F"/>
    <w:rsid w:val="00C55235"/>
    <w:rsid w:val="00C552B1"/>
    <w:rsid w:val="00C56689"/>
    <w:rsid w:val="00C573AB"/>
    <w:rsid w:val="00C57A43"/>
    <w:rsid w:val="00C61971"/>
    <w:rsid w:val="00C61BFC"/>
    <w:rsid w:val="00C62040"/>
    <w:rsid w:val="00C628C3"/>
    <w:rsid w:val="00C649EC"/>
    <w:rsid w:val="00C64C60"/>
    <w:rsid w:val="00C64CD0"/>
    <w:rsid w:val="00C64DB9"/>
    <w:rsid w:val="00C65F61"/>
    <w:rsid w:val="00C663D1"/>
    <w:rsid w:val="00C6684F"/>
    <w:rsid w:val="00C66A2D"/>
    <w:rsid w:val="00C67DC3"/>
    <w:rsid w:val="00C70580"/>
    <w:rsid w:val="00C70E70"/>
    <w:rsid w:val="00C711BC"/>
    <w:rsid w:val="00C74552"/>
    <w:rsid w:val="00C75B8A"/>
    <w:rsid w:val="00C75C20"/>
    <w:rsid w:val="00C75F8D"/>
    <w:rsid w:val="00C760AF"/>
    <w:rsid w:val="00C763BB"/>
    <w:rsid w:val="00C76F82"/>
    <w:rsid w:val="00C77380"/>
    <w:rsid w:val="00C811ED"/>
    <w:rsid w:val="00C81A96"/>
    <w:rsid w:val="00C8345C"/>
    <w:rsid w:val="00C876A4"/>
    <w:rsid w:val="00C87E8A"/>
    <w:rsid w:val="00C90A5D"/>
    <w:rsid w:val="00C90DBD"/>
    <w:rsid w:val="00C913D6"/>
    <w:rsid w:val="00C91610"/>
    <w:rsid w:val="00C9188C"/>
    <w:rsid w:val="00C9504B"/>
    <w:rsid w:val="00C95270"/>
    <w:rsid w:val="00C95E4C"/>
    <w:rsid w:val="00C95E6C"/>
    <w:rsid w:val="00C96B3B"/>
    <w:rsid w:val="00C97736"/>
    <w:rsid w:val="00C97CDB"/>
    <w:rsid w:val="00CA0CA2"/>
    <w:rsid w:val="00CA122F"/>
    <w:rsid w:val="00CA1566"/>
    <w:rsid w:val="00CA2218"/>
    <w:rsid w:val="00CA2511"/>
    <w:rsid w:val="00CA2A7F"/>
    <w:rsid w:val="00CA3293"/>
    <w:rsid w:val="00CA345A"/>
    <w:rsid w:val="00CA46ED"/>
    <w:rsid w:val="00CA580A"/>
    <w:rsid w:val="00CA6A2E"/>
    <w:rsid w:val="00CB0E19"/>
    <w:rsid w:val="00CB17E6"/>
    <w:rsid w:val="00CB1B59"/>
    <w:rsid w:val="00CB1E82"/>
    <w:rsid w:val="00CB3F1A"/>
    <w:rsid w:val="00CB4BA8"/>
    <w:rsid w:val="00CB4E73"/>
    <w:rsid w:val="00CB52D7"/>
    <w:rsid w:val="00CB7E91"/>
    <w:rsid w:val="00CB7F5D"/>
    <w:rsid w:val="00CC05E0"/>
    <w:rsid w:val="00CC0A96"/>
    <w:rsid w:val="00CC2264"/>
    <w:rsid w:val="00CC34FD"/>
    <w:rsid w:val="00CC5F4D"/>
    <w:rsid w:val="00CC6732"/>
    <w:rsid w:val="00CC70B5"/>
    <w:rsid w:val="00CD084F"/>
    <w:rsid w:val="00CD0DF1"/>
    <w:rsid w:val="00CD0E4E"/>
    <w:rsid w:val="00CD1217"/>
    <w:rsid w:val="00CD2C30"/>
    <w:rsid w:val="00CD434A"/>
    <w:rsid w:val="00CD4711"/>
    <w:rsid w:val="00CD477F"/>
    <w:rsid w:val="00CD59FF"/>
    <w:rsid w:val="00CD61D8"/>
    <w:rsid w:val="00CD6ACF"/>
    <w:rsid w:val="00CD7880"/>
    <w:rsid w:val="00CE3C96"/>
    <w:rsid w:val="00CE4C19"/>
    <w:rsid w:val="00CE51A8"/>
    <w:rsid w:val="00CE5D55"/>
    <w:rsid w:val="00CE7E3A"/>
    <w:rsid w:val="00CF06E1"/>
    <w:rsid w:val="00CF08DD"/>
    <w:rsid w:val="00CF0BFE"/>
    <w:rsid w:val="00CF1019"/>
    <w:rsid w:val="00CF1E7F"/>
    <w:rsid w:val="00CF2649"/>
    <w:rsid w:val="00CF369B"/>
    <w:rsid w:val="00CF4B0A"/>
    <w:rsid w:val="00CF5B1A"/>
    <w:rsid w:val="00D001D8"/>
    <w:rsid w:val="00D00879"/>
    <w:rsid w:val="00D00E28"/>
    <w:rsid w:val="00D015B9"/>
    <w:rsid w:val="00D0269E"/>
    <w:rsid w:val="00D04198"/>
    <w:rsid w:val="00D0486C"/>
    <w:rsid w:val="00D04F67"/>
    <w:rsid w:val="00D05D6C"/>
    <w:rsid w:val="00D069CC"/>
    <w:rsid w:val="00D071B7"/>
    <w:rsid w:val="00D07BCF"/>
    <w:rsid w:val="00D102AC"/>
    <w:rsid w:val="00D10339"/>
    <w:rsid w:val="00D121E4"/>
    <w:rsid w:val="00D13548"/>
    <w:rsid w:val="00D14D72"/>
    <w:rsid w:val="00D151EF"/>
    <w:rsid w:val="00D15810"/>
    <w:rsid w:val="00D15A7C"/>
    <w:rsid w:val="00D16D4E"/>
    <w:rsid w:val="00D16FE3"/>
    <w:rsid w:val="00D17738"/>
    <w:rsid w:val="00D20E7B"/>
    <w:rsid w:val="00D210F8"/>
    <w:rsid w:val="00D22C9D"/>
    <w:rsid w:val="00D22FD4"/>
    <w:rsid w:val="00D23D09"/>
    <w:rsid w:val="00D25C44"/>
    <w:rsid w:val="00D267AE"/>
    <w:rsid w:val="00D268AF"/>
    <w:rsid w:val="00D27F41"/>
    <w:rsid w:val="00D308E1"/>
    <w:rsid w:val="00D31E10"/>
    <w:rsid w:val="00D3295E"/>
    <w:rsid w:val="00D32BF8"/>
    <w:rsid w:val="00D3335C"/>
    <w:rsid w:val="00D34A00"/>
    <w:rsid w:val="00D36441"/>
    <w:rsid w:val="00D36946"/>
    <w:rsid w:val="00D37312"/>
    <w:rsid w:val="00D4064E"/>
    <w:rsid w:val="00D4108D"/>
    <w:rsid w:val="00D4120A"/>
    <w:rsid w:val="00D41607"/>
    <w:rsid w:val="00D41696"/>
    <w:rsid w:val="00D4176D"/>
    <w:rsid w:val="00D42ECD"/>
    <w:rsid w:val="00D44E9B"/>
    <w:rsid w:val="00D461A9"/>
    <w:rsid w:val="00D4691E"/>
    <w:rsid w:val="00D4729E"/>
    <w:rsid w:val="00D47AEB"/>
    <w:rsid w:val="00D503EE"/>
    <w:rsid w:val="00D50A4B"/>
    <w:rsid w:val="00D50DB9"/>
    <w:rsid w:val="00D51302"/>
    <w:rsid w:val="00D51455"/>
    <w:rsid w:val="00D5148D"/>
    <w:rsid w:val="00D52C43"/>
    <w:rsid w:val="00D52F40"/>
    <w:rsid w:val="00D533EB"/>
    <w:rsid w:val="00D538C1"/>
    <w:rsid w:val="00D53F5C"/>
    <w:rsid w:val="00D5570D"/>
    <w:rsid w:val="00D5581D"/>
    <w:rsid w:val="00D5587A"/>
    <w:rsid w:val="00D57B41"/>
    <w:rsid w:val="00D601C9"/>
    <w:rsid w:val="00D61243"/>
    <w:rsid w:val="00D619D3"/>
    <w:rsid w:val="00D61A6D"/>
    <w:rsid w:val="00D638EA"/>
    <w:rsid w:val="00D6507F"/>
    <w:rsid w:val="00D66478"/>
    <w:rsid w:val="00D67498"/>
    <w:rsid w:val="00D67E84"/>
    <w:rsid w:val="00D7112C"/>
    <w:rsid w:val="00D71600"/>
    <w:rsid w:val="00D728D5"/>
    <w:rsid w:val="00D730BC"/>
    <w:rsid w:val="00D731E9"/>
    <w:rsid w:val="00D73912"/>
    <w:rsid w:val="00D74A7C"/>
    <w:rsid w:val="00D76339"/>
    <w:rsid w:val="00D76F88"/>
    <w:rsid w:val="00D771F3"/>
    <w:rsid w:val="00D8039D"/>
    <w:rsid w:val="00D81582"/>
    <w:rsid w:val="00D83036"/>
    <w:rsid w:val="00D8340A"/>
    <w:rsid w:val="00D83EFB"/>
    <w:rsid w:val="00D85226"/>
    <w:rsid w:val="00D85342"/>
    <w:rsid w:val="00D854D2"/>
    <w:rsid w:val="00D8607E"/>
    <w:rsid w:val="00D86F45"/>
    <w:rsid w:val="00D86F93"/>
    <w:rsid w:val="00D87B94"/>
    <w:rsid w:val="00D902FC"/>
    <w:rsid w:val="00D91477"/>
    <w:rsid w:val="00D92B92"/>
    <w:rsid w:val="00D92D49"/>
    <w:rsid w:val="00D92EC1"/>
    <w:rsid w:val="00D94556"/>
    <w:rsid w:val="00D94916"/>
    <w:rsid w:val="00D94BBB"/>
    <w:rsid w:val="00D96DEA"/>
    <w:rsid w:val="00D97B99"/>
    <w:rsid w:val="00DA1937"/>
    <w:rsid w:val="00DA1F2D"/>
    <w:rsid w:val="00DA1F3D"/>
    <w:rsid w:val="00DA2353"/>
    <w:rsid w:val="00DA4677"/>
    <w:rsid w:val="00DA4E41"/>
    <w:rsid w:val="00DA4F61"/>
    <w:rsid w:val="00DA6DCE"/>
    <w:rsid w:val="00DA7E31"/>
    <w:rsid w:val="00DA7EE1"/>
    <w:rsid w:val="00DB0496"/>
    <w:rsid w:val="00DB117A"/>
    <w:rsid w:val="00DB1385"/>
    <w:rsid w:val="00DB23A7"/>
    <w:rsid w:val="00DB3C37"/>
    <w:rsid w:val="00DB5173"/>
    <w:rsid w:val="00DB564A"/>
    <w:rsid w:val="00DB6046"/>
    <w:rsid w:val="00DB6569"/>
    <w:rsid w:val="00DB7017"/>
    <w:rsid w:val="00DB70B0"/>
    <w:rsid w:val="00DB7776"/>
    <w:rsid w:val="00DB7873"/>
    <w:rsid w:val="00DC0511"/>
    <w:rsid w:val="00DC077E"/>
    <w:rsid w:val="00DC187B"/>
    <w:rsid w:val="00DC18EF"/>
    <w:rsid w:val="00DC1AFF"/>
    <w:rsid w:val="00DC2EDA"/>
    <w:rsid w:val="00DC480F"/>
    <w:rsid w:val="00DC6AE0"/>
    <w:rsid w:val="00DD1A43"/>
    <w:rsid w:val="00DD2045"/>
    <w:rsid w:val="00DD2BF0"/>
    <w:rsid w:val="00DD2E25"/>
    <w:rsid w:val="00DD3378"/>
    <w:rsid w:val="00DD3581"/>
    <w:rsid w:val="00DD73C2"/>
    <w:rsid w:val="00DE02EA"/>
    <w:rsid w:val="00DE2AFF"/>
    <w:rsid w:val="00DE2B39"/>
    <w:rsid w:val="00DE319B"/>
    <w:rsid w:val="00DE4037"/>
    <w:rsid w:val="00DE6331"/>
    <w:rsid w:val="00DE7280"/>
    <w:rsid w:val="00DF0717"/>
    <w:rsid w:val="00DF0992"/>
    <w:rsid w:val="00DF1922"/>
    <w:rsid w:val="00DF285A"/>
    <w:rsid w:val="00DF2AA4"/>
    <w:rsid w:val="00DF2CA1"/>
    <w:rsid w:val="00DF2CF0"/>
    <w:rsid w:val="00DF34FE"/>
    <w:rsid w:val="00DF3838"/>
    <w:rsid w:val="00DF49D0"/>
    <w:rsid w:val="00DF56AA"/>
    <w:rsid w:val="00DF56AF"/>
    <w:rsid w:val="00DF5AAB"/>
    <w:rsid w:val="00DF5BC6"/>
    <w:rsid w:val="00DF6D47"/>
    <w:rsid w:val="00DF78E7"/>
    <w:rsid w:val="00DF7E5C"/>
    <w:rsid w:val="00E005EE"/>
    <w:rsid w:val="00E00A6B"/>
    <w:rsid w:val="00E01EE0"/>
    <w:rsid w:val="00E05C6E"/>
    <w:rsid w:val="00E06D72"/>
    <w:rsid w:val="00E103B2"/>
    <w:rsid w:val="00E110E0"/>
    <w:rsid w:val="00E123D2"/>
    <w:rsid w:val="00E1515E"/>
    <w:rsid w:val="00E15371"/>
    <w:rsid w:val="00E166A5"/>
    <w:rsid w:val="00E208E4"/>
    <w:rsid w:val="00E20EC2"/>
    <w:rsid w:val="00E21056"/>
    <w:rsid w:val="00E2138E"/>
    <w:rsid w:val="00E217B6"/>
    <w:rsid w:val="00E21D4B"/>
    <w:rsid w:val="00E2385F"/>
    <w:rsid w:val="00E23A02"/>
    <w:rsid w:val="00E23F3C"/>
    <w:rsid w:val="00E24104"/>
    <w:rsid w:val="00E249C8"/>
    <w:rsid w:val="00E254F8"/>
    <w:rsid w:val="00E25CFD"/>
    <w:rsid w:val="00E27E24"/>
    <w:rsid w:val="00E27EDD"/>
    <w:rsid w:val="00E302D0"/>
    <w:rsid w:val="00E32689"/>
    <w:rsid w:val="00E32A60"/>
    <w:rsid w:val="00E32C55"/>
    <w:rsid w:val="00E32E91"/>
    <w:rsid w:val="00E33309"/>
    <w:rsid w:val="00E3344B"/>
    <w:rsid w:val="00E3463D"/>
    <w:rsid w:val="00E35490"/>
    <w:rsid w:val="00E35707"/>
    <w:rsid w:val="00E36AA1"/>
    <w:rsid w:val="00E36BD9"/>
    <w:rsid w:val="00E402C2"/>
    <w:rsid w:val="00E40494"/>
    <w:rsid w:val="00E41ECB"/>
    <w:rsid w:val="00E420DC"/>
    <w:rsid w:val="00E42676"/>
    <w:rsid w:val="00E42DB1"/>
    <w:rsid w:val="00E43A99"/>
    <w:rsid w:val="00E43C64"/>
    <w:rsid w:val="00E44518"/>
    <w:rsid w:val="00E445DA"/>
    <w:rsid w:val="00E44B18"/>
    <w:rsid w:val="00E44D78"/>
    <w:rsid w:val="00E45F00"/>
    <w:rsid w:val="00E46C35"/>
    <w:rsid w:val="00E47B2C"/>
    <w:rsid w:val="00E50E94"/>
    <w:rsid w:val="00E5272F"/>
    <w:rsid w:val="00E52AFA"/>
    <w:rsid w:val="00E5355A"/>
    <w:rsid w:val="00E54ACD"/>
    <w:rsid w:val="00E54FDB"/>
    <w:rsid w:val="00E55AD2"/>
    <w:rsid w:val="00E5617D"/>
    <w:rsid w:val="00E563D7"/>
    <w:rsid w:val="00E5683A"/>
    <w:rsid w:val="00E56A91"/>
    <w:rsid w:val="00E57B65"/>
    <w:rsid w:val="00E57E07"/>
    <w:rsid w:val="00E6067A"/>
    <w:rsid w:val="00E61DC1"/>
    <w:rsid w:val="00E6262D"/>
    <w:rsid w:val="00E62A90"/>
    <w:rsid w:val="00E63EDA"/>
    <w:rsid w:val="00E646F3"/>
    <w:rsid w:val="00E656DD"/>
    <w:rsid w:val="00E65BCE"/>
    <w:rsid w:val="00E660E1"/>
    <w:rsid w:val="00E663F4"/>
    <w:rsid w:val="00E666F2"/>
    <w:rsid w:val="00E66DD4"/>
    <w:rsid w:val="00E676B1"/>
    <w:rsid w:val="00E677D8"/>
    <w:rsid w:val="00E67B67"/>
    <w:rsid w:val="00E7123E"/>
    <w:rsid w:val="00E71872"/>
    <w:rsid w:val="00E73021"/>
    <w:rsid w:val="00E748CC"/>
    <w:rsid w:val="00E75415"/>
    <w:rsid w:val="00E775B1"/>
    <w:rsid w:val="00E77A41"/>
    <w:rsid w:val="00E810A7"/>
    <w:rsid w:val="00E8152A"/>
    <w:rsid w:val="00E83ED6"/>
    <w:rsid w:val="00E850F1"/>
    <w:rsid w:val="00E85AD1"/>
    <w:rsid w:val="00E85EE8"/>
    <w:rsid w:val="00E86F0C"/>
    <w:rsid w:val="00E90800"/>
    <w:rsid w:val="00E9147C"/>
    <w:rsid w:val="00E91748"/>
    <w:rsid w:val="00E917B7"/>
    <w:rsid w:val="00E929A6"/>
    <w:rsid w:val="00E93629"/>
    <w:rsid w:val="00E93B5C"/>
    <w:rsid w:val="00E93BCC"/>
    <w:rsid w:val="00E94CEC"/>
    <w:rsid w:val="00E97160"/>
    <w:rsid w:val="00E97F61"/>
    <w:rsid w:val="00E97FA8"/>
    <w:rsid w:val="00EA04EF"/>
    <w:rsid w:val="00EA0D1B"/>
    <w:rsid w:val="00EA1735"/>
    <w:rsid w:val="00EA2844"/>
    <w:rsid w:val="00EA2A81"/>
    <w:rsid w:val="00EA388E"/>
    <w:rsid w:val="00EA39B6"/>
    <w:rsid w:val="00EA5BBA"/>
    <w:rsid w:val="00EA5D75"/>
    <w:rsid w:val="00EA6260"/>
    <w:rsid w:val="00EA6946"/>
    <w:rsid w:val="00EA6C79"/>
    <w:rsid w:val="00EA6F19"/>
    <w:rsid w:val="00EA6FAA"/>
    <w:rsid w:val="00EB0E90"/>
    <w:rsid w:val="00EB2761"/>
    <w:rsid w:val="00EB2C21"/>
    <w:rsid w:val="00EB4151"/>
    <w:rsid w:val="00EB4A95"/>
    <w:rsid w:val="00EB4CE2"/>
    <w:rsid w:val="00EB553A"/>
    <w:rsid w:val="00EB7090"/>
    <w:rsid w:val="00EC0702"/>
    <w:rsid w:val="00EC18E0"/>
    <w:rsid w:val="00EC1BBE"/>
    <w:rsid w:val="00EC1F6E"/>
    <w:rsid w:val="00EC2380"/>
    <w:rsid w:val="00EC2B68"/>
    <w:rsid w:val="00EC2EDE"/>
    <w:rsid w:val="00EC3AEF"/>
    <w:rsid w:val="00EC3C25"/>
    <w:rsid w:val="00EC4C0F"/>
    <w:rsid w:val="00EC5CD7"/>
    <w:rsid w:val="00EC6BBB"/>
    <w:rsid w:val="00EC6C16"/>
    <w:rsid w:val="00EC731B"/>
    <w:rsid w:val="00ED06B9"/>
    <w:rsid w:val="00ED1292"/>
    <w:rsid w:val="00ED3074"/>
    <w:rsid w:val="00ED3E0D"/>
    <w:rsid w:val="00ED45A4"/>
    <w:rsid w:val="00EE0D89"/>
    <w:rsid w:val="00EE173F"/>
    <w:rsid w:val="00EE2077"/>
    <w:rsid w:val="00EE268A"/>
    <w:rsid w:val="00EE49F9"/>
    <w:rsid w:val="00EE5FB3"/>
    <w:rsid w:val="00EE6E27"/>
    <w:rsid w:val="00EE7650"/>
    <w:rsid w:val="00EE78C6"/>
    <w:rsid w:val="00EE7982"/>
    <w:rsid w:val="00EE7F79"/>
    <w:rsid w:val="00EF03B5"/>
    <w:rsid w:val="00EF1348"/>
    <w:rsid w:val="00EF508C"/>
    <w:rsid w:val="00EF5C0E"/>
    <w:rsid w:val="00EF6643"/>
    <w:rsid w:val="00EF715A"/>
    <w:rsid w:val="00F00F6E"/>
    <w:rsid w:val="00F020E1"/>
    <w:rsid w:val="00F042AD"/>
    <w:rsid w:val="00F05BCC"/>
    <w:rsid w:val="00F05D7C"/>
    <w:rsid w:val="00F06509"/>
    <w:rsid w:val="00F066A9"/>
    <w:rsid w:val="00F06973"/>
    <w:rsid w:val="00F06E14"/>
    <w:rsid w:val="00F07558"/>
    <w:rsid w:val="00F07B42"/>
    <w:rsid w:val="00F10104"/>
    <w:rsid w:val="00F11B51"/>
    <w:rsid w:val="00F12AED"/>
    <w:rsid w:val="00F12FAA"/>
    <w:rsid w:val="00F1353B"/>
    <w:rsid w:val="00F1390B"/>
    <w:rsid w:val="00F13B44"/>
    <w:rsid w:val="00F142F0"/>
    <w:rsid w:val="00F14540"/>
    <w:rsid w:val="00F14DAF"/>
    <w:rsid w:val="00F1676A"/>
    <w:rsid w:val="00F16D4D"/>
    <w:rsid w:val="00F16E4C"/>
    <w:rsid w:val="00F174A2"/>
    <w:rsid w:val="00F1756C"/>
    <w:rsid w:val="00F179D4"/>
    <w:rsid w:val="00F22573"/>
    <w:rsid w:val="00F228A0"/>
    <w:rsid w:val="00F22A23"/>
    <w:rsid w:val="00F22C8B"/>
    <w:rsid w:val="00F26504"/>
    <w:rsid w:val="00F27BE2"/>
    <w:rsid w:val="00F30059"/>
    <w:rsid w:val="00F30D8C"/>
    <w:rsid w:val="00F31E2D"/>
    <w:rsid w:val="00F31F40"/>
    <w:rsid w:val="00F33C56"/>
    <w:rsid w:val="00F34009"/>
    <w:rsid w:val="00F347C7"/>
    <w:rsid w:val="00F34848"/>
    <w:rsid w:val="00F34E56"/>
    <w:rsid w:val="00F358C5"/>
    <w:rsid w:val="00F35B14"/>
    <w:rsid w:val="00F35CB9"/>
    <w:rsid w:val="00F40003"/>
    <w:rsid w:val="00F40C9C"/>
    <w:rsid w:val="00F411C6"/>
    <w:rsid w:val="00F412F6"/>
    <w:rsid w:val="00F4242B"/>
    <w:rsid w:val="00F4252D"/>
    <w:rsid w:val="00F42D46"/>
    <w:rsid w:val="00F4496C"/>
    <w:rsid w:val="00F44F3A"/>
    <w:rsid w:val="00F454EF"/>
    <w:rsid w:val="00F4642D"/>
    <w:rsid w:val="00F46DBC"/>
    <w:rsid w:val="00F4727B"/>
    <w:rsid w:val="00F47F01"/>
    <w:rsid w:val="00F50DBF"/>
    <w:rsid w:val="00F515CE"/>
    <w:rsid w:val="00F51F10"/>
    <w:rsid w:val="00F529A5"/>
    <w:rsid w:val="00F5310D"/>
    <w:rsid w:val="00F54EC2"/>
    <w:rsid w:val="00F55499"/>
    <w:rsid w:val="00F557FF"/>
    <w:rsid w:val="00F559B8"/>
    <w:rsid w:val="00F56950"/>
    <w:rsid w:val="00F60AA9"/>
    <w:rsid w:val="00F60AF5"/>
    <w:rsid w:val="00F60C7D"/>
    <w:rsid w:val="00F60F00"/>
    <w:rsid w:val="00F614C0"/>
    <w:rsid w:val="00F61C2E"/>
    <w:rsid w:val="00F62428"/>
    <w:rsid w:val="00F647EE"/>
    <w:rsid w:val="00F64E46"/>
    <w:rsid w:val="00F655E9"/>
    <w:rsid w:val="00F66783"/>
    <w:rsid w:val="00F66E9A"/>
    <w:rsid w:val="00F671A6"/>
    <w:rsid w:val="00F705EA"/>
    <w:rsid w:val="00F719BF"/>
    <w:rsid w:val="00F7438B"/>
    <w:rsid w:val="00F74780"/>
    <w:rsid w:val="00F751D7"/>
    <w:rsid w:val="00F760AC"/>
    <w:rsid w:val="00F767D3"/>
    <w:rsid w:val="00F774A1"/>
    <w:rsid w:val="00F81EA4"/>
    <w:rsid w:val="00F82CB7"/>
    <w:rsid w:val="00F83848"/>
    <w:rsid w:val="00F838B9"/>
    <w:rsid w:val="00F8409C"/>
    <w:rsid w:val="00F84B71"/>
    <w:rsid w:val="00F87F6E"/>
    <w:rsid w:val="00F90612"/>
    <w:rsid w:val="00F90728"/>
    <w:rsid w:val="00F9277B"/>
    <w:rsid w:val="00F93992"/>
    <w:rsid w:val="00F94232"/>
    <w:rsid w:val="00F96FD4"/>
    <w:rsid w:val="00F97475"/>
    <w:rsid w:val="00F975E9"/>
    <w:rsid w:val="00FA02B6"/>
    <w:rsid w:val="00FA0479"/>
    <w:rsid w:val="00FA08D7"/>
    <w:rsid w:val="00FA09DB"/>
    <w:rsid w:val="00FA14FD"/>
    <w:rsid w:val="00FA1B7D"/>
    <w:rsid w:val="00FA27EC"/>
    <w:rsid w:val="00FA2801"/>
    <w:rsid w:val="00FA298B"/>
    <w:rsid w:val="00FA4004"/>
    <w:rsid w:val="00FA4F8B"/>
    <w:rsid w:val="00FA6CE1"/>
    <w:rsid w:val="00FA7DB4"/>
    <w:rsid w:val="00FA7EC4"/>
    <w:rsid w:val="00FB03CD"/>
    <w:rsid w:val="00FB061A"/>
    <w:rsid w:val="00FB1147"/>
    <w:rsid w:val="00FB1ACB"/>
    <w:rsid w:val="00FB1C09"/>
    <w:rsid w:val="00FB6F59"/>
    <w:rsid w:val="00FB701B"/>
    <w:rsid w:val="00FC0681"/>
    <w:rsid w:val="00FC07B9"/>
    <w:rsid w:val="00FC2172"/>
    <w:rsid w:val="00FC22CD"/>
    <w:rsid w:val="00FC3539"/>
    <w:rsid w:val="00FC4436"/>
    <w:rsid w:val="00FC4E21"/>
    <w:rsid w:val="00FC5804"/>
    <w:rsid w:val="00FC5F6D"/>
    <w:rsid w:val="00FC66D1"/>
    <w:rsid w:val="00FC6B7F"/>
    <w:rsid w:val="00FC73DE"/>
    <w:rsid w:val="00FD0107"/>
    <w:rsid w:val="00FD1632"/>
    <w:rsid w:val="00FD1E6A"/>
    <w:rsid w:val="00FD2739"/>
    <w:rsid w:val="00FD273B"/>
    <w:rsid w:val="00FD281B"/>
    <w:rsid w:val="00FD2C2F"/>
    <w:rsid w:val="00FD327D"/>
    <w:rsid w:val="00FD3829"/>
    <w:rsid w:val="00FD3B31"/>
    <w:rsid w:val="00FD5E7C"/>
    <w:rsid w:val="00FD6A9A"/>
    <w:rsid w:val="00FE0F09"/>
    <w:rsid w:val="00FE1823"/>
    <w:rsid w:val="00FE2421"/>
    <w:rsid w:val="00FE32D8"/>
    <w:rsid w:val="00FE487A"/>
    <w:rsid w:val="00FE59C2"/>
    <w:rsid w:val="00FE6464"/>
    <w:rsid w:val="00FE6D12"/>
    <w:rsid w:val="00FE7A7F"/>
    <w:rsid w:val="00FE7C7D"/>
    <w:rsid w:val="00FF0569"/>
    <w:rsid w:val="00FF064B"/>
    <w:rsid w:val="00FF094E"/>
    <w:rsid w:val="00FF206E"/>
    <w:rsid w:val="00FF32C3"/>
    <w:rsid w:val="00FF3B1C"/>
    <w:rsid w:val="00FF3BE9"/>
    <w:rsid w:val="00FF3C69"/>
    <w:rsid w:val="00FF496A"/>
    <w:rsid w:val="00FF49D0"/>
    <w:rsid w:val="00FF5D02"/>
    <w:rsid w:val="00FF6161"/>
    <w:rsid w:val="00FF6E0A"/>
  </w:rsids>
  <m:mathPr>
    <m:mathFont m:val="Cambria Math"/>
    <m:brkBin m:val="before"/>
    <m:brkBinSub m:val="--"/>
    <m:smallFrac/>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colormru v:ext="edit" colors="red,#4d4d4f"/>
    </o:shapedefaults>
    <o:shapelayout v:ext="edit">
      <o:idmap v:ext="edit" data="1"/>
    </o:shapelayout>
  </w:shapeDefaults>
  <w:decimalSymbol w:val="."/>
  <w:listSeparator w:val=","/>
  <w14:docId w14:val="3ECC9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index 1" w:semiHidden="1" w:unhideWhenUsed="1"/>
    <w:lsdException w:name="index 2" w:semiHidden="1"/>
    <w:lsdException w:name="index 3" w:semiHidden="1"/>
    <w:lsdException w:name="index 4" w:semiHidden="1"/>
    <w:lsdException w:name="index 5" w:semiHidden="1"/>
    <w:lsdException w:name="index 6" w:semiHidden="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qFormat="1"/>
    <w:lsdException w:name="List Number 3" w:semiHidden="1" w:unhideWhenUsed="1"/>
    <w:lsdException w:name="List Number 4" w:semiHidden="1" w:unhideWhenUsed="1"/>
    <w:lsdException w:name="List Number 5" w:semiHidden="1"/>
    <w:lsdException w:name="Title" w:semiHidden="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lsdException w:name="Block Text" w:semiHidden="1"/>
    <w:lsdException w:name="Hyperlink" w:uiPriority="99" w:qFormat="1"/>
    <w:lsdException w:name="Strong" w:semiHidden="1"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qFormat/>
    <w:rsid w:val="005C34EF"/>
    <w:pPr>
      <w:spacing w:after="240" w:line="240" w:lineRule="atLeast"/>
    </w:pPr>
    <w:rPr>
      <w:rFonts w:ascii="Arial" w:hAnsi="Arial"/>
      <w:sz w:val="20"/>
    </w:rPr>
  </w:style>
  <w:style w:type="paragraph" w:styleId="Heading1">
    <w:name w:val="heading 1"/>
    <w:basedOn w:val="Normal"/>
    <w:next w:val="Normal"/>
    <w:link w:val="Heading1Char"/>
    <w:uiPriority w:val="1"/>
    <w:qFormat/>
    <w:rsid w:val="00C55235"/>
    <w:pPr>
      <w:keepNext/>
      <w:pageBreakBefore/>
      <w:widowControl w:val="0"/>
      <w:spacing w:after="360" w:line="550" w:lineRule="exact"/>
      <w:outlineLvl w:val="0"/>
    </w:pPr>
    <w:rPr>
      <w:rFonts w:cs="Arial"/>
      <w:bCs/>
      <w:color w:val="323232"/>
      <w:kern w:val="32"/>
      <w:sz w:val="53"/>
      <w:szCs w:val="32"/>
    </w:rPr>
  </w:style>
  <w:style w:type="paragraph" w:styleId="Heading2">
    <w:name w:val="heading 2"/>
    <w:basedOn w:val="Normal"/>
    <w:next w:val="Paragraph"/>
    <w:link w:val="Heading2Char"/>
    <w:uiPriority w:val="1"/>
    <w:qFormat/>
    <w:rsid w:val="00C55235"/>
    <w:pPr>
      <w:keepNext/>
      <w:spacing w:before="320" w:after="60"/>
      <w:outlineLvl w:val="1"/>
    </w:pPr>
    <w:rPr>
      <w:rFonts w:cs="Arial"/>
      <w:b/>
      <w:bCs/>
      <w:iCs/>
      <w:sz w:val="28"/>
      <w:szCs w:val="28"/>
    </w:rPr>
  </w:style>
  <w:style w:type="paragraph" w:styleId="Heading3">
    <w:name w:val="heading 3"/>
    <w:basedOn w:val="Normal"/>
    <w:next w:val="Normal"/>
    <w:link w:val="Heading3Char"/>
    <w:qFormat/>
    <w:rsid w:val="00C55235"/>
    <w:pPr>
      <w:keepNext/>
      <w:spacing w:before="60" w:after="60"/>
      <w:outlineLvl w:val="2"/>
    </w:pPr>
    <w:rPr>
      <w:rFonts w:cs="Arial"/>
      <w:b/>
      <w:bCs/>
      <w:szCs w:val="26"/>
    </w:rPr>
  </w:style>
  <w:style w:type="paragraph" w:styleId="Heading4">
    <w:name w:val="heading 4"/>
    <w:basedOn w:val="BodySubHeader"/>
    <w:next w:val="Normal"/>
    <w:uiPriority w:val="2"/>
    <w:qFormat/>
    <w:rsid w:val="005B2F0D"/>
    <w:pPr>
      <w:outlineLvl w:val="3"/>
    </w:pPr>
    <w:rPr>
      <w:rFonts w:cs="Arial"/>
    </w:rPr>
  </w:style>
  <w:style w:type="paragraph" w:styleId="Heading5">
    <w:name w:val="heading 5"/>
    <w:basedOn w:val="Normal"/>
    <w:next w:val="Normal"/>
    <w:semiHidden/>
    <w:qFormat/>
    <w:rsid w:val="00AD5436"/>
    <w:pPr>
      <w:numPr>
        <w:ilvl w:val="4"/>
        <w:numId w:val="5"/>
      </w:numPr>
      <w:spacing w:before="240" w:after="60"/>
      <w:outlineLvl w:val="4"/>
    </w:pPr>
    <w:rPr>
      <w:b/>
      <w:bCs/>
      <w:i/>
      <w:iCs/>
      <w:sz w:val="26"/>
      <w:szCs w:val="26"/>
    </w:rPr>
  </w:style>
  <w:style w:type="paragraph" w:styleId="Heading6">
    <w:name w:val="heading 6"/>
    <w:basedOn w:val="Normal"/>
    <w:next w:val="Normal"/>
    <w:semiHidden/>
    <w:qFormat/>
    <w:rsid w:val="00AD5436"/>
    <w:pPr>
      <w:numPr>
        <w:ilvl w:val="5"/>
        <w:numId w:val="5"/>
      </w:numPr>
      <w:spacing w:before="240" w:after="60"/>
      <w:outlineLvl w:val="5"/>
    </w:pPr>
    <w:rPr>
      <w:rFonts w:ascii="Times New Roman" w:hAnsi="Times New Roman"/>
      <w:b/>
      <w:bCs/>
      <w:sz w:val="22"/>
      <w:szCs w:val="22"/>
    </w:rPr>
  </w:style>
  <w:style w:type="paragraph" w:styleId="Heading7">
    <w:name w:val="heading 7"/>
    <w:basedOn w:val="Normal"/>
    <w:next w:val="Normal"/>
    <w:semiHidden/>
    <w:qFormat/>
    <w:rsid w:val="00AD5436"/>
    <w:pPr>
      <w:numPr>
        <w:ilvl w:val="6"/>
        <w:numId w:val="5"/>
      </w:numPr>
      <w:spacing w:before="240" w:after="60"/>
      <w:outlineLvl w:val="6"/>
    </w:pPr>
    <w:rPr>
      <w:rFonts w:ascii="Times New Roman" w:hAnsi="Times New Roman"/>
      <w:sz w:val="24"/>
    </w:rPr>
  </w:style>
  <w:style w:type="paragraph" w:styleId="Heading8">
    <w:name w:val="heading 8"/>
    <w:basedOn w:val="Normal"/>
    <w:next w:val="Normal"/>
    <w:semiHidden/>
    <w:qFormat/>
    <w:rsid w:val="00AD5436"/>
    <w:pPr>
      <w:numPr>
        <w:ilvl w:val="7"/>
        <w:numId w:val="5"/>
      </w:numPr>
      <w:spacing w:before="240" w:after="60"/>
      <w:outlineLvl w:val="7"/>
    </w:pPr>
    <w:rPr>
      <w:rFonts w:ascii="Times New Roman" w:hAnsi="Times New Roman"/>
      <w:i/>
      <w:iCs/>
      <w:sz w:val="24"/>
    </w:rPr>
  </w:style>
  <w:style w:type="paragraph" w:styleId="Heading9">
    <w:name w:val="heading 9"/>
    <w:basedOn w:val="Normal"/>
    <w:next w:val="Normal"/>
    <w:semiHidden/>
    <w:qFormat/>
    <w:rsid w:val="00AD5436"/>
    <w:pPr>
      <w:numPr>
        <w:ilvl w:val="8"/>
        <w:numId w:val="5"/>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70791C"/>
    <w:pPr>
      <w:tabs>
        <w:tab w:val="center" w:pos="4153"/>
        <w:tab w:val="right" w:pos="8306"/>
      </w:tabs>
      <w:spacing w:line="240" w:lineRule="auto"/>
    </w:pPr>
    <w:rPr>
      <w:sz w:val="16"/>
    </w:rPr>
  </w:style>
  <w:style w:type="paragraph" w:styleId="Footer">
    <w:name w:val="footer"/>
    <w:basedOn w:val="Normal"/>
    <w:link w:val="FooterChar"/>
    <w:semiHidden/>
    <w:qFormat/>
    <w:rsid w:val="0094078F"/>
    <w:pPr>
      <w:tabs>
        <w:tab w:val="right" w:pos="113"/>
      </w:tabs>
      <w:spacing w:line="240" w:lineRule="auto"/>
    </w:pPr>
    <w:rPr>
      <w:color w:val="323232"/>
      <w:sz w:val="16"/>
    </w:rPr>
  </w:style>
  <w:style w:type="character" w:customStyle="1" w:styleId="FooterChar">
    <w:name w:val="Footer Char"/>
    <w:basedOn w:val="DefaultParagraphFont"/>
    <w:link w:val="Footer"/>
    <w:semiHidden/>
    <w:rsid w:val="00EC2B68"/>
    <w:rPr>
      <w:rFonts w:ascii="Arial" w:hAnsi="Arial"/>
      <w:color w:val="323232"/>
      <w:sz w:val="16"/>
    </w:rPr>
  </w:style>
  <w:style w:type="paragraph" w:customStyle="1" w:styleId="Reporttitle">
    <w:name w:val="Report title"/>
    <w:basedOn w:val="Normal"/>
    <w:uiPriority w:val="19"/>
    <w:qFormat/>
    <w:rsid w:val="00A51D1A"/>
    <w:pPr>
      <w:spacing w:after="0" w:line="560" w:lineRule="exact"/>
    </w:pPr>
    <w:rPr>
      <w:b/>
      <w:spacing w:val="-28"/>
      <w:sz w:val="53"/>
    </w:rPr>
  </w:style>
  <w:style w:type="paragraph" w:customStyle="1" w:styleId="Reportsubtitle">
    <w:name w:val="Report subtitle"/>
    <w:basedOn w:val="Normal"/>
    <w:uiPriority w:val="20"/>
    <w:qFormat/>
    <w:rsid w:val="00950159"/>
    <w:pPr>
      <w:spacing w:after="200" w:line="560" w:lineRule="exact"/>
    </w:pPr>
    <w:rPr>
      <w:color w:val="323232"/>
      <w:spacing w:val="-28"/>
      <w:sz w:val="53"/>
    </w:rPr>
  </w:style>
  <w:style w:type="table" w:styleId="TableGrid">
    <w:name w:val="Table Grid"/>
    <w:basedOn w:val="TableNormal"/>
    <w:uiPriority w:val="59"/>
    <w:rsid w:val="00226819"/>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portdate">
    <w:name w:val="Report date"/>
    <w:basedOn w:val="Reportsubtitle"/>
    <w:uiPriority w:val="21"/>
    <w:qFormat/>
    <w:rsid w:val="00950159"/>
    <w:pPr>
      <w:spacing w:after="1200" w:line="240" w:lineRule="auto"/>
    </w:pPr>
    <w:rPr>
      <w:caps/>
      <w:spacing w:val="-10"/>
      <w:sz w:val="20"/>
    </w:rPr>
  </w:style>
  <w:style w:type="paragraph" w:customStyle="1" w:styleId="Tableheaderrow">
    <w:name w:val="Table header row"/>
    <w:basedOn w:val="Normal"/>
    <w:uiPriority w:val="14"/>
    <w:qFormat/>
    <w:rsid w:val="00774FDB"/>
    <w:pPr>
      <w:spacing w:after="0"/>
    </w:pPr>
    <w:rPr>
      <w:b/>
    </w:rPr>
  </w:style>
  <w:style w:type="paragraph" w:customStyle="1" w:styleId="PageNumber">
    <w:name w:val="PageNumber"/>
    <w:basedOn w:val="Normal"/>
    <w:semiHidden/>
    <w:rsid w:val="0070791C"/>
    <w:pPr>
      <w:spacing w:line="240" w:lineRule="auto"/>
    </w:pPr>
    <w:rPr>
      <w:sz w:val="16"/>
    </w:rPr>
  </w:style>
  <w:style w:type="paragraph" w:customStyle="1" w:styleId="Copyright">
    <w:name w:val="Copyright"/>
    <w:basedOn w:val="Normal"/>
    <w:semiHidden/>
    <w:rsid w:val="00454596"/>
    <w:pPr>
      <w:spacing w:line="160" w:lineRule="exact"/>
    </w:pPr>
    <w:rPr>
      <w:color w:val="4D4D4F"/>
      <w:sz w:val="13"/>
    </w:rPr>
  </w:style>
  <w:style w:type="paragraph" w:styleId="TOCHeading">
    <w:name w:val="TOC Heading"/>
    <w:basedOn w:val="Normal"/>
    <w:semiHidden/>
    <w:qFormat/>
    <w:rsid w:val="00950159"/>
    <w:pPr>
      <w:spacing w:before="1200" w:line="240" w:lineRule="auto"/>
    </w:pPr>
    <w:rPr>
      <w:b/>
      <w:color w:val="323232"/>
      <w:spacing w:val="-28"/>
      <w:sz w:val="53"/>
    </w:rPr>
  </w:style>
  <w:style w:type="paragraph" w:styleId="Caption">
    <w:name w:val="caption"/>
    <w:aliases w:val="Caption table"/>
    <w:basedOn w:val="Normal"/>
    <w:next w:val="Normal"/>
    <w:semiHidden/>
    <w:qFormat/>
    <w:rsid w:val="00E8152A"/>
    <w:pPr>
      <w:numPr>
        <w:numId w:val="9"/>
      </w:numPr>
      <w:spacing w:after="0"/>
    </w:pPr>
    <w:rPr>
      <w:b/>
      <w:bCs/>
      <w:color w:val="323232"/>
      <w:szCs w:val="20"/>
    </w:rPr>
  </w:style>
  <w:style w:type="paragraph" w:customStyle="1" w:styleId="BodySubHeader">
    <w:name w:val="BodySubHeader"/>
    <w:basedOn w:val="Normal"/>
    <w:next w:val="Normal"/>
    <w:semiHidden/>
    <w:rsid w:val="00146CE6"/>
    <w:pPr>
      <w:spacing w:before="240" w:after="0"/>
    </w:pPr>
    <w:rPr>
      <w:b/>
      <w:i/>
    </w:rPr>
  </w:style>
  <w:style w:type="paragraph" w:styleId="ListBullet">
    <w:name w:val="List Bullet"/>
    <w:basedOn w:val="Normal"/>
    <w:semiHidden/>
    <w:qFormat/>
    <w:rsid w:val="001C6AEE"/>
    <w:pPr>
      <w:numPr>
        <w:numId w:val="1"/>
      </w:numPr>
      <w:spacing w:after="80"/>
    </w:pPr>
  </w:style>
  <w:style w:type="paragraph" w:styleId="ListBullet2">
    <w:name w:val="List Bullet 2"/>
    <w:basedOn w:val="Normal"/>
    <w:semiHidden/>
    <w:qFormat/>
    <w:rsid w:val="001C6AEE"/>
    <w:pPr>
      <w:numPr>
        <w:numId w:val="2"/>
      </w:numPr>
      <w:spacing w:after="80"/>
    </w:pPr>
  </w:style>
  <w:style w:type="paragraph" w:styleId="ListNumber">
    <w:name w:val="List Number"/>
    <w:basedOn w:val="Normal"/>
    <w:semiHidden/>
    <w:qFormat/>
    <w:rsid w:val="00C24A53"/>
    <w:pPr>
      <w:numPr>
        <w:numId w:val="3"/>
      </w:numPr>
      <w:spacing w:after="80"/>
    </w:pPr>
  </w:style>
  <w:style w:type="paragraph" w:styleId="ListNumber2">
    <w:name w:val="List Number 2"/>
    <w:basedOn w:val="Normal"/>
    <w:semiHidden/>
    <w:qFormat/>
    <w:rsid w:val="004A70D6"/>
    <w:pPr>
      <w:numPr>
        <w:numId w:val="4"/>
      </w:numPr>
      <w:spacing w:after="80"/>
    </w:pPr>
  </w:style>
  <w:style w:type="paragraph" w:customStyle="1" w:styleId="URLEmail">
    <w:name w:val="URL/Email"/>
    <w:basedOn w:val="Normal"/>
    <w:semiHidden/>
    <w:rsid w:val="00302480"/>
    <w:rPr>
      <w:color w:val="4D4D4F"/>
      <w:spacing w:val="4"/>
    </w:rPr>
  </w:style>
  <w:style w:type="paragraph" w:customStyle="1" w:styleId="Execsummaryheading">
    <w:name w:val="Exec summary heading"/>
    <w:basedOn w:val="Normal"/>
    <w:uiPriority w:val="22"/>
    <w:qFormat/>
    <w:rsid w:val="006B52DE"/>
    <w:pPr>
      <w:pageBreakBefore/>
      <w:spacing w:after="1440" w:line="550" w:lineRule="exact"/>
    </w:pPr>
    <w:rPr>
      <w:b/>
      <w:color w:val="323232"/>
      <w:spacing w:val="-18"/>
      <w:sz w:val="53"/>
    </w:rPr>
  </w:style>
  <w:style w:type="character" w:styleId="PageNumber0">
    <w:name w:val="page number"/>
    <w:basedOn w:val="DefaultParagraphFont"/>
    <w:semiHidden/>
    <w:rsid w:val="00542377"/>
  </w:style>
  <w:style w:type="paragraph" w:styleId="ListContinue5">
    <w:name w:val="List Continue 5"/>
    <w:basedOn w:val="Normal"/>
    <w:semiHidden/>
    <w:rsid w:val="00EC2B68"/>
    <w:pPr>
      <w:spacing w:after="120"/>
      <w:ind w:left="1415"/>
      <w:contextualSpacing/>
    </w:pPr>
  </w:style>
  <w:style w:type="paragraph" w:customStyle="1" w:styleId="Paragraphbeforelist">
    <w:name w:val="Paragraph before list"/>
    <w:basedOn w:val="Paragraph"/>
    <w:uiPriority w:val="4"/>
    <w:qFormat/>
    <w:rsid w:val="00C87E8A"/>
    <w:pPr>
      <w:spacing w:after="80"/>
    </w:pPr>
  </w:style>
  <w:style w:type="paragraph" w:styleId="TOC1">
    <w:name w:val="toc 1"/>
    <w:basedOn w:val="Normal"/>
    <w:next w:val="Normal"/>
    <w:uiPriority w:val="39"/>
    <w:qFormat/>
    <w:rsid w:val="007A6CC0"/>
    <w:pPr>
      <w:tabs>
        <w:tab w:val="right" w:pos="7660"/>
      </w:tabs>
      <w:spacing w:before="280" w:after="80" w:line="320" w:lineRule="exact"/>
      <w:ind w:right="851"/>
    </w:pPr>
    <w:rPr>
      <w:b/>
      <w:noProof/>
      <w:spacing w:val="-14"/>
      <w:sz w:val="28"/>
    </w:rPr>
  </w:style>
  <w:style w:type="paragraph" w:styleId="TOC2">
    <w:name w:val="toc 2"/>
    <w:basedOn w:val="Normal"/>
    <w:next w:val="Normal"/>
    <w:uiPriority w:val="39"/>
    <w:qFormat/>
    <w:rsid w:val="007A6CC0"/>
    <w:pPr>
      <w:tabs>
        <w:tab w:val="right" w:pos="7660"/>
      </w:tabs>
      <w:spacing w:after="80" w:line="300" w:lineRule="exact"/>
      <w:ind w:left="885" w:hanging="885"/>
    </w:pPr>
    <w:rPr>
      <w:noProof/>
      <w:spacing w:val="-14"/>
      <w:sz w:val="26"/>
      <w:szCs w:val="26"/>
    </w:rPr>
  </w:style>
  <w:style w:type="paragraph" w:styleId="TableofFigures">
    <w:name w:val="table of figures"/>
    <w:basedOn w:val="Normal"/>
    <w:next w:val="Normal"/>
    <w:semiHidden/>
    <w:rsid w:val="00AD3082"/>
    <w:pPr>
      <w:tabs>
        <w:tab w:val="right" w:pos="7615"/>
      </w:tabs>
      <w:spacing w:line="320" w:lineRule="exact"/>
    </w:pPr>
    <w:rPr>
      <w:noProof/>
      <w:color w:val="808285"/>
      <w:sz w:val="28"/>
    </w:rPr>
  </w:style>
  <w:style w:type="paragraph" w:styleId="TOC3">
    <w:name w:val="toc 3"/>
    <w:basedOn w:val="Normal"/>
    <w:next w:val="Normal"/>
    <w:uiPriority w:val="39"/>
    <w:qFormat/>
    <w:rsid w:val="007A6CC0"/>
    <w:pPr>
      <w:tabs>
        <w:tab w:val="right" w:pos="7661"/>
      </w:tabs>
      <w:spacing w:after="80" w:line="240" w:lineRule="auto"/>
    </w:pPr>
    <w:rPr>
      <w:noProof/>
      <w:sz w:val="22"/>
      <w:szCs w:val="22"/>
    </w:rPr>
  </w:style>
  <w:style w:type="character" w:styleId="Hyperlink">
    <w:name w:val="Hyperlink"/>
    <w:basedOn w:val="DefaultParagraphFont"/>
    <w:uiPriority w:val="99"/>
    <w:qFormat/>
    <w:rsid w:val="00C35CCE"/>
    <w:rPr>
      <w:color w:val="0000FF"/>
      <w:u w:val="single" w:color="0000FF"/>
    </w:rPr>
  </w:style>
  <w:style w:type="character" w:styleId="FootnoteReference">
    <w:name w:val="footnote reference"/>
    <w:basedOn w:val="DefaultParagraphFont"/>
    <w:semiHidden/>
    <w:rsid w:val="00566AB4"/>
    <w:rPr>
      <w:rFonts w:ascii="Arial" w:hAnsi="Arial"/>
      <w:vertAlign w:val="superscript"/>
    </w:rPr>
  </w:style>
  <w:style w:type="paragraph" w:styleId="FootnoteText">
    <w:name w:val="footnote text"/>
    <w:aliases w:val="Footnote text"/>
    <w:basedOn w:val="Normal"/>
    <w:uiPriority w:val="23"/>
    <w:rsid w:val="00D61243"/>
    <w:pPr>
      <w:spacing w:after="0"/>
    </w:pPr>
    <w:rPr>
      <w:sz w:val="16"/>
      <w:szCs w:val="16"/>
    </w:rPr>
  </w:style>
  <w:style w:type="paragraph" w:customStyle="1" w:styleId="TableBody">
    <w:name w:val="Table Body"/>
    <w:basedOn w:val="Normal"/>
    <w:uiPriority w:val="15"/>
    <w:qFormat/>
    <w:rsid w:val="00774FDB"/>
    <w:pPr>
      <w:spacing w:after="0" w:line="240" w:lineRule="auto"/>
    </w:pPr>
  </w:style>
  <w:style w:type="character" w:styleId="CommentReference">
    <w:name w:val="annotation reference"/>
    <w:basedOn w:val="DefaultParagraphFont"/>
    <w:uiPriority w:val="99"/>
    <w:semiHidden/>
    <w:rsid w:val="00EE7F79"/>
    <w:rPr>
      <w:sz w:val="16"/>
      <w:szCs w:val="16"/>
    </w:rPr>
  </w:style>
  <w:style w:type="paragraph" w:styleId="CommentText">
    <w:name w:val="annotation text"/>
    <w:basedOn w:val="Normal"/>
    <w:link w:val="CommentTextChar"/>
    <w:uiPriority w:val="99"/>
    <w:semiHidden/>
    <w:rsid w:val="00EE7F79"/>
    <w:pPr>
      <w:spacing w:line="240" w:lineRule="auto"/>
    </w:pPr>
    <w:rPr>
      <w:szCs w:val="20"/>
    </w:rPr>
  </w:style>
  <w:style w:type="character" w:customStyle="1" w:styleId="CommentTextChar">
    <w:name w:val="Comment Text Char"/>
    <w:basedOn w:val="DefaultParagraphFont"/>
    <w:link w:val="CommentText"/>
    <w:uiPriority w:val="99"/>
    <w:semiHidden/>
    <w:rsid w:val="00EE7F79"/>
    <w:rPr>
      <w:rFonts w:ascii="Arial" w:hAnsi="Arial"/>
    </w:rPr>
  </w:style>
  <w:style w:type="paragraph" w:styleId="CommentSubject">
    <w:name w:val="annotation subject"/>
    <w:basedOn w:val="CommentText"/>
    <w:next w:val="CommentText"/>
    <w:link w:val="CommentSubjectChar"/>
    <w:semiHidden/>
    <w:rsid w:val="00EE7F79"/>
    <w:rPr>
      <w:b/>
      <w:bCs/>
    </w:rPr>
  </w:style>
  <w:style w:type="character" w:customStyle="1" w:styleId="CommentSubjectChar">
    <w:name w:val="Comment Subject Char"/>
    <w:basedOn w:val="CommentTextChar"/>
    <w:link w:val="CommentSubject"/>
    <w:semiHidden/>
    <w:rsid w:val="00EE7F79"/>
    <w:rPr>
      <w:rFonts w:ascii="Arial" w:hAnsi="Arial"/>
      <w:b/>
      <w:bCs/>
    </w:rPr>
  </w:style>
  <w:style w:type="character" w:styleId="FollowedHyperlink">
    <w:name w:val="FollowedHyperlink"/>
    <w:basedOn w:val="DefaultParagraphFont"/>
    <w:semiHidden/>
    <w:rsid w:val="00F60F00"/>
    <w:rPr>
      <w:color w:val="800080" w:themeColor="followedHyperlink"/>
      <w:u w:val="single"/>
    </w:rPr>
  </w:style>
  <w:style w:type="character" w:styleId="PlaceholderText">
    <w:name w:val="Placeholder Text"/>
    <w:basedOn w:val="DefaultParagraphFont"/>
    <w:uiPriority w:val="99"/>
    <w:semiHidden/>
    <w:rsid w:val="00C97736"/>
    <w:rPr>
      <w:color w:val="808080"/>
    </w:rPr>
  </w:style>
  <w:style w:type="paragraph" w:customStyle="1" w:styleId="ACMAInstructions">
    <w:name w:val="ACMA_Instructions"/>
    <w:basedOn w:val="Normal"/>
    <w:semiHidden/>
    <w:unhideWhenUsed/>
    <w:qFormat/>
    <w:rsid w:val="00BF610C"/>
    <w:pPr>
      <w:spacing w:after="200"/>
    </w:pPr>
    <w:rPr>
      <w:rFonts w:cs="Arial"/>
      <w:b/>
      <w:vanish/>
      <w:sz w:val="24"/>
    </w:rPr>
  </w:style>
  <w:style w:type="paragraph" w:customStyle="1" w:styleId="CorporateAddresses">
    <w:name w:val="Corporate Addresses"/>
    <w:basedOn w:val="Normal"/>
    <w:semiHidden/>
    <w:rsid w:val="0005011A"/>
    <w:pPr>
      <w:spacing w:line="140" w:lineRule="exact"/>
    </w:pPr>
    <w:rPr>
      <w:color w:val="4D4D4F"/>
      <w:sz w:val="13"/>
    </w:rPr>
  </w:style>
  <w:style w:type="paragraph" w:customStyle="1" w:styleId="Bulletlevel1">
    <w:name w:val="Bullet level 1"/>
    <w:basedOn w:val="ListBullet"/>
    <w:uiPriority w:val="5"/>
    <w:qFormat/>
    <w:rsid w:val="00A824E8"/>
    <w:rPr>
      <w:rFonts w:cs="Arial"/>
    </w:rPr>
  </w:style>
  <w:style w:type="paragraph" w:customStyle="1" w:styleId="ACMACorporateAddressHeader">
    <w:name w:val="ACMA_CorporateAddressHeader"/>
    <w:basedOn w:val="Normal"/>
    <w:next w:val="ACMACorporateAddresses"/>
    <w:semiHidden/>
    <w:unhideWhenUsed/>
    <w:qFormat/>
    <w:rsid w:val="00FC07B9"/>
    <w:pPr>
      <w:tabs>
        <w:tab w:val="left" w:pos="142"/>
      </w:tabs>
      <w:spacing w:before="240" w:after="0" w:line="140" w:lineRule="exact"/>
    </w:pPr>
    <w:rPr>
      <w:b/>
      <w:sz w:val="13"/>
    </w:rPr>
  </w:style>
  <w:style w:type="paragraph" w:customStyle="1" w:styleId="ACMACorporateAddresses">
    <w:name w:val="ACMA_CorporateAddresses"/>
    <w:basedOn w:val="ACMACorporateAddressHeader"/>
    <w:semiHidden/>
    <w:unhideWhenUsed/>
    <w:qFormat/>
    <w:rsid w:val="00FC07B9"/>
    <w:pPr>
      <w:spacing w:before="0" w:after="120"/>
    </w:pPr>
    <w:rPr>
      <w:b w:val="0"/>
    </w:rPr>
  </w:style>
  <w:style w:type="paragraph" w:customStyle="1" w:styleId="ACMACopyrightHeader">
    <w:name w:val="ACMA_CopyrightHeader"/>
    <w:basedOn w:val="ACMACorporateAddressHeader"/>
    <w:semiHidden/>
    <w:unhideWhenUsed/>
    <w:qFormat/>
    <w:rsid w:val="00950159"/>
    <w:pPr>
      <w:spacing w:before="3000"/>
    </w:pPr>
  </w:style>
  <w:style w:type="paragraph" w:customStyle="1" w:styleId="ACMACClogo">
    <w:name w:val="ACMA_CClogo"/>
    <w:semiHidden/>
    <w:unhideWhenUsed/>
    <w:qFormat/>
    <w:rsid w:val="00623FF9"/>
    <w:pPr>
      <w:spacing w:before="160" w:after="120"/>
    </w:pPr>
    <w:rPr>
      <w:rFonts w:ascii="Arial" w:hAnsi="Arial"/>
      <w:b/>
      <w:sz w:val="13"/>
    </w:rPr>
  </w:style>
  <w:style w:type="paragraph" w:customStyle="1" w:styleId="ListBulletLast">
    <w:name w:val="List Bullet Last"/>
    <w:basedOn w:val="ListBullet"/>
    <w:semiHidden/>
    <w:qFormat/>
    <w:rsid w:val="00146CE6"/>
    <w:pPr>
      <w:spacing w:after="240"/>
    </w:pPr>
    <w:rPr>
      <w:rFonts w:cs="Arial"/>
    </w:rPr>
  </w:style>
  <w:style w:type="paragraph" w:customStyle="1" w:styleId="ListNumberLast">
    <w:name w:val="List Number Last"/>
    <w:basedOn w:val="ListNumber"/>
    <w:semiHidden/>
    <w:qFormat/>
    <w:rsid w:val="00C16198"/>
    <w:pPr>
      <w:spacing w:after="240"/>
      <w:ind w:left="357" w:hanging="357"/>
    </w:pPr>
    <w:rPr>
      <w:rFonts w:cs="Arial"/>
    </w:rPr>
  </w:style>
  <w:style w:type="paragraph" w:customStyle="1" w:styleId="ACMATableHeader">
    <w:name w:val="ACMA_TableHeader"/>
    <w:semiHidden/>
    <w:qFormat/>
    <w:rsid w:val="003F10EE"/>
    <w:pPr>
      <w:numPr>
        <w:numId w:val="7"/>
      </w:numPr>
      <w:spacing w:after="160"/>
    </w:pPr>
    <w:rPr>
      <w:rFonts w:ascii="Arial" w:hAnsi="Arial"/>
      <w:b/>
      <w:bCs/>
      <w:color w:val="323232"/>
      <w:sz w:val="20"/>
      <w:szCs w:val="20"/>
    </w:rPr>
  </w:style>
  <w:style w:type="paragraph" w:customStyle="1" w:styleId="ACMANotes">
    <w:name w:val="ACMA_Notes"/>
    <w:semiHidden/>
    <w:rsid w:val="00FF206E"/>
    <w:pPr>
      <w:spacing w:before="80"/>
    </w:pPr>
    <w:rPr>
      <w:rFonts w:ascii="Arial" w:hAnsi="Arial" w:cs="Arial"/>
      <w:i/>
      <w:sz w:val="16"/>
    </w:rPr>
  </w:style>
  <w:style w:type="paragraph" w:customStyle="1" w:styleId="Numberlistlevel1">
    <w:name w:val="Number list level 1"/>
    <w:basedOn w:val="ListNumber"/>
    <w:uiPriority w:val="9"/>
    <w:qFormat/>
    <w:rsid w:val="004A70D6"/>
  </w:style>
  <w:style w:type="character" w:styleId="Emphasis">
    <w:name w:val="Emphasis"/>
    <w:basedOn w:val="DefaultParagraphFont"/>
    <w:semiHidden/>
    <w:qFormat/>
    <w:rsid w:val="006D576C"/>
    <w:rPr>
      <w:i/>
      <w:iCs/>
    </w:rPr>
  </w:style>
  <w:style w:type="paragraph" w:customStyle="1" w:styleId="ListNumber2Last">
    <w:name w:val="List Number 2 Last"/>
    <w:basedOn w:val="ListNumber2"/>
    <w:semiHidden/>
    <w:qFormat/>
    <w:rsid w:val="00E35707"/>
    <w:pPr>
      <w:spacing w:after="240"/>
      <w:ind w:left="907"/>
    </w:pPr>
    <w:rPr>
      <w:rFonts w:cs="Arial"/>
    </w:rPr>
  </w:style>
  <w:style w:type="paragraph" w:customStyle="1" w:styleId="Spaceaftertable">
    <w:name w:val="Space after table"/>
    <w:basedOn w:val="Normal"/>
    <w:uiPriority w:val="99"/>
    <w:qFormat/>
    <w:rsid w:val="00C2083D"/>
    <w:rPr>
      <w:rFonts w:cs="Arial"/>
    </w:rPr>
  </w:style>
  <w:style w:type="paragraph" w:customStyle="1" w:styleId="FooterLeft">
    <w:name w:val="Footer Left"/>
    <w:basedOn w:val="Footer"/>
    <w:semiHidden/>
    <w:qFormat/>
    <w:rsid w:val="00950159"/>
    <w:pPr>
      <w:framePr w:w="1440" w:h="357" w:hRule="exact" w:vSpace="425" w:wrap="around" w:vAnchor="page" w:hAnchor="page" w:x="935" w:y="15871"/>
      <w:pBdr>
        <w:top w:val="single" w:sz="4" w:space="1" w:color="auto"/>
      </w:pBdr>
    </w:pPr>
    <w:rPr>
      <w:rFonts w:cs="Arial"/>
    </w:rPr>
  </w:style>
  <w:style w:type="paragraph" w:customStyle="1" w:styleId="ACMAFigureHeader">
    <w:name w:val="ACMA_FigureHeader"/>
    <w:semiHidden/>
    <w:qFormat/>
    <w:rsid w:val="003F10EE"/>
    <w:pPr>
      <w:numPr>
        <w:numId w:val="6"/>
      </w:numPr>
      <w:spacing w:after="160"/>
    </w:pPr>
    <w:rPr>
      <w:rFonts w:ascii="Arial" w:hAnsi="Arial"/>
      <w:b/>
      <w:bCs/>
      <w:color w:val="323232"/>
      <w:sz w:val="20"/>
      <w:szCs w:val="20"/>
    </w:rPr>
  </w:style>
  <w:style w:type="paragraph" w:customStyle="1" w:styleId="Captionfigure">
    <w:name w:val="Caption figure"/>
    <w:basedOn w:val="Caption"/>
    <w:semiHidden/>
    <w:qFormat/>
    <w:rsid w:val="00E8152A"/>
    <w:pPr>
      <w:keepNext/>
      <w:numPr>
        <w:numId w:val="8"/>
      </w:numPr>
    </w:pPr>
    <w:rPr>
      <w:rFonts w:cs="Arial"/>
    </w:rPr>
  </w:style>
  <w:style w:type="paragraph" w:customStyle="1" w:styleId="GridTable31">
    <w:name w:val="Grid Table 31"/>
    <w:basedOn w:val="Normal"/>
    <w:semiHidden/>
    <w:qFormat/>
    <w:rsid w:val="00971914"/>
    <w:pPr>
      <w:spacing w:after="0" w:line="240" w:lineRule="auto"/>
    </w:pPr>
    <w:rPr>
      <w:b/>
      <w:color w:val="4D4D4F"/>
      <w:spacing w:val="-28"/>
      <w:sz w:val="53"/>
    </w:rPr>
  </w:style>
  <w:style w:type="character" w:customStyle="1" w:styleId="HeaderChar">
    <w:name w:val="Header Char"/>
    <w:link w:val="Header"/>
    <w:semiHidden/>
    <w:rsid w:val="00971914"/>
    <w:rPr>
      <w:rFonts w:ascii="Arial" w:hAnsi="Arial"/>
      <w:sz w:val="16"/>
    </w:rPr>
  </w:style>
  <w:style w:type="character" w:customStyle="1" w:styleId="Heading1Char">
    <w:name w:val="Heading 1 Char"/>
    <w:basedOn w:val="DefaultParagraphFont"/>
    <w:link w:val="Heading1"/>
    <w:uiPriority w:val="1"/>
    <w:rsid w:val="00F5310D"/>
    <w:rPr>
      <w:rFonts w:ascii="Arial" w:hAnsi="Arial" w:cs="Arial"/>
      <w:bCs/>
      <w:color w:val="323232"/>
      <w:kern w:val="32"/>
      <w:sz w:val="53"/>
      <w:szCs w:val="32"/>
    </w:rPr>
  </w:style>
  <w:style w:type="character" w:customStyle="1" w:styleId="Heading2Char">
    <w:name w:val="Heading 2 Char"/>
    <w:basedOn w:val="DefaultParagraphFont"/>
    <w:link w:val="Heading2"/>
    <w:uiPriority w:val="1"/>
    <w:rsid w:val="00800CCD"/>
    <w:rPr>
      <w:rFonts w:ascii="Arial" w:hAnsi="Arial" w:cs="Arial"/>
      <w:b/>
      <w:bCs/>
      <w:iCs/>
      <w:sz w:val="28"/>
      <w:szCs w:val="28"/>
    </w:rPr>
  </w:style>
  <w:style w:type="character" w:styleId="UnresolvedMention">
    <w:name w:val="Unresolved Mention"/>
    <w:basedOn w:val="DefaultParagraphFont"/>
    <w:uiPriority w:val="99"/>
    <w:semiHidden/>
    <w:unhideWhenUsed/>
    <w:rsid w:val="006B52DE"/>
    <w:rPr>
      <w:color w:val="605E5C"/>
      <w:shd w:val="clear" w:color="auto" w:fill="E1DFDD"/>
    </w:rPr>
  </w:style>
  <w:style w:type="character" w:customStyle="1" w:styleId="Heading3Char">
    <w:name w:val="Heading 3 Char"/>
    <w:basedOn w:val="DefaultParagraphFont"/>
    <w:link w:val="Heading3"/>
    <w:rsid w:val="00800CCD"/>
    <w:rPr>
      <w:rFonts w:ascii="Arial" w:hAnsi="Arial" w:cs="Arial"/>
      <w:b/>
      <w:bCs/>
      <w:sz w:val="20"/>
      <w:szCs w:val="26"/>
    </w:rPr>
  </w:style>
  <w:style w:type="paragraph" w:customStyle="1" w:styleId="Paragraph">
    <w:name w:val="Paragraph"/>
    <w:basedOn w:val="Normal"/>
    <w:qFormat/>
    <w:rsid w:val="00A824E8"/>
    <w:rPr>
      <w:rFonts w:cs="Arial"/>
    </w:rPr>
  </w:style>
  <w:style w:type="paragraph" w:customStyle="1" w:styleId="Bulletlevel2">
    <w:name w:val="Bullet level 2"/>
    <w:basedOn w:val="ListBullet2"/>
    <w:uiPriority w:val="7"/>
    <w:qFormat/>
    <w:rsid w:val="00A824E8"/>
    <w:rPr>
      <w:rFonts w:cs="Arial"/>
    </w:rPr>
  </w:style>
  <w:style w:type="paragraph" w:customStyle="1" w:styleId="Bulletlevel1last">
    <w:name w:val="Bullet level 1 last"/>
    <w:basedOn w:val="ListBulletLast"/>
    <w:uiPriority w:val="6"/>
    <w:qFormat/>
    <w:rsid w:val="00A824E8"/>
  </w:style>
  <w:style w:type="paragraph" w:customStyle="1" w:styleId="Numberlistlevel2">
    <w:name w:val="Number list level 2"/>
    <w:basedOn w:val="ListNumber2"/>
    <w:uiPriority w:val="11"/>
    <w:qFormat/>
    <w:rsid w:val="004A70D6"/>
  </w:style>
  <w:style w:type="paragraph" w:customStyle="1" w:styleId="Numberlistlast">
    <w:name w:val="Number list last"/>
    <w:basedOn w:val="ListNumberLast"/>
    <w:uiPriority w:val="10"/>
    <w:qFormat/>
    <w:rsid w:val="004A70D6"/>
  </w:style>
  <w:style w:type="paragraph" w:customStyle="1" w:styleId="Numberlistlevel2last">
    <w:name w:val="Number list level 2 last"/>
    <w:basedOn w:val="Numberlistlevel2"/>
    <w:uiPriority w:val="12"/>
    <w:qFormat/>
    <w:rsid w:val="004A70D6"/>
    <w:pPr>
      <w:spacing w:after="240"/>
    </w:pPr>
  </w:style>
  <w:style w:type="paragraph" w:customStyle="1" w:styleId="Bulletlevel2last">
    <w:name w:val="Bullet level 2 last"/>
    <w:basedOn w:val="Bulletlevel2"/>
    <w:uiPriority w:val="8"/>
    <w:qFormat/>
    <w:rsid w:val="004A70D6"/>
    <w:pPr>
      <w:spacing w:after="240"/>
    </w:pPr>
  </w:style>
  <w:style w:type="table" w:customStyle="1" w:styleId="ACMAtablestyle">
    <w:name w:val="ACMA table style"/>
    <w:basedOn w:val="TableNormal"/>
    <w:uiPriority w:val="99"/>
    <w:rsid w:val="0063346D"/>
    <w:rPr>
      <w:rFonts w:ascii="Arial" w:hAnsi="Arial"/>
      <w:sz w:val="20"/>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Pr>
    <w:tblStylePr w:type="firstRow">
      <w:rPr>
        <w:rFonts w:ascii="Arial" w:hAnsi="Arial"/>
        <w:b w:val="0"/>
        <w:color w:val="FFFFFF" w:themeColor="background1"/>
        <w:sz w:val="20"/>
      </w:rPr>
      <w:tblPr/>
      <w:trPr>
        <w:tblHeader/>
      </w:trPr>
      <w:tcPr>
        <w:tcBorders>
          <w:top w:val="single" w:sz="4" w:space="0" w:color="auto"/>
          <w:left w:val="single" w:sz="4" w:space="0" w:color="auto"/>
          <w:bottom w:val="single" w:sz="4" w:space="0" w:color="auto"/>
          <w:right w:val="single" w:sz="4" w:space="0" w:color="auto"/>
          <w:insideH w:val="nil"/>
          <w:insideV w:val="nil"/>
        </w:tcBorders>
        <w:shd w:val="clear" w:color="auto" w:fill="404040" w:themeFill="text1" w:themeFillTint="BF"/>
      </w:tcPr>
    </w:tblStylePr>
    <w:tblStylePr w:type="band1Horz">
      <w:rPr>
        <w:rFonts w:ascii="Arial" w:hAnsi="Arial"/>
        <w:sz w:val="20"/>
      </w:rPr>
      <w:tblPr/>
      <w:tcPr>
        <w:shd w:val="clear" w:color="auto" w:fill="F2F2F2" w:themeFill="background1" w:themeFillShade="F2"/>
      </w:tcPr>
    </w:tblStylePr>
    <w:tblStylePr w:type="band2Horz">
      <w:rPr>
        <w:rFonts w:ascii="Arial" w:hAnsi="Arial"/>
        <w:sz w:val="20"/>
      </w:rPr>
    </w:tblStylePr>
  </w:style>
  <w:style w:type="paragraph" w:customStyle="1" w:styleId="Tableheading">
    <w:name w:val="Table heading"/>
    <w:basedOn w:val="ACMATableHeader"/>
    <w:next w:val="Paragraph"/>
    <w:uiPriority w:val="13"/>
    <w:qFormat/>
    <w:rsid w:val="0063346D"/>
    <w:pPr>
      <w:keepNext/>
      <w:spacing w:line="240" w:lineRule="atLeast"/>
    </w:pPr>
  </w:style>
  <w:style w:type="paragraph" w:customStyle="1" w:styleId="Tableorfigurenote">
    <w:name w:val="Table or figure note"/>
    <w:basedOn w:val="ACMANotes"/>
    <w:uiPriority w:val="17"/>
    <w:qFormat/>
    <w:rsid w:val="00930510"/>
    <w:pPr>
      <w:spacing w:after="240"/>
    </w:pPr>
  </w:style>
  <w:style w:type="paragraph" w:customStyle="1" w:styleId="Figureheading">
    <w:name w:val="Figure heading"/>
    <w:basedOn w:val="ACMAFigureHeader"/>
    <w:next w:val="Paragraph"/>
    <w:uiPriority w:val="16"/>
    <w:qFormat/>
    <w:rsid w:val="0063346D"/>
    <w:pPr>
      <w:keepNext/>
      <w:spacing w:line="240" w:lineRule="atLeast"/>
    </w:pPr>
  </w:style>
  <w:style w:type="paragraph" w:customStyle="1" w:styleId="Tableorfigurenotemultiple">
    <w:name w:val="Table or figure note multiple"/>
    <w:basedOn w:val="Tableorfigurenote"/>
    <w:uiPriority w:val="18"/>
    <w:qFormat/>
    <w:rsid w:val="00930510"/>
    <w:pPr>
      <w:spacing w:after="80"/>
    </w:pPr>
  </w:style>
  <w:style w:type="paragraph" w:styleId="BalloonText">
    <w:name w:val="Balloon Text"/>
    <w:basedOn w:val="Normal"/>
    <w:link w:val="BalloonTextChar"/>
    <w:semiHidden/>
    <w:unhideWhenUsed/>
    <w:rsid w:val="003933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3933E8"/>
    <w:rPr>
      <w:rFonts w:ascii="Segoe UI" w:hAnsi="Segoe UI" w:cs="Segoe UI"/>
      <w:sz w:val="18"/>
      <w:szCs w:val="18"/>
    </w:rPr>
  </w:style>
  <w:style w:type="paragraph" w:customStyle="1" w:styleId="Note">
    <w:name w:val="Note"/>
    <w:basedOn w:val="ACMANotes"/>
    <w:uiPriority w:val="23"/>
    <w:semiHidden/>
    <w:qFormat/>
    <w:rsid w:val="00D61243"/>
  </w:style>
  <w:style w:type="paragraph" w:customStyle="1" w:styleId="ACMABulletLevel1">
    <w:name w:val="ACMA Bullet Level 1"/>
    <w:rsid w:val="005C34EF"/>
    <w:pPr>
      <w:numPr>
        <w:numId w:val="16"/>
      </w:numPr>
      <w:tabs>
        <w:tab w:val="num" w:pos="-31680"/>
      </w:tabs>
      <w:spacing w:after="120"/>
    </w:pPr>
    <w:rPr>
      <w:szCs w:val="20"/>
      <w:lang w:eastAsia="en-US"/>
    </w:rPr>
  </w:style>
  <w:style w:type="paragraph" w:customStyle="1" w:styleId="Protectivemarking">
    <w:name w:val="Protective marking"/>
    <w:basedOn w:val="ACMABulletLevel1"/>
    <w:uiPriority w:val="99"/>
    <w:qFormat/>
    <w:rsid w:val="005C34EF"/>
    <w:pPr>
      <w:numPr>
        <w:numId w:val="0"/>
      </w:numPr>
      <w:tabs>
        <w:tab w:val="left" w:pos="720"/>
      </w:tabs>
      <w:spacing w:after="0"/>
      <w:jc w:val="center"/>
    </w:pPr>
    <w:rPr>
      <w:rFonts w:ascii="Arial" w:hAnsi="Arial" w:cs="Arial"/>
      <w:b/>
      <w:bCs/>
      <w:color w:val="FF0000"/>
      <w:sz w:val="32"/>
      <w:szCs w:val="24"/>
    </w:rPr>
  </w:style>
  <w:style w:type="paragraph" w:styleId="Revision">
    <w:name w:val="Revision"/>
    <w:hidden/>
    <w:semiHidden/>
    <w:rsid w:val="00C552B1"/>
    <w:rPr>
      <w:rFonts w:ascii="Arial" w:hAnsi="Arial"/>
      <w:sz w:val="20"/>
    </w:rPr>
  </w:style>
  <w:style w:type="paragraph" w:styleId="ListParagraph">
    <w:name w:val="List Paragraph"/>
    <w:basedOn w:val="Normal"/>
    <w:semiHidden/>
    <w:rsid w:val="00C308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2813674">
      <w:bodyDiv w:val="1"/>
      <w:marLeft w:val="0"/>
      <w:marRight w:val="0"/>
      <w:marTop w:val="0"/>
      <w:marBottom w:val="0"/>
      <w:divBdr>
        <w:top w:val="none" w:sz="0" w:space="0" w:color="auto"/>
        <w:left w:val="none" w:sz="0" w:space="0" w:color="auto"/>
        <w:bottom w:val="none" w:sz="0" w:space="0" w:color="auto"/>
        <w:right w:val="none" w:sz="0" w:space="0" w:color="auto"/>
      </w:divBdr>
    </w:div>
    <w:div w:id="576784553">
      <w:bodyDiv w:val="1"/>
      <w:marLeft w:val="0"/>
      <w:marRight w:val="0"/>
      <w:marTop w:val="0"/>
      <w:marBottom w:val="0"/>
      <w:divBdr>
        <w:top w:val="none" w:sz="0" w:space="0" w:color="auto"/>
        <w:left w:val="none" w:sz="0" w:space="0" w:color="auto"/>
        <w:bottom w:val="none" w:sz="0" w:space="0" w:color="auto"/>
        <w:right w:val="none" w:sz="0" w:space="0" w:color="auto"/>
      </w:divBdr>
    </w:div>
    <w:div w:id="1409771268">
      <w:bodyDiv w:val="1"/>
      <w:marLeft w:val="0"/>
      <w:marRight w:val="0"/>
      <w:marTop w:val="0"/>
      <w:marBottom w:val="0"/>
      <w:divBdr>
        <w:top w:val="none" w:sz="0" w:space="0" w:color="auto"/>
        <w:left w:val="none" w:sz="0" w:space="0" w:color="auto"/>
        <w:bottom w:val="none" w:sz="0" w:space="0" w:color="auto"/>
        <w:right w:val="none" w:sz="0" w:space="0" w:color="auto"/>
      </w:divBdr>
    </w:div>
    <w:div w:id="1566910818">
      <w:bodyDiv w:val="1"/>
      <w:marLeft w:val="0"/>
      <w:marRight w:val="0"/>
      <w:marTop w:val="0"/>
      <w:marBottom w:val="0"/>
      <w:divBdr>
        <w:top w:val="none" w:sz="0" w:space="0" w:color="auto"/>
        <w:left w:val="none" w:sz="0" w:space="0" w:color="auto"/>
        <w:bottom w:val="none" w:sz="0" w:space="0" w:color="auto"/>
        <w:right w:val="none" w:sz="0" w:space="0" w:color="auto"/>
      </w:divBdr>
    </w:div>
    <w:div w:id="1925912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creativecommons.org/licenses/by/4.0/" TargetMode="External"/><Relationship Id="rId18" Type="http://schemas.openxmlformats.org/officeDocument/2006/relationships/footer" Target="footer3.xml"/><Relationship Id="rId26" Type="http://schemas.openxmlformats.org/officeDocument/2006/relationships/hyperlink" Target="https://www.itu.int/dms_pub/itu-r/oth/0a/06/R0A0600009D0001MSWE.docx" TargetMode="External"/><Relationship Id="rId39" Type="http://schemas.openxmlformats.org/officeDocument/2006/relationships/hyperlink" Target="https://www.legislation.gov.au/Details/F2020C00377" TargetMode="External"/><Relationship Id="rId21" Type="http://schemas.openxmlformats.org/officeDocument/2006/relationships/footer" Target="footer4.xml"/><Relationship Id="rId34" Type="http://schemas.openxmlformats.org/officeDocument/2006/relationships/footer" Target="footer8.xml"/><Relationship Id="rId42" Type="http://schemas.openxmlformats.org/officeDocument/2006/relationships/hyperlink" Target="https://www.legislation.gov.au/Details/F2016C00432" TargetMode="External"/><Relationship Id="rId47" Type="http://schemas.openxmlformats.org/officeDocument/2006/relationships/hyperlink" Target="https://www.acma.gov.au/publications/2019-08/publication/frequency-coordination-and-licensing-procedures-point-multipoint-services-56-ghz-band" TargetMode="External"/><Relationship Id="rId50" Type="http://schemas.openxmlformats.org/officeDocument/2006/relationships/hyperlink" Target="https://www.acma.gov.au/publications/2019-08/publication/frequency-coordination-requirements-between-microwave-fixed-point-point-links-and-fss-earth-stations" TargetMode="External"/><Relationship Id="rId55" Type="http://schemas.openxmlformats.org/officeDocument/2006/relationships/hyperlink" Target="https://www.acma.gov.au/have-your-say" TargetMode="External"/><Relationship Id="rId63" Type="http://schemas.openxmlformats.org/officeDocument/2006/relationships/footer" Target="footer11.xml"/><Relationship Id="rId68" Type="http://schemas.openxmlformats.org/officeDocument/2006/relationships/hyperlink" Target="https://docdb.cept.org/download/8951af9e-1932/ECC%20Report%20316.pdf" TargetMode="External"/><Relationship Id="rId7" Type="http://schemas.openxmlformats.org/officeDocument/2006/relationships/endnotes" Target="end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9" Type="http://schemas.openxmlformats.org/officeDocument/2006/relationships/hyperlink" Target="https://www.legislation.gov.au/Details/F2016C0043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creativecommons.org/l/by/3.0/88x31.png" TargetMode="External"/><Relationship Id="rId24" Type="http://schemas.openxmlformats.org/officeDocument/2006/relationships/hyperlink" Target="https://www.acma.gov.au/five-year-spectrum-outlook" TargetMode="External"/><Relationship Id="rId32" Type="http://schemas.openxmlformats.org/officeDocument/2006/relationships/header" Target="header8.xml"/><Relationship Id="rId37" Type="http://schemas.openxmlformats.org/officeDocument/2006/relationships/footer" Target="footer9.xml"/><Relationship Id="rId40" Type="http://schemas.openxmlformats.org/officeDocument/2006/relationships/hyperlink" Target="https://www.legislation.gov.au/Details/F2018L00026" TargetMode="External"/><Relationship Id="rId45" Type="http://schemas.openxmlformats.org/officeDocument/2006/relationships/hyperlink" Target="https://www.acma.gov.au/options-fixed-licences" TargetMode="External"/><Relationship Id="rId53" Type="http://schemas.openxmlformats.org/officeDocument/2006/relationships/hyperlink" Target="https://www.acma.gov.au/australian-radiofrequency-spectrum-plan" TargetMode="External"/><Relationship Id="rId58" Type="http://schemas.openxmlformats.org/officeDocument/2006/relationships/hyperlink" Target="https://www.acma.gov.au/privacy-policy" TargetMode="External"/><Relationship Id="rId66" Type="http://schemas.openxmlformats.org/officeDocument/2006/relationships/hyperlink" Target="https://docdb.cept.org/download/cc03c766-35f8/ECC%20Report%20302.pdf" TargetMode="Externa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oter" Target="footer6.xml"/><Relationship Id="rId28" Type="http://schemas.openxmlformats.org/officeDocument/2006/relationships/hyperlink" Target="https://www.wi-fi.org/news-events/newsroom/additional-unlicensed-spectrum-needed-to-deliver-future-wi-fi-connectivity" TargetMode="External"/><Relationship Id="rId36" Type="http://schemas.openxmlformats.org/officeDocument/2006/relationships/header" Target="header9.xml"/><Relationship Id="rId49" Type="http://schemas.openxmlformats.org/officeDocument/2006/relationships/hyperlink" Target="https://www.acma.gov.au/publications/2019-08/publication/frequency-coordination-procedures-earth-station-protection-zones" TargetMode="External"/><Relationship Id="rId57" Type="http://schemas.openxmlformats.org/officeDocument/2006/relationships/hyperlink" Target="https://www.acma.gov.au/publication-submissions" TargetMode="External"/><Relationship Id="rId61" Type="http://schemas.openxmlformats.org/officeDocument/2006/relationships/image" Target="media/image5.png"/><Relationship Id="rId10" Type="http://schemas.openxmlformats.org/officeDocument/2006/relationships/header" Target="header2.xml"/><Relationship Id="rId19" Type="http://schemas.openxmlformats.org/officeDocument/2006/relationships/header" Target="header5.xml"/><Relationship Id="rId31" Type="http://schemas.openxmlformats.org/officeDocument/2006/relationships/header" Target="header7.xml"/><Relationship Id="rId44" Type="http://schemas.openxmlformats.org/officeDocument/2006/relationships/hyperlink" Target="https://www.acma.gov.au/australian-radiofrequency-spectrum-plan" TargetMode="External"/><Relationship Id="rId52" Type="http://schemas.openxmlformats.org/officeDocument/2006/relationships/hyperlink" Target="https://www.acma.gov.au/publications/2019-09/publication/rali-ms31-notification-zones-around-radio-astronomy-facilities" TargetMode="External"/><Relationship Id="rId60" Type="http://schemas.openxmlformats.org/officeDocument/2006/relationships/footer" Target="footer10.xml"/><Relationship Id="rId65" Type="http://schemas.openxmlformats.org/officeDocument/2006/relationships/hyperlink" Target="https://docdb.cept.org/download/3948246a-1552/ECCDEC0408.PDF"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info@acma.gov.au" TargetMode="External"/><Relationship Id="rId22" Type="http://schemas.openxmlformats.org/officeDocument/2006/relationships/footer" Target="footer5.xml"/><Relationship Id="rId27" Type="http://schemas.openxmlformats.org/officeDocument/2006/relationships/hyperlink" Target="https://www.acma.gov.au/sites/default/files/2021-02/Communications%20report%202018-19.pdf" TargetMode="External"/><Relationship Id="rId30" Type="http://schemas.openxmlformats.org/officeDocument/2006/relationships/hyperlink" Target="https://www.legislation.gov.au/Details/F2016C00432" TargetMode="External"/><Relationship Id="rId35" Type="http://schemas.openxmlformats.org/officeDocument/2006/relationships/image" Target="media/image4.png"/><Relationship Id="rId43" Type="http://schemas.openxmlformats.org/officeDocument/2006/relationships/hyperlink" Target="https://www.legislation.gov.au/Details/F2016C00432" TargetMode="External"/><Relationship Id="rId48" Type="http://schemas.openxmlformats.org/officeDocument/2006/relationships/hyperlink" Target="https://www.acma.gov.au/publications/2019-09/publication/rali-fx3-microwave-fixed-services" TargetMode="External"/><Relationship Id="rId56" Type="http://schemas.openxmlformats.org/officeDocument/2006/relationships/hyperlink" Target="mailto:xavier.halliwell@acma.gov.au" TargetMode="External"/><Relationship Id="rId64" Type="http://schemas.openxmlformats.org/officeDocument/2006/relationships/hyperlink" Target="https://www.itu.int/oth/R0A0600009D/en" TargetMode="External"/><Relationship Id="rId69" Type="http://schemas.openxmlformats.org/officeDocument/2006/relationships/footer" Target="footer12.xml"/><Relationship Id="rId8" Type="http://schemas.openxmlformats.org/officeDocument/2006/relationships/header" Target="header1.xml"/><Relationship Id="rId51" Type="http://schemas.openxmlformats.org/officeDocument/2006/relationships/hyperlink" Target="https://www.acma.gov.au/publications/2019-09/publication/rali-ms43-new-norcia-earth-station-and-other-services" TargetMode="Externa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footer" Target="footer2.xml"/><Relationship Id="rId25" Type="http://schemas.openxmlformats.org/officeDocument/2006/relationships/hyperlink" Target="https://www.acma.gov.au/licences/low-interference-potential-devices-lipd-class-licence" TargetMode="External"/><Relationship Id="rId33" Type="http://schemas.openxmlformats.org/officeDocument/2006/relationships/footer" Target="footer7.xml"/><Relationship Id="rId38" Type="http://schemas.openxmlformats.org/officeDocument/2006/relationships/hyperlink" Target="https://www.legislation.gov.au/Details/F2018C00927" TargetMode="External"/><Relationship Id="rId46" Type="http://schemas.openxmlformats.org/officeDocument/2006/relationships/hyperlink" Target="https://www.acma.gov.au/publications/2019-09/publication/rali-fx3-microwave-fixed-services" TargetMode="External"/><Relationship Id="rId59" Type="http://schemas.openxmlformats.org/officeDocument/2006/relationships/header" Target="header10.xml"/><Relationship Id="rId67" Type="http://schemas.openxmlformats.org/officeDocument/2006/relationships/hyperlink" Target="https://docdb.cept.org/download/0d0696a1-89ae/CEPT%20Report%2073.pdf" TargetMode="External"/><Relationship Id="rId20" Type="http://schemas.openxmlformats.org/officeDocument/2006/relationships/header" Target="header6.xml"/><Relationship Id="rId41" Type="http://schemas.openxmlformats.org/officeDocument/2006/relationships/hyperlink" Target="https://www.legislation.gov.au/Details/F2016C00432" TargetMode="External"/><Relationship Id="rId54" Type="http://schemas.openxmlformats.org/officeDocument/2006/relationships/hyperlink" Target="https://www.legislation.gov.au/Details/F2020C00376" TargetMode="External"/><Relationship Id="rId62" Type="http://schemas.openxmlformats.org/officeDocument/2006/relationships/header" Target="header11.xml"/><Relationship Id="rId70" Type="http://schemas.openxmlformats.org/officeDocument/2006/relationships/footer" Target="footer13.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acma.gov.au/"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ofcom.org.uk/consultations-and-statements/category-2/improving-spectrum-access-for-wi-fi" TargetMode="External"/><Relationship Id="rId3" Type="http://schemas.openxmlformats.org/officeDocument/2006/relationships/hyperlink" Target="https://www.wi-fi.org/discover-wi-fi/value-of-wi-fi" TargetMode="External"/><Relationship Id="rId7" Type="http://schemas.openxmlformats.org/officeDocument/2006/relationships/hyperlink" Target="https://www.fcc.gov/document/fcc-opens-6-ghz-band-wi-fi-and-other-unlicensed-uses-0" TargetMode="External"/><Relationship Id="rId2" Type="http://schemas.openxmlformats.org/officeDocument/2006/relationships/hyperlink" Target="https://www.ofcom.org.uk/consultations-and-statements/category-2/improving-spectrum-access-for-wi-fi" TargetMode="External"/><Relationship Id="rId1" Type="http://schemas.openxmlformats.org/officeDocument/2006/relationships/hyperlink" Target="https://www.wi-fi.org/discover-wi-fi/value-of-wi-fi" TargetMode="External"/><Relationship Id="rId6" Type="http://schemas.openxmlformats.org/officeDocument/2006/relationships/hyperlink" Target="https://www.itu.int/en/ITU-R/study-groups/rcpm/Pages/wrc-23-studies.aspx" TargetMode="External"/><Relationship Id="rId5" Type="http://schemas.openxmlformats.org/officeDocument/2006/relationships/hyperlink" Target="https://www.federalregister.gov/documents/2020/05/26/2020-11236/unlicensed-use-of-the-6-ghz-band" TargetMode="External"/><Relationship Id="rId4" Type="http://schemas.openxmlformats.org/officeDocument/2006/relationships/hyperlink" Target="https://www.ofcom.org.uk/consultations-and-statements/category-2/improving-spectrum-access-for-wi-f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48FBEB-BF33-47E5-884B-E4595CC4E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9197</Words>
  <Characters>52424</Characters>
  <Application>Microsoft Office Word</Application>
  <DocSecurity>0</DocSecurity>
  <Lines>436</Lines>
  <Paragraphs>122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61499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2021-04-06T05:14:00Z</dcterms:created>
  <dcterms:modified xsi:type="dcterms:W3CDTF">2021-04-06T05:16:00Z</dcterms:modified>
  <cp:category/>
</cp:coreProperties>
</file>