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D2BF" w14:textId="42F94A7E" w:rsidR="00F06E14" w:rsidRPr="00A51D1A" w:rsidRDefault="00752EF7" w:rsidP="00A51D1A">
      <w:pPr>
        <w:pStyle w:val="Reporttitle"/>
      </w:pPr>
      <w:r>
        <w:t xml:space="preserve">Variation to the </w:t>
      </w:r>
      <w:r w:rsidR="008F3D38">
        <w:t>L</w:t>
      </w:r>
      <w:r>
        <w:t xml:space="preserve">ow </w:t>
      </w:r>
      <w:r w:rsidR="008F3D38">
        <w:t>I</w:t>
      </w:r>
      <w:r>
        <w:t xml:space="preserve">nterference </w:t>
      </w:r>
      <w:r w:rsidR="008F3D38">
        <w:t>P</w:t>
      </w:r>
      <w:r>
        <w:t xml:space="preserve">otential </w:t>
      </w:r>
      <w:r w:rsidR="008F3D38">
        <w:t>D</w:t>
      </w:r>
      <w:r>
        <w:t>evice</w:t>
      </w:r>
      <w:r w:rsidR="008F3D38">
        <w:t>s</w:t>
      </w:r>
      <w:r>
        <w:t xml:space="preserve"> </w:t>
      </w:r>
      <w:r w:rsidR="008F3D38">
        <w:t>C</w:t>
      </w:r>
      <w:r>
        <w:t xml:space="preserve">lass </w:t>
      </w:r>
      <w:r w:rsidR="008F3D38">
        <w:t>L</w:t>
      </w:r>
      <w:r>
        <w:t>icence</w:t>
      </w:r>
    </w:p>
    <w:p w14:paraId="0D86924D" w14:textId="5D2AC2AC" w:rsidR="00F06E14" w:rsidRDefault="00752EF7" w:rsidP="00F06E14">
      <w:pPr>
        <w:pStyle w:val="Reportsubtitle"/>
      </w:pPr>
      <w:r>
        <w:t>Consultation paper</w:t>
      </w:r>
    </w:p>
    <w:p w14:paraId="7EA74E30" w14:textId="3A845060" w:rsidR="00C97736" w:rsidRPr="000D76E0" w:rsidRDefault="00752EF7"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September</w:t>
      </w:r>
      <w:r w:rsidR="00BD4421">
        <w:t xml:space="preserve"> 20</w:t>
      </w:r>
      <w:r w:rsidR="008E0428">
        <w:t>20</w:t>
      </w:r>
    </w:p>
    <w:p w14:paraId="736F8CCF" w14:textId="77777777" w:rsidR="0005011A" w:rsidRPr="00F44F3A" w:rsidRDefault="0005011A" w:rsidP="00FC07B9">
      <w:pPr>
        <w:pStyle w:val="ACMACorporateAddressHeader"/>
      </w:pPr>
      <w:r w:rsidRPr="00F44F3A">
        <w:lastRenderedPageBreak/>
        <w:t>Canberra</w:t>
      </w:r>
    </w:p>
    <w:p w14:paraId="1979C754"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6FE0AB2B" w14:textId="77777777" w:rsidR="0005011A" w:rsidRPr="00FC07B9" w:rsidRDefault="0005011A" w:rsidP="00FC07B9">
      <w:pPr>
        <w:pStyle w:val="ACMACorporateAddresses"/>
      </w:pPr>
      <w:r w:rsidRPr="00FC07B9">
        <w:t>PO Box 78</w:t>
      </w:r>
      <w:r w:rsidRPr="00FC07B9">
        <w:br/>
        <w:t>Belconnen ACT 2616</w:t>
      </w:r>
    </w:p>
    <w:p w14:paraId="19137FAB"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C157E18" w14:textId="77777777" w:rsidR="0005011A" w:rsidRPr="00F44F3A" w:rsidRDefault="0005011A" w:rsidP="00FC07B9">
      <w:pPr>
        <w:pStyle w:val="ACMACorporateAddressHeader"/>
      </w:pPr>
      <w:r w:rsidRPr="00F44F3A">
        <w:t>Melbourne</w:t>
      </w:r>
    </w:p>
    <w:p w14:paraId="7F93105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7E5FD12"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D2A68F0"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F08B161" w14:textId="77777777" w:rsidR="0005011A" w:rsidRPr="00F44F3A" w:rsidRDefault="0005011A" w:rsidP="00FC07B9">
      <w:pPr>
        <w:pStyle w:val="ACMACorporateAddressHeader"/>
      </w:pPr>
      <w:r w:rsidRPr="00F44F3A">
        <w:t>Sydney</w:t>
      </w:r>
    </w:p>
    <w:p w14:paraId="4B89A92F"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B2C4CD5"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D8C82A2"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27C7969" w14:textId="77777777" w:rsidR="00140318" w:rsidRPr="006D46E5" w:rsidRDefault="00140318" w:rsidP="00FC07B9">
      <w:pPr>
        <w:pStyle w:val="ACMACopyrightHeader"/>
      </w:pPr>
      <w:r w:rsidRPr="00140318">
        <w:t>Copyright notice</w:t>
      </w:r>
    </w:p>
    <w:p w14:paraId="3C4A9506" w14:textId="77777777" w:rsidR="00140318" w:rsidRPr="006D46E5" w:rsidRDefault="00623FF9" w:rsidP="00623FF9">
      <w:pPr>
        <w:pStyle w:val="ACMACClogo"/>
      </w:pPr>
      <w:r w:rsidRPr="00623FF9">
        <w:rPr>
          <w:noProof/>
        </w:rPr>
        <w:drawing>
          <wp:inline distT="0" distB="0" distL="0" distR="0" wp14:anchorId="53362B49" wp14:editId="602778A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443E5E4" w14:textId="77777777" w:rsidR="00AA2DE5" w:rsidRDefault="00766813" w:rsidP="00AA2DE5">
      <w:pPr>
        <w:pStyle w:val="ACMACorporateAddresses"/>
        <w:rPr>
          <w:rStyle w:val="Hyperlink"/>
        </w:rPr>
      </w:pPr>
      <w:hyperlink r:id="rId13" w:history="1">
        <w:r w:rsidR="00AA2DE5">
          <w:rPr>
            <w:rStyle w:val="Hyperlink"/>
          </w:rPr>
          <w:t>https://creativecommons.org/licenses/by/4.0/</w:t>
        </w:r>
      </w:hyperlink>
    </w:p>
    <w:p w14:paraId="0BD72616"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57DCCDB1" w14:textId="77777777" w:rsidR="00AA2DE5" w:rsidRDefault="00AA2DE5" w:rsidP="00AA2DE5">
      <w:pPr>
        <w:pStyle w:val="ACMACorporateAddresses"/>
      </w:pPr>
      <w:r>
        <w:t>We request attribution as © Commonwealth of Australia (Australian Communications and Media Authority) 20</w:t>
      </w:r>
      <w:r w:rsidR="00C41F21">
        <w:t>20</w:t>
      </w:r>
      <w:r>
        <w:t>.</w:t>
      </w:r>
    </w:p>
    <w:p w14:paraId="4CCBE5E1" w14:textId="77777777" w:rsidR="00AA2DE5" w:rsidRDefault="00AA2DE5" w:rsidP="00AA2DE5">
      <w:pPr>
        <w:pStyle w:val="ACMACorporateAddresses"/>
      </w:pPr>
      <w:r>
        <w:t>All other rights are reserved.</w:t>
      </w:r>
    </w:p>
    <w:p w14:paraId="453EB5C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1CFEF8E" w14:textId="77777777" w:rsidR="00AA2DE5" w:rsidRDefault="00AA2DE5" w:rsidP="00AA2DE5">
      <w:pPr>
        <w:pStyle w:val="ACMACorporateAddresses"/>
      </w:pPr>
      <w:r>
        <w:t>Written enquiries may be sent to:</w:t>
      </w:r>
    </w:p>
    <w:p w14:paraId="7125DBC5"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546D15D1" w14:textId="77777777" w:rsidR="00D16FE3" w:rsidRDefault="00D16FE3" w:rsidP="00D16FE3">
      <w:pPr>
        <w:pStyle w:val="ACMACorporateAddresses"/>
        <w:rPr>
          <w:rStyle w:val="Hyperlink"/>
        </w:rPr>
      </w:pPr>
    </w:p>
    <w:p w14:paraId="77EAD980"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7F59B798" w14:textId="3C42351E" w:rsidR="000F66F0"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0F66F0">
        <w:t>Executive summary</w:t>
      </w:r>
      <w:r w:rsidR="000F66F0">
        <w:tab/>
      </w:r>
      <w:r w:rsidR="000F66F0">
        <w:fldChar w:fldCharType="begin"/>
      </w:r>
      <w:r w:rsidR="000F66F0">
        <w:instrText xml:space="preserve"> PAGEREF _Toc50732084 \h </w:instrText>
      </w:r>
      <w:r w:rsidR="000F66F0">
        <w:fldChar w:fldCharType="separate"/>
      </w:r>
      <w:r w:rsidR="000F66F0">
        <w:t>1</w:t>
      </w:r>
      <w:r w:rsidR="000F66F0">
        <w:fldChar w:fldCharType="end"/>
      </w:r>
    </w:p>
    <w:p w14:paraId="2FE52F64" w14:textId="182CEB59" w:rsidR="000F66F0" w:rsidRDefault="000F66F0">
      <w:pPr>
        <w:pStyle w:val="TOC1"/>
        <w:rPr>
          <w:rFonts w:asciiTheme="minorHAnsi" w:eastAsiaTheme="minorEastAsia" w:hAnsiTheme="minorHAnsi" w:cstheme="minorBidi"/>
          <w:b w:val="0"/>
          <w:spacing w:val="0"/>
          <w:sz w:val="22"/>
          <w:szCs w:val="22"/>
        </w:rPr>
      </w:pPr>
      <w:r>
        <w:t>Issues for comment</w:t>
      </w:r>
      <w:r>
        <w:tab/>
      </w:r>
      <w:r>
        <w:fldChar w:fldCharType="begin"/>
      </w:r>
      <w:r>
        <w:instrText xml:space="preserve"> PAGEREF _Toc50732085 \h </w:instrText>
      </w:r>
      <w:r>
        <w:fldChar w:fldCharType="separate"/>
      </w:r>
      <w:r>
        <w:t>2</w:t>
      </w:r>
      <w:r>
        <w:fldChar w:fldCharType="end"/>
      </w:r>
    </w:p>
    <w:p w14:paraId="0657DBD5" w14:textId="60AE131F" w:rsidR="000F66F0" w:rsidRDefault="000F66F0">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_Toc50732086 \h </w:instrText>
      </w:r>
      <w:r>
        <w:fldChar w:fldCharType="separate"/>
      </w:r>
      <w:r>
        <w:t>3</w:t>
      </w:r>
      <w:r>
        <w:fldChar w:fldCharType="end"/>
      </w:r>
    </w:p>
    <w:p w14:paraId="73993F4F" w14:textId="3BABD7D6" w:rsidR="000F66F0" w:rsidRDefault="000F66F0">
      <w:pPr>
        <w:pStyle w:val="TOC2"/>
        <w:rPr>
          <w:rFonts w:asciiTheme="minorHAnsi" w:eastAsiaTheme="minorEastAsia" w:hAnsiTheme="minorHAnsi" w:cstheme="minorBidi"/>
          <w:spacing w:val="0"/>
          <w:sz w:val="22"/>
          <w:szCs w:val="22"/>
        </w:rPr>
      </w:pPr>
      <w:r>
        <w:t>Class licensing and the LIPD Class Licence</w:t>
      </w:r>
      <w:r>
        <w:tab/>
      </w:r>
      <w:r>
        <w:fldChar w:fldCharType="begin"/>
      </w:r>
      <w:r>
        <w:instrText xml:space="preserve"> PAGEREF _Toc50732087 \h </w:instrText>
      </w:r>
      <w:r>
        <w:fldChar w:fldCharType="separate"/>
      </w:r>
      <w:r>
        <w:t>3</w:t>
      </w:r>
      <w:r>
        <w:fldChar w:fldCharType="end"/>
      </w:r>
    </w:p>
    <w:p w14:paraId="591EBE19" w14:textId="1902448C" w:rsidR="000F66F0" w:rsidRDefault="000F66F0">
      <w:pPr>
        <w:pStyle w:val="TOC2"/>
        <w:rPr>
          <w:rFonts w:asciiTheme="minorHAnsi" w:eastAsiaTheme="minorEastAsia" w:hAnsiTheme="minorHAnsi" w:cstheme="minorBidi"/>
          <w:spacing w:val="0"/>
          <w:sz w:val="22"/>
          <w:szCs w:val="22"/>
        </w:rPr>
      </w:pPr>
      <w:r>
        <w:t>LIPD Class Licence and standards</w:t>
      </w:r>
      <w:r>
        <w:tab/>
      </w:r>
      <w:r>
        <w:fldChar w:fldCharType="begin"/>
      </w:r>
      <w:r>
        <w:instrText xml:space="preserve"> PAGEREF _Toc50732088 \h </w:instrText>
      </w:r>
      <w:r>
        <w:fldChar w:fldCharType="separate"/>
      </w:r>
      <w:r>
        <w:t>4</w:t>
      </w:r>
      <w:r>
        <w:fldChar w:fldCharType="end"/>
      </w:r>
    </w:p>
    <w:p w14:paraId="0B6F9D6D" w14:textId="34CA6DCA" w:rsidR="000F66F0" w:rsidRDefault="000F66F0">
      <w:pPr>
        <w:pStyle w:val="TOC1"/>
        <w:rPr>
          <w:rFonts w:asciiTheme="minorHAnsi" w:eastAsiaTheme="minorEastAsia" w:hAnsiTheme="minorHAnsi" w:cstheme="minorBidi"/>
          <w:b w:val="0"/>
          <w:spacing w:val="0"/>
          <w:sz w:val="22"/>
          <w:szCs w:val="22"/>
        </w:rPr>
      </w:pPr>
      <w:r>
        <w:t>Proposed updates</w:t>
      </w:r>
      <w:r>
        <w:tab/>
      </w:r>
      <w:r>
        <w:fldChar w:fldCharType="begin"/>
      </w:r>
      <w:r>
        <w:instrText xml:space="preserve"> PAGEREF _Toc50732089 \h </w:instrText>
      </w:r>
      <w:r>
        <w:fldChar w:fldCharType="separate"/>
      </w:r>
      <w:r>
        <w:t>5</w:t>
      </w:r>
      <w:r>
        <w:fldChar w:fldCharType="end"/>
      </w:r>
    </w:p>
    <w:p w14:paraId="53F717FE" w14:textId="65D548A2" w:rsidR="000F66F0" w:rsidRDefault="000F66F0">
      <w:pPr>
        <w:pStyle w:val="TOC2"/>
        <w:rPr>
          <w:rFonts w:asciiTheme="minorHAnsi" w:eastAsiaTheme="minorEastAsia" w:hAnsiTheme="minorHAnsi" w:cstheme="minorBidi"/>
          <w:spacing w:val="0"/>
          <w:sz w:val="22"/>
          <w:szCs w:val="22"/>
        </w:rPr>
      </w:pPr>
      <w:r>
        <w:t>Wireless broadband in the 26 GHz band</w:t>
      </w:r>
      <w:r>
        <w:tab/>
      </w:r>
      <w:r>
        <w:fldChar w:fldCharType="begin"/>
      </w:r>
      <w:r>
        <w:instrText xml:space="preserve"> PAGEREF _Toc50732090 \h </w:instrText>
      </w:r>
      <w:r>
        <w:fldChar w:fldCharType="separate"/>
      </w:r>
      <w:r>
        <w:t>5</w:t>
      </w:r>
      <w:r>
        <w:fldChar w:fldCharType="end"/>
      </w:r>
    </w:p>
    <w:p w14:paraId="49604A5B" w14:textId="2E3E53D2" w:rsidR="000F66F0" w:rsidRDefault="000F66F0">
      <w:pPr>
        <w:pStyle w:val="TOC2"/>
        <w:rPr>
          <w:rFonts w:asciiTheme="minorHAnsi" w:eastAsiaTheme="minorEastAsia" w:hAnsiTheme="minorHAnsi" w:cstheme="minorBidi"/>
          <w:spacing w:val="0"/>
          <w:sz w:val="22"/>
          <w:szCs w:val="22"/>
        </w:rPr>
      </w:pPr>
      <w:r>
        <w:t>IoT devices in the 900 MHz band</w:t>
      </w:r>
      <w:r>
        <w:tab/>
      </w:r>
      <w:r>
        <w:fldChar w:fldCharType="begin"/>
      </w:r>
      <w:r>
        <w:instrText xml:space="preserve"> PAGEREF _Toc50732091 \h </w:instrText>
      </w:r>
      <w:r>
        <w:fldChar w:fldCharType="separate"/>
      </w:r>
      <w:r>
        <w:t>7</w:t>
      </w:r>
      <w:r>
        <w:fldChar w:fldCharType="end"/>
      </w:r>
    </w:p>
    <w:p w14:paraId="0E117228" w14:textId="12BF4291" w:rsidR="000F66F0" w:rsidRDefault="000F66F0">
      <w:pPr>
        <w:pStyle w:val="TOC2"/>
        <w:rPr>
          <w:rFonts w:asciiTheme="minorHAnsi" w:eastAsiaTheme="minorEastAsia" w:hAnsiTheme="minorHAnsi" w:cstheme="minorBidi"/>
          <w:spacing w:val="0"/>
          <w:sz w:val="22"/>
          <w:szCs w:val="22"/>
        </w:rPr>
      </w:pPr>
      <w:r>
        <w:t>IoT devices in VHF High Band</w:t>
      </w:r>
      <w:r>
        <w:tab/>
      </w:r>
      <w:r>
        <w:fldChar w:fldCharType="begin"/>
      </w:r>
      <w:r>
        <w:instrText xml:space="preserve"> PAGEREF _Toc50732092 \h </w:instrText>
      </w:r>
      <w:r>
        <w:fldChar w:fldCharType="separate"/>
      </w:r>
      <w:r>
        <w:t>8</w:t>
      </w:r>
      <w:r>
        <w:fldChar w:fldCharType="end"/>
      </w:r>
    </w:p>
    <w:p w14:paraId="4E552DFD" w14:textId="75181E70" w:rsidR="000F66F0" w:rsidRDefault="000F66F0">
      <w:pPr>
        <w:pStyle w:val="TOC2"/>
        <w:rPr>
          <w:rFonts w:asciiTheme="minorHAnsi" w:eastAsiaTheme="minorEastAsia" w:hAnsiTheme="minorHAnsi" w:cstheme="minorBidi"/>
          <w:spacing w:val="0"/>
          <w:sz w:val="22"/>
          <w:szCs w:val="22"/>
        </w:rPr>
      </w:pPr>
      <w:r>
        <w:t>Radiodetermination devices in the 10.5–10.55 GHz band</w:t>
      </w:r>
      <w:r>
        <w:tab/>
      </w:r>
      <w:r>
        <w:fldChar w:fldCharType="begin"/>
      </w:r>
      <w:r>
        <w:instrText xml:space="preserve"> PAGEREF _Toc50732093 \h </w:instrText>
      </w:r>
      <w:r>
        <w:fldChar w:fldCharType="separate"/>
      </w:r>
      <w:r>
        <w:t>9</w:t>
      </w:r>
      <w:r>
        <w:fldChar w:fldCharType="end"/>
      </w:r>
    </w:p>
    <w:p w14:paraId="34D22B5C" w14:textId="46D18487" w:rsidR="000F66F0" w:rsidRDefault="000F66F0">
      <w:pPr>
        <w:pStyle w:val="TOC2"/>
        <w:rPr>
          <w:rFonts w:asciiTheme="minorHAnsi" w:eastAsiaTheme="minorEastAsia" w:hAnsiTheme="minorHAnsi" w:cstheme="minorBidi"/>
          <w:spacing w:val="0"/>
          <w:sz w:val="22"/>
          <w:szCs w:val="22"/>
        </w:rPr>
      </w:pPr>
      <w:r>
        <w:t>Minor updates</w:t>
      </w:r>
      <w:r>
        <w:tab/>
      </w:r>
      <w:r>
        <w:fldChar w:fldCharType="begin"/>
      </w:r>
      <w:r>
        <w:instrText xml:space="preserve"> PAGEREF _Toc50732094 \h </w:instrText>
      </w:r>
      <w:r>
        <w:fldChar w:fldCharType="separate"/>
      </w:r>
      <w:r>
        <w:t>10</w:t>
      </w:r>
      <w:r>
        <w:fldChar w:fldCharType="end"/>
      </w:r>
    </w:p>
    <w:p w14:paraId="7DD64A33" w14:textId="69277C67" w:rsidR="000F66F0" w:rsidRDefault="000F66F0">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_Toc50732095 \h </w:instrText>
      </w:r>
      <w:r>
        <w:fldChar w:fldCharType="separate"/>
      </w:r>
      <w:r>
        <w:t>12</w:t>
      </w:r>
      <w:r>
        <w:fldChar w:fldCharType="end"/>
      </w:r>
    </w:p>
    <w:p w14:paraId="20E9884E" w14:textId="6BDB5E01" w:rsidR="000F66F0" w:rsidRDefault="000F66F0">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_Toc50732096 \h </w:instrText>
      </w:r>
      <w:r>
        <w:fldChar w:fldCharType="separate"/>
      </w:r>
      <w:r>
        <w:t>12</w:t>
      </w:r>
      <w:r>
        <w:fldChar w:fldCharType="end"/>
      </w:r>
    </w:p>
    <w:p w14:paraId="4E24B835" w14:textId="3A1EE2E4"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1BBA44A" w14:textId="77777777" w:rsidR="009D6C71" w:rsidRPr="009174F3" w:rsidRDefault="009D6C71" w:rsidP="009174F3">
      <w:pPr>
        <w:pStyle w:val="Execsummaryheading"/>
      </w:pPr>
      <w:bookmarkStart w:id="0" w:name="_Toc50732084"/>
      <w:r w:rsidRPr="009174F3">
        <w:lastRenderedPageBreak/>
        <w:t>Executive summary</w:t>
      </w:r>
      <w:bookmarkEnd w:id="0"/>
    </w:p>
    <w:p w14:paraId="1BBCA057" w14:textId="6173517D" w:rsidR="009B7397" w:rsidRPr="003674F3" w:rsidRDefault="009B7397" w:rsidP="009B7397">
      <w:pPr>
        <w:rPr>
          <w:rFonts w:cs="Arial"/>
        </w:rPr>
      </w:pPr>
      <w:bookmarkStart w:id="1" w:name="_Hlk532386363"/>
      <w:bookmarkStart w:id="2" w:name="_Toc433122125"/>
      <w:r w:rsidRPr="003674F3">
        <w:rPr>
          <w:rFonts w:cs="Arial"/>
        </w:rPr>
        <w:t xml:space="preserve">The </w:t>
      </w:r>
      <w:r w:rsidRPr="00761ACC">
        <w:rPr>
          <w:rFonts w:cs="Arial"/>
        </w:rPr>
        <w:t>ACMA</w:t>
      </w:r>
      <w:r w:rsidRPr="003674F3">
        <w:rPr>
          <w:rFonts w:cs="Arial"/>
        </w:rPr>
        <w:t xml:space="preserve"> is proposing </w:t>
      </w:r>
      <w:r>
        <w:rPr>
          <w:rFonts w:cs="Arial"/>
        </w:rPr>
        <w:t xml:space="preserve">updates </w:t>
      </w:r>
      <w:r w:rsidRPr="009609B3">
        <w:rPr>
          <w:rFonts w:cs="Arial"/>
        </w:rPr>
        <w:t xml:space="preserve">to class licensing arrangements </w:t>
      </w:r>
      <w:r w:rsidR="006C29C1">
        <w:rPr>
          <w:rFonts w:cs="Arial"/>
        </w:rPr>
        <w:t>to support</w:t>
      </w:r>
      <w:r w:rsidRPr="009609B3">
        <w:rPr>
          <w:rFonts w:cs="Arial"/>
        </w:rPr>
        <w:t xml:space="preserve"> 5G and other technology innovations</w:t>
      </w:r>
      <w:r w:rsidR="006C29C1">
        <w:rPr>
          <w:rFonts w:cs="Arial"/>
        </w:rPr>
        <w:t xml:space="preserve">, enabled </w:t>
      </w:r>
      <w:r>
        <w:rPr>
          <w:rFonts w:cs="Arial"/>
        </w:rPr>
        <w:t>by varying</w:t>
      </w:r>
      <w:r w:rsidRPr="003674F3">
        <w:rPr>
          <w:rFonts w:cs="Arial"/>
        </w:rPr>
        <w:t xml:space="preserve"> </w:t>
      </w:r>
      <w:bookmarkStart w:id="3" w:name="_Hlk49947309"/>
      <w:r w:rsidRPr="003674F3">
        <w:rPr>
          <w:rFonts w:cs="Arial"/>
        </w:rPr>
        <w:t xml:space="preserve">the </w:t>
      </w:r>
      <w:r w:rsidRPr="003F78E4">
        <w:t>Radiocommunications (Low Interference Potential Devices) Class Licence 2015</w:t>
      </w:r>
      <w:r w:rsidRPr="006914F3">
        <w:rPr>
          <w:rFonts w:cs="Arial"/>
        </w:rPr>
        <w:t xml:space="preserve"> </w:t>
      </w:r>
      <w:r>
        <w:rPr>
          <w:rFonts w:cs="Arial"/>
          <w:i/>
        </w:rPr>
        <w:t>(</w:t>
      </w:r>
      <w:r w:rsidRPr="00161747">
        <w:rPr>
          <w:rFonts w:cs="Arial"/>
        </w:rPr>
        <w:t>the LIPD Class Licence)</w:t>
      </w:r>
      <w:r>
        <w:rPr>
          <w:rFonts w:cs="Arial"/>
        </w:rPr>
        <w:t xml:space="preserve">. </w:t>
      </w:r>
      <w:bookmarkEnd w:id="3"/>
      <w:r>
        <w:rPr>
          <w:rFonts w:cs="Arial"/>
        </w:rPr>
        <w:t>The purpose of the updates is to support new technology applications and bring Australia into line with international arrangements which support standardised and efficient equipment supply arrangements.</w:t>
      </w:r>
    </w:p>
    <w:p w14:paraId="2E5FE8FF" w14:textId="77777777" w:rsidR="009B7397" w:rsidRPr="00F86A0F" w:rsidRDefault="009B7397" w:rsidP="009B7397">
      <w:pPr>
        <w:spacing w:after="80"/>
        <w:rPr>
          <w:rFonts w:cs="Arial"/>
        </w:rPr>
      </w:pPr>
      <w:r w:rsidRPr="00F86A0F">
        <w:rPr>
          <w:rFonts w:cs="Arial"/>
        </w:rPr>
        <w:t>In brief, the proposed updates consider</w:t>
      </w:r>
      <w:r>
        <w:rPr>
          <w:rFonts w:cs="Arial"/>
        </w:rPr>
        <w:t xml:space="preserve"> new arrangements for</w:t>
      </w:r>
      <w:r w:rsidRPr="00F86A0F">
        <w:rPr>
          <w:rFonts w:cs="Arial"/>
        </w:rPr>
        <w:t>:</w:t>
      </w:r>
    </w:p>
    <w:p w14:paraId="307A4BBD" w14:textId="70AB8B07" w:rsidR="009B7397" w:rsidRDefault="009B7397" w:rsidP="009B7397">
      <w:pPr>
        <w:pStyle w:val="ListBullet"/>
      </w:pPr>
      <w:r w:rsidRPr="003322F7">
        <w:t xml:space="preserve">wireless broadband in the </w:t>
      </w:r>
      <w:bookmarkStart w:id="4" w:name="_Hlk50715435"/>
      <w:r w:rsidRPr="003322F7">
        <w:t>24.25</w:t>
      </w:r>
      <w:r w:rsidR="004F59A0">
        <w:t>–</w:t>
      </w:r>
      <w:r w:rsidRPr="003322F7">
        <w:t>25.1 GHz</w:t>
      </w:r>
      <w:r w:rsidR="000A4FD3">
        <w:t xml:space="preserve"> </w:t>
      </w:r>
      <w:bookmarkEnd w:id="4"/>
      <w:r w:rsidR="000A4FD3">
        <w:t>band</w:t>
      </w:r>
      <w:r w:rsidRPr="003322F7">
        <w:t xml:space="preserve"> </w:t>
      </w:r>
    </w:p>
    <w:p w14:paraId="5EB867FA" w14:textId="000181C9" w:rsidR="009B7397" w:rsidRDefault="000A4FD3" w:rsidP="009B7397">
      <w:pPr>
        <w:pStyle w:val="ListBullet"/>
      </w:pPr>
      <w:r>
        <w:t>Internet of Things (</w:t>
      </w:r>
      <w:r w:rsidR="009B7397" w:rsidRPr="00231638">
        <w:t>IoT</w:t>
      </w:r>
      <w:r>
        <w:t>)</w:t>
      </w:r>
      <w:r w:rsidR="009B7397" w:rsidRPr="00231638">
        <w:t xml:space="preserve"> devices in the </w:t>
      </w:r>
      <w:r w:rsidR="009B7397">
        <w:t>928</w:t>
      </w:r>
      <w:r w:rsidR="004F59A0">
        <w:t>–</w:t>
      </w:r>
      <w:r w:rsidR="009B7397">
        <w:t>935 MHz and VHF high bands</w:t>
      </w:r>
    </w:p>
    <w:p w14:paraId="51910383" w14:textId="10BA6991" w:rsidR="009B7397" w:rsidRDefault="009B7397" w:rsidP="006C29C1">
      <w:pPr>
        <w:pStyle w:val="ListBulletLast"/>
      </w:pPr>
      <w:r>
        <w:t>radiodetermination</w:t>
      </w:r>
      <w:r w:rsidRPr="00495758">
        <w:t xml:space="preserve"> devices in the 10.5-10.55 GHz band</w:t>
      </w:r>
      <w:r w:rsidR="006C29C1">
        <w:t>.</w:t>
      </w:r>
    </w:p>
    <w:p w14:paraId="43409B92" w14:textId="77777777" w:rsidR="009B7397" w:rsidRDefault="009B7397" w:rsidP="009B7397">
      <w:r>
        <w:t xml:space="preserve">Other minor </w:t>
      </w:r>
      <w:r w:rsidRPr="00100596">
        <w:rPr>
          <w:rFonts w:cs="Arial"/>
        </w:rPr>
        <w:t>updates</w:t>
      </w:r>
      <w:r>
        <w:t xml:space="preserve"> are included for consideration. </w:t>
      </w:r>
    </w:p>
    <w:bookmarkEnd w:id="1"/>
    <w:p w14:paraId="209D07DB" w14:textId="4D87DC55" w:rsidR="009B7397" w:rsidRDefault="009B7397" w:rsidP="009B7397">
      <w:r>
        <w:t>The proposed updates are contained in the draft</w:t>
      </w:r>
      <w:r w:rsidRPr="003674F3">
        <w:t xml:space="preserve"> </w:t>
      </w:r>
      <w:r w:rsidRPr="003F78E4">
        <w:t>Radiocommunications (Low Interference Potential Devices) Class Licence Variation 2020 (No.1)</w:t>
      </w:r>
      <w:r>
        <w:t xml:space="preserve">, </w:t>
      </w:r>
      <w:r w:rsidRPr="003674F3">
        <w:t xml:space="preserve">available </w:t>
      </w:r>
      <w:r w:rsidR="003F78E4">
        <w:t>in the key documents section of this consultation</w:t>
      </w:r>
      <w:r>
        <w:t>.</w:t>
      </w:r>
      <w:r w:rsidRPr="003674F3">
        <w:t xml:space="preserve"> </w:t>
      </w:r>
    </w:p>
    <w:p w14:paraId="434331E7" w14:textId="13829561" w:rsidR="009B7397" w:rsidRDefault="009B7397" w:rsidP="009B7397">
      <w:pPr>
        <w:rPr>
          <w:rFonts w:cs="Arial"/>
        </w:rPr>
      </w:pPr>
      <w:r w:rsidRPr="003674F3">
        <w:rPr>
          <w:rFonts w:cs="Arial"/>
        </w:rPr>
        <w:t xml:space="preserve">The </w:t>
      </w:r>
      <w:r w:rsidRPr="00E12666">
        <w:rPr>
          <w:rFonts w:cs="Arial"/>
        </w:rPr>
        <w:t xml:space="preserve">ACMA invites comment from interested parties on the proposed updates and draft variation by </w:t>
      </w:r>
      <w:r w:rsidRPr="00E12666">
        <w:rPr>
          <w:rFonts w:cs="Arial"/>
          <w:b/>
        </w:rPr>
        <w:t xml:space="preserve">COB, </w:t>
      </w:r>
      <w:r>
        <w:rPr>
          <w:rFonts w:cs="Arial"/>
          <w:b/>
        </w:rPr>
        <w:t>Monday</w:t>
      </w:r>
      <w:r w:rsidRPr="00E12666">
        <w:rPr>
          <w:rFonts w:cs="Arial"/>
          <w:b/>
        </w:rPr>
        <w:t xml:space="preserve"> </w:t>
      </w:r>
      <w:r>
        <w:rPr>
          <w:rFonts w:cs="Arial"/>
          <w:b/>
        </w:rPr>
        <w:t>2</w:t>
      </w:r>
      <w:r w:rsidR="003A7FF8">
        <w:rPr>
          <w:rFonts w:cs="Arial"/>
          <w:b/>
        </w:rPr>
        <w:t>6</w:t>
      </w:r>
      <w:r>
        <w:rPr>
          <w:rFonts w:cs="Arial"/>
          <w:b/>
        </w:rPr>
        <w:t xml:space="preserve"> October 2020</w:t>
      </w:r>
      <w:r w:rsidRPr="00E12666">
        <w:rPr>
          <w:rFonts w:cs="Arial"/>
        </w:rPr>
        <w:t>.</w:t>
      </w:r>
      <w:r>
        <w:rPr>
          <w:rFonts w:cs="Arial"/>
        </w:rPr>
        <w:t xml:space="preserve"> </w:t>
      </w:r>
      <w:r w:rsidRPr="00E12666">
        <w:rPr>
          <w:rFonts w:cs="Arial"/>
        </w:rPr>
        <w:t>Information</w:t>
      </w:r>
      <w:r w:rsidRPr="003674F3">
        <w:rPr>
          <w:rFonts w:cs="Arial"/>
        </w:rPr>
        <w:t xml:space="preserve"> about making a submission </w:t>
      </w:r>
      <w:r>
        <w:rPr>
          <w:rFonts w:cs="Arial"/>
        </w:rPr>
        <w:t>is</w:t>
      </w:r>
      <w:r w:rsidRPr="003674F3">
        <w:rPr>
          <w:rFonts w:cs="Arial"/>
        </w:rPr>
        <w:t xml:space="preserve"> in the</w:t>
      </w:r>
      <w:r w:rsidR="00EF6848">
        <w:rPr>
          <w:rFonts w:cs="Arial"/>
        </w:rPr>
        <w:t xml:space="preserve"> </w:t>
      </w:r>
      <w:hyperlink w:anchor="_Invitation_to_comment" w:history="1">
        <w:r w:rsidR="00EF6848" w:rsidRPr="00EF6848">
          <w:rPr>
            <w:rStyle w:val="Hyperlink"/>
            <w:rFonts w:cs="Arial"/>
          </w:rPr>
          <w:t>Invitation to comment</w:t>
        </w:r>
      </w:hyperlink>
      <w:r w:rsidRPr="003674F3">
        <w:rPr>
          <w:rFonts w:cs="Arial"/>
        </w:rPr>
        <w:t xml:space="preserve"> section</w:t>
      </w:r>
      <w:r>
        <w:rPr>
          <w:rFonts w:cs="Arial"/>
        </w:rPr>
        <w:t xml:space="preserve"> of this consultation paper</w:t>
      </w:r>
      <w:r w:rsidRPr="003674F3">
        <w:rPr>
          <w:rFonts w:cs="Arial"/>
        </w:rPr>
        <w:t>.</w:t>
      </w:r>
      <w:r>
        <w:rPr>
          <w:rFonts w:cs="Arial"/>
        </w:rPr>
        <w:t xml:space="preserve"> </w:t>
      </w:r>
    </w:p>
    <w:p w14:paraId="03DE407D" w14:textId="77777777" w:rsidR="009B7397" w:rsidRDefault="009B7397" w:rsidP="009B7397">
      <w:pPr>
        <w:rPr>
          <w:rFonts w:cs="Arial"/>
        </w:rPr>
      </w:pPr>
      <w:r>
        <w:rPr>
          <w:rFonts w:cs="Arial"/>
        </w:rPr>
        <w:t xml:space="preserve">In addition to the proposed variation, the ACMA invites suggestions from industry and individuals on devices and technologies for possible inclusion in the list of transmitters authorised under the LIPD Class Licence in future updates. </w:t>
      </w:r>
    </w:p>
    <w:p w14:paraId="0DBDC2BE" w14:textId="12654982" w:rsidR="00715722" w:rsidRDefault="00715722" w:rsidP="00715722">
      <w:pPr>
        <w:pStyle w:val="Heading1"/>
      </w:pPr>
      <w:bookmarkStart w:id="5" w:name="_Toc50732085"/>
      <w:r>
        <w:lastRenderedPageBreak/>
        <w:t>Issue</w:t>
      </w:r>
      <w:r w:rsidR="000A4FD3">
        <w:t>s</w:t>
      </w:r>
      <w:r>
        <w:t xml:space="preserve"> for comment</w:t>
      </w:r>
      <w:bookmarkEnd w:id="2"/>
      <w:bookmarkEnd w:id="5"/>
    </w:p>
    <w:p w14:paraId="2A95099D" w14:textId="678218DA" w:rsidR="009D4834" w:rsidRPr="009D4C85" w:rsidRDefault="009D4834" w:rsidP="009D4834">
      <w:pPr>
        <w:pStyle w:val="Paragraph"/>
      </w:pPr>
      <w:r>
        <w:t>The ACMA welcomes comment</w:t>
      </w:r>
      <w:r w:rsidR="009B7397">
        <w:t>s</w:t>
      </w:r>
      <w:r>
        <w:t xml:space="preserve"> on the issues raised in this consultation </w:t>
      </w:r>
      <w:r w:rsidR="003A7FF8">
        <w:t>paper</w:t>
      </w:r>
      <w:r w:rsidR="00EF6848">
        <w:t>,</w:t>
      </w:r>
      <w:r w:rsidR="003A7FF8">
        <w:t xml:space="preserve"> </w:t>
      </w:r>
      <w:r>
        <w:t xml:space="preserve">or any other issues relevant to the update of the </w:t>
      </w:r>
      <w:r>
        <w:rPr>
          <w:szCs w:val="20"/>
        </w:rPr>
        <w:t xml:space="preserve">LIPD </w:t>
      </w:r>
      <w:r w:rsidR="00EF6848">
        <w:rPr>
          <w:szCs w:val="20"/>
        </w:rPr>
        <w:t>C</w:t>
      </w:r>
      <w:r>
        <w:rPr>
          <w:szCs w:val="20"/>
        </w:rPr>
        <w:t xml:space="preserve">lass </w:t>
      </w:r>
      <w:r w:rsidR="00EF6848">
        <w:rPr>
          <w:szCs w:val="20"/>
        </w:rPr>
        <w:t>L</w:t>
      </w:r>
      <w:r>
        <w:rPr>
          <w:szCs w:val="20"/>
        </w:rPr>
        <w:t>icence.</w:t>
      </w:r>
      <w:r>
        <w:t xml:space="preserve"> In particular, the ACMA seeks comment on </w:t>
      </w:r>
      <w:r w:rsidRPr="00752EF7">
        <w:rPr>
          <w:szCs w:val="20"/>
        </w:rPr>
        <w:t xml:space="preserve">the draft </w:t>
      </w:r>
      <w:r w:rsidRPr="003F78E4">
        <w:rPr>
          <w:szCs w:val="20"/>
        </w:rPr>
        <w:t>Radiocommunications (Low Interference Potential Devices) Class Licence Variation 2020 (No.1)</w:t>
      </w:r>
      <w:r>
        <w:rPr>
          <w:szCs w:val="20"/>
        </w:rPr>
        <w:t>.</w:t>
      </w:r>
    </w:p>
    <w:p w14:paraId="63D62D4F" w14:textId="77777777" w:rsidR="009D4834" w:rsidRPr="009D4834" w:rsidRDefault="009D4834" w:rsidP="009D4834"/>
    <w:p w14:paraId="22A48619" w14:textId="31B6C3D7" w:rsidR="005E250B" w:rsidRPr="00C35CCE" w:rsidRDefault="00752EF7" w:rsidP="002C0530">
      <w:pPr>
        <w:pStyle w:val="Heading1"/>
      </w:pPr>
      <w:bookmarkStart w:id="6" w:name="_Toc50732086"/>
      <w:r>
        <w:lastRenderedPageBreak/>
        <w:t>Introduction</w:t>
      </w:r>
      <w:bookmarkEnd w:id="6"/>
    </w:p>
    <w:p w14:paraId="580A3AAD" w14:textId="77777777" w:rsidR="009B7397" w:rsidRPr="003674F3" w:rsidRDefault="009B7397" w:rsidP="009B7397">
      <w:pPr>
        <w:rPr>
          <w:rFonts w:cs="Arial"/>
        </w:rPr>
      </w:pPr>
      <w:r w:rsidRPr="003674F3">
        <w:rPr>
          <w:rFonts w:cs="Arial"/>
        </w:rPr>
        <w:t xml:space="preserve">The </w:t>
      </w:r>
      <w:r w:rsidRPr="00761ACC">
        <w:rPr>
          <w:rFonts w:cs="Arial"/>
        </w:rPr>
        <w:t>ACMA</w:t>
      </w:r>
      <w:r w:rsidRPr="003674F3">
        <w:rPr>
          <w:rFonts w:cs="Arial"/>
        </w:rPr>
        <w:t xml:space="preserve"> is proposing </w:t>
      </w:r>
      <w:r>
        <w:rPr>
          <w:rFonts w:cs="Arial"/>
        </w:rPr>
        <w:t xml:space="preserve">updates </w:t>
      </w:r>
      <w:r w:rsidRPr="009609B3">
        <w:rPr>
          <w:rFonts w:cs="Arial"/>
        </w:rPr>
        <w:t xml:space="preserve">to class licensing arrangements supporting 5G and other technology innovations </w:t>
      </w:r>
      <w:r>
        <w:rPr>
          <w:rFonts w:cs="Arial"/>
        </w:rPr>
        <w:t>to be implemented by varying</w:t>
      </w:r>
      <w:r w:rsidRPr="003674F3">
        <w:rPr>
          <w:rFonts w:cs="Arial"/>
        </w:rPr>
        <w:t xml:space="preserve"> the</w:t>
      </w:r>
      <w:r>
        <w:rPr>
          <w:rFonts w:cs="Arial"/>
        </w:rPr>
        <w:t xml:space="preserve"> LIPD Class Licence</w:t>
      </w:r>
      <w:r w:rsidRPr="003674F3">
        <w:rPr>
          <w:rFonts w:cs="Arial"/>
        </w:rPr>
        <w:t>.</w:t>
      </w:r>
      <w:r w:rsidRPr="004D4DA7">
        <w:rPr>
          <w:rStyle w:val="FootnoteReference"/>
          <w:rFonts w:cs="Arial"/>
        </w:rPr>
        <w:footnoteReference w:id="2"/>
      </w:r>
      <w:r>
        <w:rPr>
          <w:rFonts w:cs="Arial"/>
        </w:rPr>
        <w:t xml:space="preserve"> </w:t>
      </w:r>
    </w:p>
    <w:p w14:paraId="1B79DA56" w14:textId="55868995" w:rsidR="009B7397" w:rsidRDefault="009B7397" w:rsidP="009B7397">
      <w:pPr>
        <w:rPr>
          <w:szCs w:val="20"/>
          <w:lang w:bidi="he-IL"/>
        </w:rPr>
      </w:pPr>
      <w:r w:rsidRPr="00E23A45">
        <w:t xml:space="preserve">Under </w:t>
      </w:r>
      <w:r>
        <w:t>sub</w:t>
      </w:r>
      <w:r w:rsidRPr="00E23A45">
        <w:t>section 136</w:t>
      </w:r>
      <w:r>
        <w:t>(1)</w:t>
      </w:r>
      <w:r w:rsidRPr="00E23A45">
        <w:t xml:space="preserve"> of the </w:t>
      </w:r>
      <w:r w:rsidRPr="00E23A45">
        <w:rPr>
          <w:i/>
        </w:rPr>
        <w:t xml:space="preserve">Radiocommunications Act 1992 </w:t>
      </w:r>
      <w:r w:rsidRPr="00E23A45">
        <w:t xml:space="preserve">(the Act), before varying a class licence the ACMA must invite interested persons to make representations about the proposed variations. </w:t>
      </w:r>
    </w:p>
    <w:p w14:paraId="2CB9E6C4" w14:textId="77777777" w:rsidR="009B7397" w:rsidRPr="00E23A45" w:rsidRDefault="009B7397" w:rsidP="009B7397">
      <w:pPr>
        <w:rPr>
          <w:szCs w:val="20"/>
          <w:lang w:bidi="he-IL"/>
        </w:rPr>
      </w:pPr>
      <w:r>
        <w:rPr>
          <w:szCs w:val="20"/>
          <w:lang w:bidi="he-IL"/>
        </w:rPr>
        <w:t>Under section 137 of the Act, t</w:t>
      </w:r>
      <w:r w:rsidRPr="00626CD7">
        <w:rPr>
          <w:szCs w:val="20"/>
          <w:lang w:bidi="he-IL"/>
        </w:rPr>
        <w:t>he ACMA must not issue a class licence that is inconsistent with the spectrum plan</w:t>
      </w:r>
      <w:r>
        <w:rPr>
          <w:szCs w:val="20"/>
          <w:lang w:bidi="he-IL"/>
        </w:rPr>
        <w:t xml:space="preserve"> (as made under section 30 of the Act). The proposed variations are consistent with </w:t>
      </w:r>
      <w:r w:rsidRPr="001E1706">
        <w:rPr>
          <w:szCs w:val="20"/>
          <w:lang w:bidi="he-IL"/>
        </w:rPr>
        <w:t xml:space="preserve">the </w:t>
      </w:r>
      <w:r w:rsidRPr="003F78E4">
        <w:t>Australian Radiofrequency Spectrum Plan</w:t>
      </w:r>
      <w:r w:rsidRPr="001E1706">
        <w:t xml:space="preserve"> </w:t>
      </w:r>
      <w:r w:rsidRPr="003F78E4">
        <w:t>2017</w:t>
      </w:r>
      <w:r>
        <w:rPr>
          <w:rStyle w:val="FootnoteReference"/>
        </w:rPr>
        <w:footnoteReference w:id="3"/>
      </w:r>
      <w:r>
        <w:t xml:space="preserve"> (the Spectrum Plan).</w:t>
      </w:r>
    </w:p>
    <w:p w14:paraId="72D6B8A7" w14:textId="053F1729" w:rsidR="009B7397" w:rsidRPr="003674F3" w:rsidRDefault="009B7397" w:rsidP="009B7397">
      <w:pPr>
        <w:rPr>
          <w:rFonts w:cs="Arial"/>
        </w:rPr>
      </w:pPr>
      <w:r w:rsidRPr="003674F3">
        <w:rPr>
          <w:rFonts w:cs="Arial"/>
        </w:rPr>
        <w:t xml:space="preserve">This </w:t>
      </w:r>
      <w:r>
        <w:rPr>
          <w:rFonts w:cs="Arial"/>
        </w:rPr>
        <w:t xml:space="preserve">consultation </w:t>
      </w:r>
      <w:r w:rsidRPr="003674F3">
        <w:rPr>
          <w:rFonts w:cs="Arial"/>
        </w:rPr>
        <w:t>paper provides the context for the proposed variation</w:t>
      </w:r>
      <w:r w:rsidR="003A7FF8">
        <w:rPr>
          <w:rFonts w:cs="Arial"/>
        </w:rPr>
        <w:t>s</w:t>
      </w:r>
      <w:r w:rsidRPr="003674F3">
        <w:rPr>
          <w:rFonts w:cs="Arial"/>
        </w:rPr>
        <w:t xml:space="preserve"> to assist interested parties in preparing written comments. </w:t>
      </w:r>
    </w:p>
    <w:p w14:paraId="3276DB80" w14:textId="77777777" w:rsidR="009B7397" w:rsidRPr="003674F3" w:rsidRDefault="009B7397" w:rsidP="009B7397">
      <w:pPr>
        <w:spacing w:after="80"/>
        <w:rPr>
          <w:rFonts w:cs="Arial"/>
        </w:rPr>
      </w:pPr>
      <w:r w:rsidRPr="003674F3">
        <w:rPr>
          <w:rFonts w:cs="Arial"/>
        </w:rPr>
        <w:t>The paper provides:</w:t>
      </w:r>
    </w:p>
    <w:p w14:paraId="14CF88A8" w14:textId="77777777" w:rsidR="009B7397" w:rsidRPr="003674F3" w:rsidRDefault="009B7397" w:rsidP="009B7397">
      <w:pPr>
        <w:pStyle w:val="ListBullet"/>
      </w:pPr>
      <w:r>
        <w:t>a</w:t>
      </w:r>
      <w:r w:rsidRPr="003674F3">
        <w:t xml:space="preserve">n overview of class licensing and the LIPD </w:t>
      </w:r>
      <w:r>
        <w:t>C</w:t>
      </w:r>
      <w:r w:rsidRPr="003674F3">
        <w:t xml:space="preserve">lass </w:t>
      </w:r>
      <w:r>
        <w:t>L</w:t>
      </w:r>
      <w:r w:rsidRPr="003674F3">
        <w:t>icence</w:t>
      </w:r>
    </w:p>
    <w:p w14:paraId="78BA4F9F" w14:textId="77777777" w:rsidR="009B7397" w:rsidRPr="003674F3" w:rsidRDefault="009B7397" w:rsidP="009B7397">
      <w:pPr>
        <w:pStyle w:val="ListBullet"/>
      </w:pPr>
      <w:r>
        <w:t xml:space="preserve">a </w:t>
      </w:r>
      <w:r w:rsidRPr="003674F3">
        <w:t xml:space="preserve">description of the proposed </w:t>
      </w:r>
      <w:r>
        <w:t>variations</w:t>
      </w:r>
    </w:p>
    <w:p w14:paraId="1E8D889D" w14:textId="77777777" w:rsidR="009B7397" w:rsidRDefault="009B7397" w:rsidP="009B7397">
      <w:pPr>
        <w:pStyle w:val="ListBullet"/>
      </w:pPr>
      <w:r>
        <w:t>a</w:t>
      </w:r>
      <w:r w:rsidRPr="003674F3">
        <w:t>n invitation to comment on the proposed variation</w:t>
      </w:r>
      <w:r>
        <w:t>s</w:t>
      </w:r>
    </w:p>
    <w:p w14:paraId="36BEC0A2" w14:textId="77777777" w:rsidR="009B7397" w:rsidRDefault="009B7397" w:rsidP="009B7397">
      <w:pPr>
        <w:pStyle w:val="ListBulletLast"/>
      </w:pPr>
      <w:r>
        <w:t>an invitation for suggestions from industry and individuals on possible devices and technologies for inclusion in future updates.</w:t>
      </w:r>
    </w:p>
    <w:p w14:paraId="03BE1735" w14:textId="77777777" w:rsidR="003F78E4" w:rsidRDefault="009B7397" w:rsidP="003F78E4">
      <w:r w:rsidRPr="003674F3">
        <w:t xml:space="preserve">A copy of the </w:t>
      </w:r>
      <w:r>
        <w:t>proposed</w:t>
      </w:r>
      <w:r w:rsidRPr="003674F3">
        <w:t xml:space="preserve"> </w:t>
      </w:r>
      <w:r w:rsidRPr="003F78E4">
        <w:t>Radiocommunications (Low Interference Potential Devices) Class Licence Variation 2020 (No.1)</w:t>
      </w:r>
      <w:r>
        <w:t xml:space="preserve"> </w:t>
      </w:r>
      <w:r w:rsidRPr="003674F3">
        <w:t xml:space="preserve">is available </w:t>
      </w:r>
      <w:r w:rsidR="003F78E4">
        <w:t>in the key documents section of this consultation.</w:t>
      </w:r>
      <w:r w:rsidR="003F78E4" w:rsidRPr="003674F3">
        <w:t xml:space="preserve"> </w:t>
      </w:r>
    </w:p>
    <w:p w14:paraId="1AABB1AC" w14:textId="0CD6E00F" w:rsidR="009B7397" w:rsidRPr="003674F3" w:rsidRDefault="009B7397" w:rsidP="006C29C1">
      <w:pPr>
        <w:pStyle w:val="Paragraph"/>
      </w:pPr>
      <w:r>
        <w:t>A reference to an item of the LIPD Class Licence should be taken as a reference to an item of Schedule 1 to the LIPD Class Licence.</w:t>
      </w:r>
    </w:p>
    <w:p w14:paraId="47CBE2FC" w14:textId="77777777" w:rsidR="009B7397" w:rsidRPr="003674F3" w:rsidRDefault="009B7397" w:rsidP="009B7397">
      <w:pPr>
        <w:pStyle w:val="Heading2"/>
      </w:pPr>
      <w:bookmarkStart w:id="7" w:name="_Toc433891912"/>
      <w:bookmarkStart w:id="8" w:name="_Toc436317132"/>
      <w:bookmarkStart w:id="9" w:name="_Toc530477231"/>
      <w:bookmarkStart w:id="10" w:name="_Toc531355892"/>
      <w:bookmarkStart w:id="11" w:name="_Toc531943682"/>
      <w:bookmarkStart w:id="12" w:name="_Toc50732087"/>
      <w:r w:rsidRPr="003674F3">
        <w:t xml:space="preserve">Class licensing and the LIPD </w:t>
      </w:r>
      <w:r>
        <w:t>C</w:t>
      </w:r>
      <w:r w:rsidRPr="003674F3">
        <w:t xml:space="preserve">lass </w:t>
      </w:r>
      <w:r>
        <w:t>L</w:t>
      </w:r>
      <w:r w:rsidRPr="003674F3">
        <w:t>icence</w:t>
      </w:r>
      <w:bookmarkEnd w:id="7"/>
      <w:bookmarkEnd w:id="8"/>
      <w:bookmarkEnd w:id="9"/>
      <w:bookmarkEnd w:id="10"/>
      <w:bookmarkEnd w:id="11"/>
      <w:bookmarkEnd w:id="12"/>
    </w:p>
    <w:p w14:paraId="73CFACAB" w14:textId="18A45F64" w:rsidR="009B7397" w:rsidRPr="003674F3" w:rsidRDefault="009B7397" w:rsidP="009B7397">
      <w:pPr>
        <w:rPr>
          <w:rFonts w:cs="Arial"/>
        </w:rPr>
      </w:pPr>
      <w:r w:rsidRPr="003674F3">
        <w:rPr>
          <w:rFonts w:cs="Arial"/>
        </w:rPr>
        <w:t xml:space="preserve">It is </w:t>
      </w:r>
      <w:r>
        <w:rPr>
          <w:rFonts w:cs="Arial"/>
        </w:rPr>
        <w:t xml:space="preserve">a </w:t>
      </w:r>
      <w:r w:rsidRPr="003674F3">
        <w:rPr>
          <w:rFonts w:cs="Arial"/>
        </w:rPr>
        <w:t xml:space="preserve">general requirement </w:t>
      </w:r>
      <w:r w:rsidR="00144C50">
        <w:rPr>
          <w:rFonts w:cs="Arial"/>
        </w:rPr>
        <w:t xml:space="preserve">under </w:t>
      </w:r>
      <w:r w:rsidR="003A7FF8">
        <w:rPr>
          <w:rFonts w:cs="Arial"/>
        </w:rPr>
        <w:t>s</w:t>
      </w:r>
      <w:r w:rsidR="00144C50">
        <w:rPr>
          <w:rFonts w:cs="Arial"/>
        </w:rPr>
        <w:t xml:space="preserve">ection 46 </w:t>
      </w:r>
      <w:r w:rsidRPr="003674F3">
        <w:rPr>
          <w:rFonts w:cs="Arial"/>
        </w:rPr>
        <w:t xml:space="preserve">of the </w:t>
      </w:r>
      <w:r>
        <w:rPr>
          <w:rFonts w:cs="Arial"/>
        </w:rPr>
        <w:t>Act</w:t>
      </w:r>
      <w:r w:rsidRPr="003674F3">
        <w:rPr>
          <w:rFonts w:cs="Arial"/>
        </w:rPr>
        <w:t xml:space="preserve"> that the operation of all radiocommunications devices within Australia be authorised by a licence.</w:t>
      </w:r>
    </w:p>
    <w:p w14:paraId="01201522" w14:textId="072B7AC5" w:rsidR="009B7397" w:rsidRPr="003674F3" w:rsidRDefault="009B7397" w:rsidP="009B7397">
      <w:pPr>
        <w:rPr>
          <w:rFonts w:cs="Arial"/>
        </w:rPr>
      </w:pPr>
      <w:r>
        <w:rPr>
          <w:rFonts w:cs="Arial"/>
        </w:rPr>
        <w:t>A c</w:t>
      </w:r>
      <w:r w:rsidRPr="003674F3">
        <w:rPr>
          <w:rFonts w:cs="Arial"/>
        </w:rPr>
        <w:t>lass licen</w:t>
      </w:r>
      <w:r>
        <w:rPr>
          <w:rFonts w:cs="Arial"/>
        </w:rPr>
        <w:t>ce</w:t>
      </w:r>
      <w:r w:rsidRPr="003674F3">
        <w:rPr>
          <w:rFonts w:cs="Arial"/>
        </w:rPr>
        <w:t xml:space="preserve"> is one type of licence available to authorise the operation of radiocommunications devices.</w:t>
      </w:r>
      <w:r>
        <w:rPr>
          <w:rFonts w:cs="Arial"/>
        </w:rPr>
        <w:t xml:space="preserve"> </w:t>
      </w:r>
      <w:r w:rsidRPr="003674F3">
        <w:rPr>
          <w:rFonts w:cs="Arial"/>
        </w:rPr>
        <w:t xml:space="preserve">It is an effective and efficient means of spectrum management for services where a limited set of common frequencies is employed, and </w:t>
      </w:r>
      <w:r w:rsidR="006C29C1">
        <w:rPr>
          <w:rFonts w:cs="Arial"/>
        </w:rPr>
        <w:t xml:space="preserve">where </w:t>
      </w:r>
      <w:r w:rsidRPr="003674F3">
        <w:rPr>
          <w:rFonts w:cs="Arial"/>
        </w:rPr>
        <w:t>equipment is operated under a common set of conditions.</w:t>
      </w:r>
      <w:r>
        <w:rPr>
          <w:rFonts w:cs="Arial"/>
        </w:rPr>
        <w:t xml:space="preserve"> </w:t>
      </w:r>
    </w:p>
    <w:p w14:paraId="46D77A50" w14:textId="7DCA2352" w:rsidR="009B7397" w:rsidRPr="003674F3" w:rsidRDefault="009B7397" w:rsidP="009B7397">
      <w:pPr>
        <w:rPr>
          <w:rFonts w:cs="Arial"/>
        </w:rPr>
      </w:pPr>
      <w:r>
        <w:rPr>
          <w:rFonts w:cs="Arial"/>
        </w:rPr>
        <w:t>A</w:t>
      </w:r>
      <w:r w:rsidRPr="003674F3">
        <w:rPr>
          <w:rFonts w:cs="Arial"/>
        </w:rPr>
        <w:t xml:space="preserve"> class licence sets out the conditions under which any person is permitted to operate any device to which the class licence is applicable</w:t>
      </w:r>
      <w:r w:rsidR="00B70B10">
        <w:rPr>
          <w:rFonts w:cs="Arial"/>
        </w:rPr>
        <w:t>. It</w:t>
      </w:r>
      <w:r w:rsidRPr="003674F3">
        <w:rPr>
          <w:rFonts w:cs="Arial"/>
        </w:rPr>
        <w:t xml:space="preserve"> is not issued to an individual user and does not involve the payment of licence fees.</w:t>
      </w:r>
      <w:r>
        <w:rPr>
          <w:rFonts w:cs="Arial"/>
        </w:rPr>
        <w:t xml:space="preserve"> A class licence is </w:t>
      </w:r>
      <w:r w:rsidR="00144C50">
        <w:rPr>
          <w:rFonts w:cs="Arial"/>
        </w:rPr>
        <w:t xml:space="preserve">made </w:t>
      </w:r>
      <w:r>
        <w:rPr>
          <w:rFonts w:cs="Arial"/>
        </w:rPr>
        <w:t xml:space="preserve">by the ACMA under section 132 of the Act by making a </w:t>
      </w:r>
      <w:r w:rsidRPr="003674F3">
        <w:rPr>
          <w:rFonts w:cs="Arial"/>
        </w:rPr>
        <w:t xml:space="preserve">legislative instrument </w:t>
      </w:r>
      <w:r>
        <w:rPr>
          <w:rFonts w:cs="Arial"/>
        </w:rPr>
        <w:t>that is</w:t>
      </w:r>
      <w:r w:rsidRPr="003674F3">
        <w:rPr>
          <w:rFonts w:cs="Arial"/>
        </w:rPr>
        <w:t xml:space="preserve"> registered</w:t>
      </w:r>
      <w:r w:rsidR="000A4FD3">
        <w:rPr>
          <w:rFonts w:cs="Arial"/>
        </w:rPr>
        <w:t>, and accessible free of charge,</w:t>
      </w:r>
      <w:r w:rsidRPr="003674F3">
        <w:rPr>
          <w:rFonts w:cs="Arial"/>
        </w:rPr>
        <w:t xml:space="preserve"> on the Federal Register of </w:t>
      </w:r>
      <w:r>
        <w:rPr>
          <w:rFonts w:cs="Arial"/>
        </w:rPr>
        <w:t>Legislation</w:t>
      </w:r>
      <w:r w:rsidRPr="003674F3">
        <w:rPr>
          <w:rFonts w:cs="Arial"/>
        </w:rPr>
        <w:t xml:space="preserve"> (see </w:t>
      </w:r>
      <w:hyperlink r:id="rId24" w:history="1">
        <w:r>
          <w:rPr>
            <w:rStyle w:val="Hyperlink"/>
            <w:rFonts w:cs="Arial"/>
          </w:rPr>
          <w:t>legislation.gov.au</w:t>
        </w:r>
      </w:hyperlink>
      <w:r w:rsidRPr="003674F3">
        <w:rPr>
          <w:rFonts w:cs="Arial"/>
        </w:rPr>
        <w:t>).</w:t>
      </w:r>
      <w:r>
        <w:rPr>
          <w:rFonts w:cs="Arial"/>
        </w:rPr>
        <w:t xml:space="preserve"> </w:t>
      </w:r>
    </w:p>
    <w:p w14:paraId="537C3B69" w14:textId="77777777" w:rsidR="009B7397" w:rsidRDefault="009B7397" w:rsidP="003F78E4">
      <w:pPr>
        <w:pStyle w:val="Paragraphbeforelist"/>
      </w:pPr>
      <w:r w:rsidRPr="003674F3">
        <w:t xml:space="preserve">The LIPD </w:t>
      </w:r>
      <w:r>
        <w:t>C</w:t>
      </w:r>
      <w:r w:rsidRPr="003674F3">
        <w:t xml:space="preserve">lass </w:t>
      </w:r>
      <w:r>
        <w:t>L</w:t>
      </w:r>
      <w:r w:rsidRPr="003674F3">
        <w:t>icence</w:t>
      </w:r>
      <w:r w:rsidRPr="003674F3">
        <w:rPr>
          <w:i/>
        </w:rPr>
        <w:t xml:space="preserve"> </w:t>
      </w:r>
      <w:r w:rsidRPr="003674F3">
        <w:t>authorises the operation of a wide range of radiocommunications devices in various segments of the radiofrequency spectrum</w:t>
      </w:r>
      <w:r>
        <w:t xml:space="preserve">. </w:t>
      </w:r>
      <w:r>
        <w:lastRenderedPageBreak/>
        <w:t>These devices are considered to have a low potential to cause interference to other devices due to their technical and operational characteristics. Example characteristics that contribute to a low potential for interference include:</w:t>
      </w:r>
    </w:p>
    <w:p w14:paraId="6000031C" w14:textId="5805E434" w:rsidR="009B7397" w:rsidRDefault="009B7397" w:rsidP="009B7397">
      <w:pPr>
        <w:pStyle w:val="ListBullet"/>
      </w:pPr>
      <w:r w:rsidRPr="006B12D2">
        <w:t xml:space="preserve">low power </w:t>
      </w:r>
    </w:p>
    <w:p w14:paraId="7B842C73" w14:textId="77777777" w:rsidR="009B7397" w:rsidRDefault="009B7397" w:rsidP="009B7397">
      <w:pPr>
        <w:pStyle w:val="ListBullet"/>
      </w:pPr>
      <w:r w:rsidRPr="006B12D2">
        <w:t>low duty cycle of transmissions</w:t>
      </w:r>
    </w:p>
    <w:p w14:paraId="18AA2B78" w14:textId="75107F52" w:rsidR="009B7397" w:rsidRDefault="009B7397" w:rsidP="009B7397">
      <w:pPr>
        <w:pStyle w:val="ListBullet"/>
      </w:pPr>
      <w:r w:rsidRPr="006B12D2">
        <w:t>low spectral den</w:t>
      </w:r>
      <w:r>
        <w:t xml:space="preserve">sity </w:t>
      </w:r>
    </w:p>
    <w:p w14:paraId="53525F74" w14:textId="5F9F0A8A" w:rsidR="009B7397" w:rsidRDefault="009B7397" w:rsidP="009B7397">
      <w:pPr>
        <w:pStyle w:val="ListBullet"/>
      </w:pPr>
      <w:r w:rsidRPr="006B12D2">
        <w:t xml:space="preserve">use </w:t>
      </w:r>
      <w:r>
        <w:t xml:space="preserve">that </w:t>
      </w:r>
      <w:r w:rsidRPr="006B12D2">
        <w:t>is limited to indoor</w:t>
      </w:r>
      <w:r>
        <w:t>s</w:t>
      </w:r>
      <w:r w:rsidR="00C864EC">
        <w:t>,</w:t>
      </w:r>
      <w:r w:rsidRPr="006B12D2">
        <w:t xml:space="preserve"> mitigating the potential to caus</w:t>
      </w:r>
      <w:r>
        <w:t>e interference to other</w:t>
      </w:r>
      <w:r w:rsidR="00C864EC">
        <w:t> </w:t>
      </w:r>
      <w:r>
        <w:t>devices</w:t>
      </w:r>
    </w:p>
    <w:p w14:paraId="1A24BC36" w14:textId="42734563" w:rsidR="009B7397" w:rsidRPr="003674F3" w:rsidRDefault="009B7397" w:rsidP="009B7397">
      <w:pPr>
        <w:pStyle w:val="ListBulletLast"/>
      </w:pPr>
      <w:r>
        <w:t xml:space="preserve">interference </w:t>
      </w:r>
      <w:r w:rsidR="00F54B25">
        <w:t xml:space="preserve">that </w:t>
      </w:r>
      <w:r>
        <w:t xml:space="preserve">can be self-managed by users. </w:t>
      </w:r>
    </w:p>
    <w:p w14:paraId="0E5519A5" w14:textId="67CEF3AA" w:rsidR="009B7397" w:rsidRPr="003674F3" w:rsidRDefault="009B7397" w:rsidP="009B7397">
      <w:pPr>
        <w:rPr>
          <w:rFonts w:cs="Arial"/>
        </w:rPr>
      </w:pPr>
      <w:r w:rsidRPr="003674F3">
        <w:rPr>
          <w:rFonts w:cs="Arial"/>
        </w:rPr>
        <w:t>It is a condition of th</w:t>
      </w:r>
      <w:r>
        <w:rPr>
          <w:rFonts w:cs="Arial"/>
        </w:rPr>
        <w:t>e LIPD</w:t>
      </w:r>
      <w:r w:rsidRPr="003674F3">
        <w:rPr>
          <w:rFonts w:cs="Arial"/>
        </w:rPr>
        <w:t xml:space="preserve"> </w:t>
      </w:r>
      <w:r>
        <w:rPr>
          <w:rFonts w:cs="Arial"/>
        </w:rPr>
        <w:t>C</w:t>
      </w:r>
      <w:r w:rsidRPr="003674F3">
        <w:rPr>
          <w:rFonts w:cs="Arial"/>
        </w:rPr>
        <w:t xml:space="preserve">lass </w:t>
      </w:r>
      <w:r>
        <w:rPr>
          <w:rFonts w:cs="Arial"/>
        </w:rPr>
        <w:t>L</w:t>
      </w:r>
      <w:r w:rsidRPr="003674F3">
        <w:rPr>
          <w:rFonts w:cs="Arial"/>
        </w:rPr>
        <w:t>icence that the operation of a radiocommunications device does not cause interference to other radioc</w:t>
      </w:r>
      <w:r>
        <w:rPr>
          <w:rFonts w:cs="Arial"/>
        </w:rPr>
        <w:t xml:space="preserve">ommunications services (see paragraph 4(1)(b) of the LIPD Class Licence). </w:t>
      </w:r>
      <w:r w:rsidRPr="003674F3">
        <w:rPr>
          <w:rFonts w:cs="Arial"/>
        </w:rPr>
        <w:t xml:space="preserve">A device </w:t>
      </w:r>
      <w:r w:rsidR="000A4FD3">
        <w:rPr>
          <w:rFonts w:cs="Arial"/>
        </w:rPr>
        <w:t>operated</w:t>
      </w:r>
      <w:r w:rsidRPr="003674F3">
        <w:rPr>
          <w:rFonts w:cs="Arial"/>
        </w:rPr>
        <w:t xml:space="preserve"> under th</w:t>
      </w:r>
      <w:r>
        <w:rPr>
          <w:rFonts w:cs="Arial"/>
        </w:rPr>
        <w:t>e LIPD</w:t>
      </w:r>
      <w:r w:rsidRPr="003674F3">
        <w:rPr>
          <w:rFonts w:cs="Arial"/>
        </w:rPr>
        <w:t xml:space="preserve"> </w:t>
      </w:r>
      <w:r>
        <w:rPr>
          <w:rFonts w:cs="Arial"/>
        </w:rPr>
        <w:t>C</w:t>
      </w:r>
      <w:r w:rsidRPr="003674F3">
        <w:rPr>
          <w:rFonts w:cs="Arial"/>
        </w:rPr>
        <w:t xml:space="preserve">lass </w:t>
      </w:r>
      <w:r>
        <w:rPr>
          <w:rFonts w:cs="Arial"/>
        </w:rPr>
        <w:t>L</w:t>
      </w:r>
      <w:r w:rsidRPr="003674F3">
        <w:rPr>
          <w:rFonts w:cs="Arial"/>
        </w:rPr>
        <w:t xml:space="preserve">icence will also not be afforded protection from interference caused by other radiocommunications devices </w:t>
      </w:r>
      <w:r>
        <w:rPr>
          <w:rFonts w:cs="Arial"/>
        </w:rPr>
        <w:t xml:space="preserve">operated </w:t>
      </w:r>
      <w:r w:rsidRPr="003674F3">
        <w:rPr>
          <w:rFonts w:cs="Arial"/>
        </w:rPr>
        <w:t xml:space="preserve">under the </w:t>
      </w:r>
      <w:r>
        <w:rPr>
          <w:rFonts w:cs="Arial"/>
        </w:rPr>
        <w:t>LIPD Class L</w:t>
      </w:r>
      <w:r w:rsidRPr="003674F3">
        <w:rPr>
          <w:rFonts w:cs="Arial"/>
        </w:rPr>
        <w:t>icence.</w:t>
      </w:r>
      <w:r>
        <w:rPr>
          <w:rFonts w:cs="Arial"/>
        </w:rPr>
        <w:t xml:space="preserve"> </w:t>
      </w:r>
      <w:r w:rsidRPr="003674F3">
        <w:rPr>
          <w:rFonts w:cs="Arial"/>
        </w:rPr>
        <w:t>I</w:t>
      </w:r>
      <w:r>
        <w:rPr>
          <w:rFonts w:cs="Arial"/>
        </w:rPr>
        <w:t>f</w:t>
      </w:r>
      <w:r w:rsidRPr="003674F3">
        <w:rPr>
          <w:rFonts w:cs="Arial"/>
        </w:rPr>
        <w:t xml:space="preserve"> interference does occur, it is the responsibility of the user of the radiocommunications device</w:t>
      </w:r>
      <w:r>
        <w:rPr>
          <w:rFonts w:cs="Arial"/>
        </w:rPr>
        <w:t xml:space="preserve"> authorised by the LIPD Class Licence</w:t>
      </w:r>
      <w:r w:rsidRPr="003674F3">
        <w:rPr>
          <w:rFonts w:cs="Arial"/>
        </w:rPr>
        <w:t xml:space="preserve"> to take measures to resolve that interference. </w:t>
      </w:r>
    </w:p>
    <w:p w14:paraId="71C580FE" w14:textId="65B65B19" w:rsidR="009B7397" w:rsidRDefault="00C43971" w:rsidP="009B7397">
      <w:pPr>
        <w:rPr>
          <w:rFonts w:cs="Arial"/>
        </w:rPr>
      </w:pPr>
      <w:r>
        <w:rPr>
          <w:rFonts w:cs="Arial"/>
        </w:rPr>
        <w:t>T</w:t>
      </w:r>
      <w:r w:rsidR="009B7397" w:rsidRPr="003674F3">
        <w:rPr>
          <w:rFonts w:cs="Arial"/>
        </w:rPr>
        <w:t xml:space="preserve">ransmitters authorised by the LIPD </w:t>
      </w:r>
      <w:r w:rsidR="009B7397">
        <w:rPr>
          <w:rFonts w:cs="Arial"/>
        </w:rPr>
        <w:t>C</w:t>
      </w:r>
      <w:r w:rsidR="009B7397" w:rsidRPr="003674F3">
        <w:rPr>
          <w:rFonts w:cs="Arial"/>
        </w:rPr>
        <w:t xml:space="preserve">lass </w:t>
      </w:r>
      <w:r w:rsidR="009B7397">
        <w:rPr>
          <w:rFonts w:cs="Arial"/>
        </w:rPr>
        <w:t>L</w:t>
      </w:r>
      <w:r w:rsidR="009B7397" w:rsidRPr="003674F3">
        <w:rPr>
          <w:rFonts w:cs="Arial"/>
        </w:rPr>
        <w:t>icence do not require individual frequency coordination for interference management purposes.</w:t>
      </w:r>
      <w:r w:rsidR="009B7397">
        <w:rPr>
          <w:rFonts w:cs="Arial"/>
        </w:rPr>
        <w:t xml:space="preserve"> </w:t>
      </w:r>
      <w:r w:rsidR="009B7397" w:rsidRPr="003674F3">
        <w:rPr>
          <w:rFonts w:cs="Arial"/>
        </w:rPr>
        <w:t>Examples of equipment covered by the</w:t>
      </w:r>
      <w:r w:rsidR="009B7397">
        <w:rPr>
          <w:rFonts w:cs="Arial"/>
        </w:rPr>
        <w:t xml:space="preserve"> LIPD</w:t>
      </w:r>
      <w:r w:rsidR="009B7397" w:rsidRPr="003674F3">
        <w:rPr>
          <w:rFonts w:cs="Arial"/>
        </w:rPr>
        <w:t xml:space="preserve"> </w:t>
      </w:r>
      <w:r w:rsidR="009B7397">
        <w:rPr>
          <w:rFonts w:cs="Arial"/>
        </w:rPr>
        <w:t>C</w:t>
      </w:r>
      <w:r w:rsidR="009B7397" w:rsidRPr="003674F3">
        <w:rPr>
          <w:rFonts w:cs="Arial"/>
        </w:rPr>
        <w:t xml:space="preserve">lass </w:t>
      </w:r>
      <w:r w:rsidR="009B7397">
        <w:rPr>
          <w:rFonts w:cs="Arial"/>
        </w:rPr>
        <w:t>L</w:t>
      </w:r>
      <w:r w:rsidR="009B7397" w:rsidRPr="003674F3">
        <w:rPr>
          <w:rFonts w:cs="Arial"/>
        </w:rPr>
        <w:t xml:space="preserve">icence include </w:t>
      </w:r>
      <w:r w:rsidR="009B7397" w:rsidRPr="004D1F0E">
        <w:rPr>
          <w:rFonts w:cs="Arial"/>
        </w:rPr>
        <w:t xml:space="preserve">wireless microphones, electronic road tolling systems, industrial sensors, </w:t>
      </w:r>
      <w:r w:rsidR="009B7397">
        <w:rPr>
          <w:rFonts w:cs="Arial"/>
        </w:rPr>
        <w:t xml:space="preserve">underground transmitters, </w:t>
      </w:r>
      <w:r w:rsidR="008D4B76">
        <w:rPr>
          <w:rFonts w:cs="Arial"/>
        </w:rPr>
        <w:t>w</w:t>
      </w:r>
      <w:r w:rsidR="009B7397" w:rsidRPr="004D1F0E">
        <w:rPr>
          <w:rFonts w:cs="Arial"/>
        </w:rPr>
        <w:t>i-</w:t>
      </w:r>
      <w:r w:rsidR="008D4B76">
        <w:rPr>
          <w:rFonts w:cs="Arial"/>
        </w:rPr>
        <w:t>f</w:t>
      </w:r>
      <w:r w:rsidR="009B7397" w:rsidRPr="004D1F0E">
        <w:rPr>
          <w:rFonts w:cs="Arial"/>
        </w:rPr>
        <w:t>i and Bluetooth devices</w:t>
      </w:r>
      <w:r w:rsidR="009B7397" w:rsidRPr="003674F3">
        <w:rPr>
          <w:rFonts w:cs="Arial"/>
        </w:rPr>
        <w:t>.</w:t>
      </w:r>
    </w:p>
    <w:p w14:paraId="40F27700" w14:textId="77777777" w:rsidR="009B7397" w:rsidRDefault="009B7397" w:rsidP="009B7397">
      <w:pPr>
        <w:rPr>
          <w:rFonts w:cs="Arial"/>
        </w:rPr>
      </w:pPr>
      <w:r>
        <w:rPr>
          <w:rFonts w:cs="Arial"/>
        </w:rPr>
        <w:t xml:space="preserve">In addition to the proposed updates detailed in this paper, the ACMA invites suggestions from industry and individuals on devices and technologies for possible inclusion in the list of transmitters authorised under the LIPD Class Licence in future updates. </w:t>
      </w:r>
    </w:p>
    <w:p w14:paraId="30CC160A" w14:textId="77777777" w:rsidR="009B7397" w:rsidRDefault="009B7397" w:rsidP="009B7397">
      <w:pPr>
        <w:pStyle w:val="Heading2"/>
      </w:pPr>
      <w:bookmarkStart w:id="13" w:name="_Toc531355901"/>
      <w:bookmarkStart w:id="14" w:name="_Toc531943683"/>
      <w:bookmarkStart w:id="15" w:name="_Toc50732088"/>
      <w:r w:rsidRPr="003674F3">
        <w:t xml:space="preserve">LIPD </w:t>
      </w:r>
      <w:r>
        <w:t>C</w:t>
      </w:r>
      <w:r w:rsidRPr="003674F3">
        <w:t xml:space="preserve">lass </w:t>
      </w:r>
      <w:r>
        <w:t>L</w:t>
      </w:r>
      <w:r w:rsidRPr="003674F3">
        <w:t>icence</w:t>
      </w:r>
      <w:r>
        <w:t xml:space="preserve"> and standards</w:t>
      </w:r>
      <w:bookmarkEnd w:id="13"/>
      <w:bookmarkEnd w:id="14"/>
      <w:bookmarkEnd w:id="15"/>
    </w:p>
    <w:p w14:paraId="20764BB6" w14:textId="39910AB3" w:rsidR="009B7397" w:rsidRDefault="006C29C1" w:rsidP="009B7397">
      <w:r>
        <w:t>T</w:t>
      </w:r>
      <w:r w:rsidR="009B7397" w:rsidRPr="00A34B0B">
        <w:t xml:space="preserve">he </w:t>
      </w:r>
      <w:r w:rsidR="009B7397">
        <w:t xml:space="preserve">LIPD Class Licence </w:t>
      </w:r>
      <w:r w:rsidR="009B7397" w:rsidRPr="00A34B0B">
        <w:t>operates</w:t>
      </w:r>
      <w:r w:rsidR="00C43971">
        <w:t>, in part,</w:t>
      </w:r>
      <w:r w:rsidR="009B7397" w:rsidRPr="00A34B0B">
        <w:t xml:space="preserve"> in concert with the </w:t>
      </w:r>
      <w:r w:rsidR="009B7397" w:rsidRPr="003F78E4">
        <w:rPr>
          <w:iCs/>
        </w:rPr>
        <w:t>Radiocommunications (Short Range Devices) Standard 2014</w:t>
      </w:r>
      <w:r w:rsidR="009B7397" w:rsidRPr="00A34B0B">
        <w:rPr>
          <w:i/>
        </w:rPr>
        <w:t xml:space="preserve"> </w:t>
      </w:r>
      <w:r w:rsidR="009B7397">
        <w:t xml:space="preserve">(the </w:t>
      </w:r>
      <w:proofErr w:type="gramStart"/>
      <w:r w:rsidR="009B7397" w:rsidRPr="00B261DD">
        <w:t>Short Range</w:t>
      </w:r>
      <w:proofErr w:type="gramEnd"/>
      <w:r w:rsidR="009B7397" w:rsidRPr="00B261DD">
        <w:t xml:space="preserve"> Devices </w:t>
      </w:r>
      <w:r w:rsidR="009B7397">
        <w:t xml:space="preserve">Standard) </w:t>
      </w:r>
      <w:r w:rsidR="009B7397" w:rsidRPr="00A34B0B">
        <w:t>made by the ACMA under section 162 of the Act.</w:t>
      </w:r>
      <w:r w:rsidR="009B7397">
        <w:t xml:space="preserve"> </w:t>
      </w:r>
    </w:p>
    <w:p w14:paraId="754342EE" w14:textId="77777777" w:rsidR="009B7397" w:rsidRDefault="009B7397" w:rsidP="009B7397">
      <w:r w:rsidRPr="00B261DD">
        <w:t xml:space="preserve">The LIPD Class Licence authorises the operation of specified devices, while the </w:t>
      </w:r>
      <w:proofErr w:type="gramStart"/>
      <w:r w:rsidRPr="00B261DD">
        <w:t>Short Range</w:t>
      </w:r>
      <w:proofErr w:type="gramEnd"/>
      <w:r w:rsidRPr="00B261DD">
        <w:t xml:space="preserve"> Devices Standard regulates the technical performance of devices supplied to the Australian market.</w:t>
      </w:r>
    </w:p>
    <w:p w14:paraId="306B9F0B" w14:textId="4A3D174C" w:rsidR="009B7397" w:rsidRDefault="009B7397" w:rsidP="009B7397">
      <w:r w:rsidRPr="00B261DD">
        <w:t xml:space="preserve">The Short Range Devices Standard specifies that the applicable standard </w:t>
      </w:r>
      <w:r w:rsidR="000A4FD3">
        <w:t xml:space="preserve">for devices </w:t>
      </w:r>
      <w:r w:rsidRPr="00B261DD">
        <w:t xml:space="preserve">is either the standard listed in the LIPD Class Licence or, if no standard is listed, the Standards Australia standard </w:t>
      </w:r>
      <w:r w:rsidR="005557DE">
        <w:t>‘</w:t>
      </w:r>
      <w:r w:rsidRPr="003F78E4">
        <w:rPr>
          <w:iCs/>
        </w:rPr>
        <w:t>AS/NZS 4268:2017 Radio equipment and systems—Short range devices—Limits and methods of measurement (</w:t>
      </w:r>
      <w:r w:rsidR="000A4FD3" w:rsidRPr="003F78E4">
        <w:rPr>
          <w:iCs/>
        </w:rPr>
        <w:t>AS/NZS 4268</w:t>
      </w:r>
      <w:r w:rsidRPr="003F78E4">
        <w:rPr>
          <w:iCs/>
        </w:rPr>
        <w:t>)</w:t>
      </w:r>
      <w:r w:rsidR="005557DE">
        <w:t>’</w:t>
      </w:r>
      <w:r>
        <w:t>.</w:t>
      </w:r>
    </w:p>
    <w:p w14:paraId="2BC14921" w14:textId="77777777" w:rsidR="009B7397" w:rsidRDefault="009B7397" w:rsidP="009B7397">
      <w:r>
        <w:t xml:space="preserve">There is a 12-month transition period whenever arrangements change before compliance with the new requirements of the </w:t>
      </w:r>
      <w:proofErr w:type="gramStart"/>
      <w:r w:rsidRPr="00B261DD">
        <w:t>Short Range</w:t>
      </w:r>
      <w:proofErr w:type="gramEnd"/>
      <w:r w:rsidRPr="00B261DD">
        <w:t xml:space="preserve"> Devices Standard </w:t>
      </w:r>
      <w:r>
        <w:t>becomes mandatory.</w:t>
      </w:r>
    </w:p>
    <w:p w14:paraId="311F528D" w14:textId="77777777" w:rsidR="009B7397" w:rsidRDefault="009B7397" w:rsidP="009B7397">
      <w:r>
        <w:t>Under these arrangements, the ACMA is able to regulate both the operation of the devices (via t</w:t>
      </w:r>
      <w:r w:rsidRPr="00A34B0B">
        <w:t xml:space="preserve">he </w:t>
      </w:r>
      <w:r>
        <w:t xml:space="preserve">LIPD Class Licence itself) and their supply to market (via </w:t>
      </w:r>
      <w:r w:rsidRPr="00A34B0B">
        <w:t xml:space="preserve">the </w:t>
      </w:r>
      <w:proofErr w:type="gramStart"/>
      <w:r>
        <w:t>Short Range</w:t>
      </w:r>
      <w:proofErr w:type="gramEnd"/>
      <w:r>
        <w:t xml:space="preserve"> Devices S</w:t>
      </w:r>
      <w:r w:rsidRPr="00A34B0B">
        <w:t>tandard</w:t>
      </w:r>
      <w:r>
        <w:t xml:space="preserve">, </w:t>
      </w:r>
      <w:r w:rsidRPr="00A34B0B">
        <w:t>augmented by labelling and record</w:t>
      </w:r>
      <w:r>
        <w:t>-</w:t>
      </w:r>
      <w:r w:rsidRPr="00A34B0B">
        <w:t>keeping requirements).</w:t>
      </w:r>
    </w:p>
    <w:p w14:paraId="19AEC3B7" w14:textId="2B456818" w:rsidR="009B7397" w:rsidRDefault="009B7397" w:rsidP="009B7397">
      <w:r>
        <w:t>If the variation</w:t>
      </w:r>
      <w:r w:rsidR="003A7FF8">
        <w:t>s</w:t>
      </w:r>
      <w:r>
        <w:t xml:space="preserve"> to the LIPD Class Licence </w:t>
      </w:r>
      <w:r w:rsidR="003A7FF8">
        <w:t xml:space="preserve">proposed in this consultation paper are </w:t>
      </w:r>
      <w:r>
        <w:t xml:space="preserve">made, the applicable standards for </w:t>
      </w:r>
      <w:r w:rsidR="000A4FD3">
        <w:t>devices</w:t>
      </w:r>
      <w:r>
        <w:t xml:space="preserve"> subject to the variation will</w:t>
      </w:r>
      <w:r w:rsidR="000A4FD3">
        <w:t>, in all cases,</w:t>
      </w:r>
      <w:r>
        <w:t xml:space="preserve"> be those standards listed in the LIPD Class Licence. </w:t>
      </w:r>
    </w:p>
    <w:p w14:paraId="5270AEC1" w14:textId="7F16902D" w:rsidR="000B4664" w:rsidRDefault="00752EF7" w:rsidP="000B4664">
      <w:pPr>
        <w:pStyle w:val="Heading1"/>
      </w:pPr>
      <w:bookmarkStart w:id="16" w:name="_Toc50732089"/>
      <w:r>
        <w:lastRenderedPageBreak/>
        <w:t>Proposed updates</w:t>
      </w:r>
      <w:bookmarkEnd w:id="16"/>
    </w:p>
    <w:p w14:paraId="40D9F77A" w14:textId="7E8E7B0F" w:rsidR="003322F7" w:rsidRDefault="003322F7" w:rsidP="003F78E4">
      <w:pPr>
        <w:pStyle w:val="Paragraphbeforelist"/>
      </w:pPr>
      <w:r w:rsidRPr="00752EF7">
        <w:t xml:space="preserve">The proposed updates </w:t>
      </w:r>
      <w:r>
        <w:t xml:space="preserve">to the LIPD class licence </w:t>
      </w:r>
      <w:r w:rsidRPr="00752EF7">
        <w:t xml:space="preserve">are contained in the draft </w:t>
      </w:r>
      <w:r w:rsidRPr="003F78E4">
        <w:t>Radiocommunications (Low Interference Potential Devices) Class Licence Variation 2020 (No.1)</w:t>
      </w:r>
      <w:r>
        <w:t xml:space="preserve">. </w:t>
      </w:r>
      <w:bookmarkStart w:id="17" w:name="_Hlk49947348"/>
      <w:r>
        <w:t>These proposed updates are outlined in more detail below and include:</w:t>
      </w:r>
      <w:bookmarkStart w:id="18" w:name="_Hlk48641620"/>
    </w:p>
    <w:p w14:paraId="61C335EA" w14:textId="12FA7EE8" w:rsidR="003322F7" w:rsidRPr="003322F7" w:rsidRDefault="00CC2097" w:rsidP="003322F7">
      <w:pPr>
        <w:pStyle w:val="Bulletlevel1"/>
        <w:rPr>
          <w:b/>
          <w:vanish/>
        </w:rPr>
      </w:pPr>
      <w:bookmarkStart w:id="19" w:name="_Hlk48737446"/>
      <w:r>
        <w:t>N</w:t>
      </w:r>
      <w:r w:rsidR="003322F7" w:rsidRPr="003322F7">
        <w:t xml:space="preserve">ew arrangements for wireless broadband in the </w:t>
      </w:r>
      <w:r w:rsidR="000A4FD3">
        <w:t xml:space="preserve">frequency </w:t>
      </w:r>
      <w:r w:rsidR="003322F7" w:rsidRPr="003322F7">
        <w:t>range 24.25</w:t>
      </w:r>
      <w:r>
        <w:t>–</w:t>
      </w:r>
      <w:r w:rsidR="003322F7" w:rsidRPr="003322F7">
        <w:t xml:space="preserve">25.1 GHz </w:t>
      </w:r>
      <w:bookmarkEnd w:id="19"/>
      <w:r w:rsidR="003322F7" w:rsidRPr="003322F7">
        <w:t xml:space="preserve">as announced in the </w:t>
      </w:r>
      <w:hyperlink r:id="rId25" w:history="1">
        <w:r w:rsidR="003322F7" w:rsidRPr="003322F7">
          <w:rPr>
            <w:rStyle w:val="Hyperlink"/>
          </w:rPr>
          <w:t>Future use of the 26 GHz band—Planning decisions and preliminary views decision paper</w:t>
        </w:r>
      </w:hyperlink>
      <w:r w:rsidR="003322F7" w:rsidRPr="003322F7">
        <w:t xml:space="preserve"> </w:t>
      </w:r>
      <w:r w:rsidR="006C6840">
        <w:t xml:space="preserve">(the 26 GHz decision paper). </w:t>
      </w:r>
    </w:p>
    <w:p w14:paraId="04F7CA95" w14:textId="492EA8DE" w:rsidR="003322F7" w:rsidRPr="00C35CCE" w:rsidRDefault="00CC2097" w:rsidP="003322F7">
      <w:pPr>
        <w:pStyle w:val="Bulletlevel1"/>
        <w:rPr>
          <w:b/>
          <w:vanish/>
        </w:rPr>
      </w:pPr>
      <w:r>
        <w:t>I</w:t>
      </w:r>
      <w:r w:rsidR="003322F7" w:rsidRPr="003322F7">
        <w:t xml:space="preserve">ncorporating </w:t>
      </w:r>
      <w:bookmarkStart w:id="20" w:name="_Hlk48737470"/>
      <w:r w:rsidR="003322F7" w:rsidRPr="003322F7">
        <w:t xml:space="preserve">arrangements for IoT devices in the 900 MHz band </w:t>
      </w:r>
      <w:bookmarkEnd w:id="20"/>
      <w:r w:rsidR="003322F7" w:rsidRPr="003322F7">
        <w:t>from the 2015</w:t>
      </w:r>
      <w:r>
        <w:t> </w:t>
      </w:r>
      <w:r w:rsidR="00E87EF0">
        <w:t xml:space="preserve">paper </w:t>
      </w:r>
      <w:hyperlink r:id="rId26" w:history="1">
        <w:r w:rsidR="00E87EF0" w:rsidRPr="00AD3851">
          <w:rPr>
            <w:rStyle w:val="Hyperlink"/>
          </w:rPr>
          <w:t>The ACMA’s long-term strategy for the 803</w:t>
        </w:r>
        <w:r>
          <w:rPr>
            <w:rStyle w:val="Hyperlink"/>
          </w:rPr>
          <w:t>–</w:t>
        </w:r>
        <w:r w:rsidR="00E87EF0" w:rsidRPr="00AD3851">
          <w:rPr>
            <w:rStyle w:val="Hyperlink"/>
          </w:rPr>
          <w:t>960 MHz band</w:t>
        </w:r>
      </w:hyperlink>
      <w:r w:rsidR="003322F7" w:rsidRPr="003322F7">
        <w:t xml:space="preserve"> </w:t>
      </w:r>
      <w:r w:rsidR="00E87EF0">
        <w:t xml:space="preserve">(the </w:t>
      </w:r>
      <w:r>
        <w:br/>
      </w:r>
      <w:r w:rsidR="00E87EF0">
        <w:t>803</w:t>
      </w:r>
      <w:r>
        <w:t>–</w:t>
      </w:r>
      <w:r w:rsidR="00E87EF0">
        <w:t>960 MHz decision paper)</w:t>
      </w:r>
      <w:r w:rsidR="003A7FF8">
        <w:t>.</w:t>
      </w:r>
    </w:p>
    <w:p w14:paraId="05BEFC44" w14:textId="1E113148" w:rsidR="003322F7" w:rsidRDefault="00CC2097" w:rsidP="003322F7">
      <w:pPr>
        <w:pStyle w:val="Bulletlevel1"/>
      </w:pPr>
      <w:r>
        <w:t>N</w:t>
      </w:r>
      <w:r w:rsidR="003322F7" w:rsidRPr="003322F7">
        <w:t xml:space="preserve">ew arrangements for IoT in </w:t>
      </w:r>
      <w:r w:rsidR="003A7FF8">
        <w:t xml:space="preserve">the </w:t>
      </w:r>
      <w:r w:rsidR="003322F7" w:rsidRPr="003322F7">
        <w:t xml:space="preserve">VHF High Band </w:t>
      </w:r>
      <w:r w:rsidR="000D61DD">
        <w:t xml:space="preserve">as discussed in the </w:t>
      </w:r>
      <w:hyperlink r:id="rId27" w:history="1">
        <w:r w:rsidR="009E4966" w:rsidRPr="009E4966">
          <w:rPr>
            <w:rStyle w:val="Hyperlink"/>
          </w:rPr>
          <w:t>Internet of Things applications in the VHF high band</w:t>
        </w:r>
        <w:r w:rsidR="000D61DD" w:rsidRPr="009E4966">
          <w:rPr>
            <w:rStyle w:val="Hyperlink"/>
          </w:rPr>
          <w:t xml:space="preserve"> </w:t>
        </w:r>
        <w:r w:rsidR="009E4966" w:rsidRPr="009E4966">
          <w:rPr>
            <w:rStyle w:val="Hyperlink"/>
          </w:rPr>
          <w:t xml:space="preserve">consultation </w:t>
        </w:r>
        <w:r w:rsidR="000D61DD" w:rsidRPr="009E4966">
          <w:rPr>
            <w:rStyle w:val="Hyperlink"/>
          </w:rPr>
          <w:t>paper</w:t>
        </w:r>
      </w:hyperlink>
      <w:r w:rsidR="000D61DD">
        <w:t xml:space="preserve"> released in July 2020</w:t>
      </w:r>
      <w:r w:rsidR="003322F7" w:rsidRPr="003322F7">
        <w:t>.</w:t>
      </w:r>
    </w:p>
    <w:p w14:paraId="681B006C" w14:textId="4A949E46" w:rsidR="00BF5A5A" w:rsidRDefault="00CC2097" w:rsidP="000D61DD">
      <w:pPr>
        <w:pStyle w:val="Bulletlevel1"/>
      </w:pPr>
      <w:bookmarkStart w:id="21" w:name="_Hlk48737554"/>
      <w:bookmarkEnd w:id="18"/>
      <w:r>
        <w:t>N</w:t>
      </w:r>
      <w:r w:rsidR="000D61DD" w:rsidRPr="000D61DD">
        <w:t xml:space="preserve">ew arrangements to facilitate </w:t>
      </w:r>
      <w:bookmarkStart w:id="22" w:name="_Hlk48641651"/>
      <w:r w:rsidR="000D61DD">
        <w:t>radio</w:t>
      </w:r>
      <w:r w:rsidR="009B7397">
        <w:t xml:space="preserve">determination </w:t>
      </w:r>
      <w:r w:rsidR="00BF5A5A">
        <w:t xml:space="preserve">devices in the </w:t>
      </w:r>
      <w:r>
        <w:br/>
      </w:r>
      <w:r w:rsidR="000D61DD" w:rsidRPr="000D61DD">
        <w:t>10.5</w:t>
      </w:r>
      <w:r>
        <w:t>–</w:t>
      </w:r>
      <w:r w:rsidR="000D61DD" w:rsidRPr="000D61DD">
        <w:t xml:space="preserve">10.55 GHz </w:t>
      </w:r>
      <w:r w:rsidR="00BF5A5A">
        <w:t>band</w:t>
      </w:r>
      <w:bookmarkEnd w:id="21"/>
      <w:r w:rsidR="00BF5A5A">
        <w:t xml:space="preserve">. </w:t>
      </w:r>
    </w:p>
    <w:p w14:paraId="411C049A" w14:textId="4288C13D" w:rsidR="000D61DD" w:rsidRPr="003322F7" w:rsidRDefault="00CC2097" w:rsidP="000D61DD">
      <w:pPr>
        <w:pStyle w:val="Bulletlevel1"/>
      </w:pPr>
      <w:bookmarkStart w:id="23" w:name="_Hlk48641628"/>
      <w:bookmarkEnd w:id="22"/>
      <w:r>
        <w:t>M</w:t>
      </w:r>
      <w:r w:rsidR="000D61DD">
        <w:t>inor updates to existing items</w:t>
      </w:r>
      <w:r w:rsidR="003A7FF8">
        <w:t>.</w:t>
      </w:r>
    </w:p>
    <w:p w14:paraId="47ED023F" w14:textId="401685D0" w:rsidR="005E250B" w:rsidRPr="00C35CCE" w:rsidRDefault="00BF5A5A">
      <w:pPr>
        <w:pStyle w:val="Heading2"/>
      </w:pPr>
      <w:bookmarkStart w:id="24" w:name="_Toc50732090"/>
      <w:bookmarkEnd w:id="17"/>
      <w:bookmarkEnd w:id="23"/>
      <w:r>
        <w:t xml:space="preserve">Wireless broadband in </w:t>
      </w:r>
      <w:r w:rsidRPr="00785767">
        <w:t>the</w:t>
      </w:r>
      <w:r>
        <w:t xml:space="preserve"> 26 GHz band</w:t>
      </w:r>
      <w:bookmarkEnd w:id="24"/>
      <w:r w:rsidR="005E250B" w:rsidRPr="00C35CCE">
        <w:t xml:space="preserve"> </w:t>
      </w:r>
    </w:p>
    <w:p w14:paraId="08261331" w14:textId="6D567B04" w:rsidR="006C6840" w:rsidRDefault="006C6840" w:rsidP="003F78E4">
      <w:pPr>
        <w:pStyle w:val="Paragraph"/>
      </w:pPr>
      <w:r>
        <w:t>The 26 GHz band, being 24.25–27.5 GHz, is one of the bands at the forefront of the delivery of millimetre wave (</w:t>
      </w:r>
      <w:proofErr w:type="spellStart"/>
      <w:r>
        <w:t>mmWave</w:t>
      </w:r>
      <w:proofErr w:type="spellEnd"/>
      <w:r>
        <w:rPr>
          <w:rStyle w:val="FootnoteReference"/>
        </w:rPr>
        <w:footnoteReference w:id="4"/>
      </w:r>
      <w:r>
        <w:t xml:space="preserve">) fifth generation (5G) wireless broadband services globally. </w:t>
      </w:r>
    </w:p>
    <w:p w14:paraId="10DB8CAC" w14:textId="6CBC5275" w:rsidR="006C6840" w:rsidRDefault="006C6840" w:rsidP="003F78E4">
      <w:pPr>
        <w:pStyle w:val="Paragraph"/>
        <w:rPr>
          <w:szCs w:val="20"/>
        </w:rPr>
      </w:pPr>
      <w:r>
        <w:t>The ACMA completed a review of the 26 GHz band in April 2019</w:t>
      </w:r>
      <w:r w:rsidR="002468BE">
        <w:t>,</w:t>
      </w:r>
      <w:r>
        <w:t xml:space="preserve"> and the outcomes were outlined in</w:t>
      </w:r>
      <w:r w:rsidR="002468BE">
        <w:t xml:space="preserve"> the</w:t>
      </w:r>
      <w:r>
        <w:t xml:space="preserve"> </w:t>
      </w:r>
      <w:hyperlink r:id="rId28" w:history="1">
        <w:r w:rsidRPr="00AD3851">
          <w:rPr>
            <w:rStyle w:val="Hyperlink"/>
          </w:rPr>
          <w:t>26 GHz decision paper</w:t>
        </w:r>
      </w:hyperlink>
      <w:r>
        <w:t xml:space="preserve">. </w:t>
      </w:r>
      <w:r w:rsidR="003A7FF8">
        <w:t>These</w:t>
      </w:r>
      <w:r>
        <w:t xml:space="preserve"> include the </w:t>
      </w:r>
      <w:r w:rsidRPr="006C6840">
        <w:t>identification of class licensing measures to facilitate a broad range of wireless broadband use cases</w:t>
      </w:r>
      <w:r>
        <w:t xml:space="preserve"> in the </w:t>
      </w:r>
      <w:r w:rsidRPr="00BF5A5A">
        <w:rPr>
          <w:szCs w:val="20"/>
        </w:rPr>
        <w:t>24.25</w:t>
      </w:r>
      <w:r w:rsidR="002468BE">
        <w:rPr>
          <w:szCs w:val="20"/>
        </w:rPr>
        <w:t>–</w:t>
      </w:r>
      <w:r w:rsidRPr="00BF5A5A">
        <w:rPr>
          <w:szCs w:val="20"/>
        </w:rPr>
        <w:t>25.1 GHz</w:t>
      </w:r>
      <w:r>
        <w:rPr>
          <w:szCs w:val="20"/>
        </w:rPr>
        <w:t xml:space="preserve"> band</w:t>
      </w:r>
      <w:r w:rsidRPr="006C6840">
        <w:t>.</w:t>
      </w:r>
      <w:r w:rsidR="003322F7" w:rsidRPr="00BF5A5A">
        <w:rPr>
          <w:szCs w:val="20"/>
        </w:rPr>
        <w:t xml:space="preserve"> These arrangements </w:t>
      </w:r>
      <w:r w:rsidR="00166D1A">
        <w:rPr>
          <w:szCs w:val="20"/>
        </w:rPr>
        <w:t xml:space="preserve">are intended to support </w:t>
      </w:r>
      <w:r w:rsidR="003322F7" w:rsidRPr="00BF5A5A">
        <w:rPr>
          <w:szCs w:val="20"/>
        </w:rPr>
        <w:t xml:space="preserve">uncoordinated deployments of private/enterprise 5G use cases servicing factories, </w:t>
      </w:r>
      <w:r w:rsidR="0044754D">
        <w:rPr>
          <w:szCs w:val="20"/>
        </w:rPr>
        <w:t xml:space="preserve">mine sites, </w:t>
      </w:r>
      <w:r w:rsidR="003322F7" w:rsidRPr="00BF5A5A">
        <w:rPr>
          <w:szCs w:val="20"/>
        </w:rPr>
        <w:t>hospitals</w:t>
      </w:r>
      <w:r w:rsidR="003F78E4">
        <w:rPr>
          <w:szCs w:val="20"/>
        </w:rPr>
        <w:t xml:space="preserve"> and</w:t>
      </w:r>
      <w:r w:rsidR="003322F7" w:rsidRPr="00BF5A5A">
        <w:rPr>
          <w:szCs w:val="20"/>
        </w:rPr>
        <w:t xml:space="preserve"> educational institutions</w:t>
      </w:r>
      <w:r w:rsidR="003A7FF8">
        <w:rPr>
          <w:szCs w:val="20"/>
        </w:rPr>
        <w:t>,</w:t>
      </w:r>
      <w:r w:rsidR="003322F7" w:rsidRPr="00BF5A5A">
        <w:rPr>
          <w:szCs w:val="20"/>
        </w:rPr>
        <w:t xml:space="preserve"> </w:t>
      </w:r>
      <w:r w:rsidR="003F78E4">
        <w:rPr>
          <w:szCs w:val="20"/>
        </w:rPr>
        <w:t>for example</w:t>
      </w:r>
      <w:r w:rsidR="003322F7" w:rsidRPr="00BF5A5A">
        <w:rPr>
          <w:szCs w:val="20"/>
        </w:rPr>
        <w:t xml:space="preserve">. </w:t>
      </w:r>
    </w:p>
    <w:p w14:paraId="7CB5C6F2" w14:textId="1123DA8B" w:rsidR="006C6840" w:rsidRDefault="006C6840" w:rsidP="003F78E4">
      <w:pPr>
        <w:pStyle w:val="Paragraph"/>
      </w:pPr>
      <w:r>
        <w:t xml:space="preserve">We are proposing to implement these decisions in this update of the LIPD </w:t>
      </w:r>
      <w:r w:rsidR="002468BE">
        <w:t>C</w:t>
      </w:r>
      <w:r>
        <w:t xml:space="preserve">lass </w:t>
      </w:r>
      <w:r w:rsidR="002468BE">
        <w:t>L</w:t>
      </w:r>
      <w:r>
        <w:t xml:space="preserve">icence. </w:t>
      </w:r>
    </w:p>
    <w:p w14:paraId="1C7C69CA" w14:textId="52245781" w:rsidR="006C6840" w:rsidRDefault="006C6840">
      <w:pPr>
        <w:pStyle w:val="Heading3"/>
      </w:pPr>
      <w:r>
        <w:t xml:space="preserve">Technical </w:t>
      </w:r>
      <w:r w:rsidRPr="00785767">
        <w:t>conditions</w:t>
      </w:r>
    </w:p>
    <w:p w14:paraId="03783678" w14:textId="745A692B" w:rsidR="006C6840" w:rsidRDefault="006C6840" w:rsidP="003F78E4">
      <w:pPr>
        <w:pStyle w:val="Paragraph"/>
      </w:pPr>
      <w:r>
        <w:t>In the 26 G</w:t>
      </w:r>
      <w:r w:rsidR="002E40B1">
        <w:t>H</w:t>
      </w:r>
      <w:r>
        <w:t>z decision paper the ACMA outlined preliminary views on a range of provisions and conditions that might apply to class licen</w:t>
      </w:r>
      <w:r w:rsidR="000A4FD3">
        <w:t xml:space="preserve">sing of </w:t>
      </w:r>
      <w:r>
        <w:t xml:space="preserve">wireless broadband </w:t>
      </w:r>
      <w:r w:rsidR="000A4FD3">
        <w:t>de</w:t>
      </w:r>
      <w:r>
        <w:t>vices in this band</w:t>
      </w:r>
      <w:r w:rsidR="002E40B1">
        <w:t xml:space="preserve">. It was noted at the time that </w:t>
      </w:r>
      <w:r w:rsidR="00156BEE">
        <w:t xml:space="preserve">further consultation would be undertaken on relevant licence conditions and </w:t>
      </w:r>
      <w:r w:rsidR="002E40B1" w:rsidRPr="002E40B1">
        <w:t xml:space="preserve">legislative instruments. As such, the </w:t>
      </w:r>
      <w:r w:rsidR="0044754D">
        <w:t>proposed provisions</w:t>
      </w:r>
      <w:r w:rsidR="002E40B1">
        <w:t xml:space="preserve"> outlined at the time were not to be</w:t>
      </w:r>
      <w:r w:rsidR="002E40B1" w:rsidRPr="002E40B1">
        <w:t xml:space="preserve"> </w:t>
      </w:r>
      <w:r w:rsidR="0044754D">
        <w:t>considered</w:t>
      </w:r>
      <w:r w:rsidR="0044754D" w:rsidRPr="002E40B1">
        <w:t xml:space="preserve"> </w:t>
      </w:r>
      <w:r w:rsidR="002E40B1" w:rsidRPr="002E40B1">
        <w:t xml:space="preserve">as definitive views of the ACMA and </w:t>
      </w:r>
      <w:r w:rsidR="003A7FF8">
        <w:t xml:space="preserve">were </w:t>
      </w:r>
      <w:r w:rsidR="002E40B1" w:rsidRPr="002E40B1">
        <w:t xml:space="preserve">all subject to </w:t>
      </w:r>
      <w:r w:rsidR="000A4FD3">
        <w:t>change</w:t>
      </w:r>
      <w:r w:rsidR="002E40B1" w:rsidRPr="002E40B1">
        <w:t>.</w:t>
      </w:r>
    </w:p>
    <w:p w14:paraId="0C0E0364" w14:textId="6C4296A5" w:rsidR="002E40B1" w:rsidRDefault="00307993" w:rsidP="003F78E4">
      <w:pPr>
        <w:pStyle w:val="Paragraphbeforelist"/>
      </w:pPr>
      <w:r>
        <w:t>T</w:t>
      </w:r>
      <w:r w:rsidR="002E40B1">
        <w:t xml:space="preserve">he following conditions are proposed for the use of wireless broadband services under class licence in the </w:t>
      </w:r>
      <w:r w:rsidR="002E40B1" w:rsidRPr="003F78E4">
        <w:t>24</w:t>
      </w:r>
      <w:r w:rsidR="002E40B1">
        <w:t>.25-2</w:t>
      </w:r>
      <w:r w:rsidR="00CA20DA">
        <w:t>5.1</w:t>
      </w:r>
      <w:r w:rsidR="002E40B1">
        <w:t xml:space="preserve"> GHz</w:t>
      </w:r>
      <w:r w:rsidR="000A4FD3">
        <w:t xml:space="preserve"> band</w:t>
      </w:r>
      <w:r>
        <w:t xml:space="preserve"> which are identical to those described in the 26 GHz decision paper</w:t>
      </w:r>
      <w:r w:rsidR="002E40B1">
        <w:t>:</w:t>
      </w:r>
    </w:p>
    <w:p w14:paraId="3FD40251" w14:textId="570CAC57" w:rsidR="002E40B1" w:rsidRPr="001C3BD1" w:rsidRDefault="002E40B1" w:rsidP="002E40B1">
      <w:pPr>
        <w:pStyle w:val="ListBullet"/>
        <w:rPr>
          <w:rStyle w:val="Hyperlink"/>
          <w:color w:val="auto"/>
          <w:u w:val="none"/>
        </w:rPr>
      </w:pPr>
      <w:r w:rsidRPr="00746EE7">
        <w:rPr>
          <w:rStyle w:val="Hyperlink"/>
          <w:color w:val="auto"/>
          <w:u w:val="none"/>
        </w:rPr>
        <w:t>Deployments</w:t>
      </w:r>
      <w:r w:rsidRPr="001C3BD1">
        <w:rPr>
          <w:rStyle w:val="Hyperlink"/>
          <w:color w:val="auto"/>
          <w:u w:val="none"/>
        </w:rPr>
        <w:t xml:space="preserve"> may be fixed point-to-multipoint or mobile (base station with service area) in nature. </w:t>
      </w:r>
      <w:r w:rsidR="00307993">
        <w:rPr>
          <w:rStyle w:val="Hyperlink"/>
          <w:color w:val="auto"/>
          <w:u w:val="none"/>
        </w:rPr>
        <w:t xml:space="preserve"> </w:t>
      </w:r>
    </w:p>
    <w:p w14:paraId="4369A38F" w14:textId="2503EE35" w:rsidR="002E40B1" w:rsidRPr="001C3BD1" w:rsidRDefault="002E40B1" w:rsidP="002E40B1">
      <w:pPr>
        <w:pStyle w:val="ListBullet"/>
        <w:rPr>
          <w:rStyle w:val="Hyperlink"/>
          <w:color w:val="auto"/>
          <w:u w:val="none"/>
        </w:rPr>
      </w:pPr>
      <w:r w:rsidRPr="001C3BD1">
        <w:rPr>
          <w:rStyle w:val="Hyperlink"/>
          <w:color w:val="auto"/>
          <w:u w:val="none"/>
        </w:rPr>
        <w:t>Operation is permitted on an Australia-wide basis.</w:t>
      </w:r>
    </w:p>
    <w:p w14:paraId="46B47F63" w14:textId="46B44813" w:rsidR="002E40B1" w:rsidRPr="001C3BD1" w:rsidRDefault="002E40B1" w:rsidP="002E40B1">
      <w:pPr>
        <w:pStyle w:val="ListBullet"/>
        <w:rPr>
          <w:rStyle w:val="Hyperlink"/>
          <w:color w:val="auto"/>
          <w:u w:val="none"/>
        </w:rPr>
      </w:pPr>
      <w:r w:rsidRPr="001C3BD1">
        <w:rPr>
          <w:rStyle w:val="Hyperlink"/>
          <w:color w:val="auto"/>
          <w:u w:val="none"/>
        </w:rPr>
        <w:lastRenderedPageBreak/>
        <w:t>Service areas will be limited to private (including domestic, industrial, business, commercial and government) property. This can be outdoors or indoors, depending on frequency range (see below).</w:t>
      </w:r>
      <w:r w:rsidR="00307993">
        <w:rPr>
          <w:rStyle w:val="Hyperlink"/>
          <w:color w:val="auto"/>
          <w:u w:val="none"/>
        </w:rPr>
        <w:t xml:space="preserve"> </w:t>
      </w:r>
    </w:p>
    <w:p w14:paraId="5ABAD119" w14:textId="2783B81A" w:rsidR="00307993" w:rsidRPr="001C3BD1" w:rsidRDefault="00307993" w:rsidP="00307993">
      <w:pPr>
        <w:pStyle w:val="ListBullet"/>
        <w:rPr>
          <w:rStyle w:val="Hyperlink"/>
          <w:color w:val="auto"/>
          <w:u w:val="none"/>
        </w:rPr>
      </w:pPr>
      <w:r w:rsidRPr="001C3BD1">
        <w:rPr>
          <w:rStyle w:val="Hyperlink"/>
          <w:color w:val="auto"/>
          <w:u w:val="none"/>
        </w:rPr>
        <w:t>In the range 24.25</w:t>
      </w:r>
      <w:r w:rsidR="002468BE">
        <w:rPr>
          <w:rStyle w:val="Hyperlink"/>
          <w:color w:val="auto"/>
          <w:u w:val="none"/>
        </w:rPr>
        <w:t>–</w:t>
      </w:r>
      <w:r w:rsidRPr="001C3BD1">
        <w:rPr>
          <w:rStyle w:val="Hyperlink"/>
          <w:color w:val="auto"/>
          <w:u w:val="none"/>
        </w:rPr>
        <w:t>24.7 GHz, operation is limited to indoor use only.</w:t>
      </w:r>
      <w:r w:rsidRPr="00307993">
        <w:rPr>
          <w:rStyle w:val="Hyperlink"/>
          <w:color w:val="auto"/>
          <w:u w:val="none"/>
        </w:rPr>
        <w:t xml:space="preserve"> </w:t>
      </w:r>
    </w:p>
    <w:p w14:paraId="4BF4A1DE" w14:textId="16340F07" w:rsidR="00307993" w:rsidRPr="006D7AF0" w:rsidRDefault="00307993" w:rsidP="00307993">
      <w:pPr>
        <w:pStyle w:val="ListBullet"/>
        <w:rPr>
          <w:rStyle w:val="Hyperlink"/>
          <w:color w:val="auto"/>
          <w:u w:val="none"/>
        </w:rPr>
      </w:pPr>
      <w:r w:rsidRPr="001C3BD1">
        <w:rPr>
          <w:rStyle w:val="Hyperlink"/>
          <w:color w:val="auto"/>
          <w:u w:val="none"/>
        </w:rPr>
        <w:t>In the range 24.7–25.1 GHz</w:t>
      </w:r>
      <w:r w:rsidR="002468BE">
        <w:rPr>
          <w:rStyle w:val="Hyperlink"/>
          <w:color w:val="auto"/>
          <w:u w:val="none"/>
        </w:rPr>
        <w:t>,</w:t>
      </w:r>
      <w:r w:rsidRPr="001C3BD1">
        <w:rPr>
          <w:rStyle w:val="Hyperlink"/>
          <w:color w:val="auto"/>
          <w:u w:val="none"/>
        </w:rPr>
        <w:t xml:space="preserve"> operation can </w:t>
      </w:r>
      <w:r w:rsidRPr="006D7AF0">
        <w:rPr>
          <w:rStyle w:val="Hyperlink"/>
          <w:color w:val="auto"/>
          <w:u w:val="none"/>
        </w:rPr>
        <w:t>be either indoors or outdoors.</w:t>
      </w:r>
    </w:p>
    <w:p w14:paraId="2943708F" w14:textId="033A7A5E" w:rsidR="005C73DD" w:rsidRPr="006D7AF0" w:rsidRDefault="005C73DD" w:rsidP="005C73DD">
      <w:pPr>
        <w:pStyle w:val="ListBullet"/>
        <w:rPr>
          <w:rStyle w:val="Hyperlink"/>
          <w:color w:val="auto"/>
          <w:u w:val="none"/>
        </w:rPr>
      </w:pPr>
      <w:r w:rsidRPr="006D7AF0">
        <w:t>Devices are to comply with the unwanted and spurious emission limits as described in the 38 series of 3GPP</w:t>
      </w:r>
      <w:r w:rsidR="00F30C4C" w:rsidRPr="006D7AF0">
        <w:rPr>
          <w:rStyle w:val="FootnoteReference"/>
        </w:rPr>
        <w:footnoteReference w:id="5"/>
      </w:r>
      <w:r w:rsidRPr="006D7AF0">
        <w:t xml:space="preserve"> specifications. That is</w:t>
      </w:r>
      <w:r w:rsidR="00D624A5">
        <w:t>,</w:t>
      </w:r>
      <w:r w:rsidRPr="006D7AF0">
        <w:t xml:space="preserve"> 3GPP TS 38.104</w:t>
      </w:r>
      <w:r w:rsidRPr="006D7AF0">
        <w:rPr>
          <w:rStyle w:val="FootnoteReference"/>
        </w:rPr>
        <w:footnoteReference w:id="6"/>
      </w:r>
      <w:r w:rsidRPr="006D7AF0">
        <w:t xml:space="preserve"> for</w:t>
      </w:r>
      <w:r w:rsidR="003268B0">
        <w:t> </w:t>
      </w:r>
      <w:r w:rsidRPr="006D7AF0">
        <w:t>base stations and 3GPP TS 38.101-2</w:t>
      </w:r>
      <w:r w:rsidRPr="006D7AF0">
        <w:rPr>
          <w:rStyle w:val="FootnoteReference"/>
        </w:rPr>
        <w:footnoteReference w:id="7"/>
      </w:r>
      <w:r w:rsidRPr="006D7AF0">
        <w:t xml:space="preserve"> for user equipment.</w:t>
      </w:r>
      <w:r w:rsidRPr="006D7AF0">
        <w:rPr>
          <w:rStyle w:val="FootnoteReference"/>
        </w:rPr>
        <w:footnoteReference w:id="8"/>
      </w:r>
      <w:r w:rsidRPr="006D7AF0">
        <w:t xml:space="preserve"> </w:t>
      </w:r>
    </w:p>
    <w:p w14:paraId="41BC168C" w14:textId="75750F1C" w:rsidR="00307993" w:rsidRPr="001C3BD1" w:rsidRDefault="002E40B1" w:rsidP="00307993">
      <w:pPr>
        <w:pStyle w:val="ListBullet"/>
        <w:rPr>
          <w:rStyle w:val="Hyperlink"/>
          <w:color w:val="auto"/>
          <w:u w:val="none"/>
        </w:rPr>
      </w:pPr>
      <w:r w:rsidRPr="001C3BD1">
        <w:rPr>
          <w:rStyle w:val="Hyperlink"/>
          <w:color w:val="auto"/>
          <w:u w:val="none"/>
        </w:rPr>
        <w:t>Services must not cause interference to, or claim protection from, other licensed</w:t>
      </w:r>
      <w:r w:rsidR="003268B0">
        <w:rPr>
          <w:rStyle w:val="Hyperlink"/>
          <w:color w:val="auto"/>
          <w:u w:val="none"/>
        </w:rPr>
        <w:t> </w:t>
      </w:r>
      <w:r w:rsidRPr="001C3BD1">
        <w:rPr>
          <w:rStyle w:val="Hyperlink"/>
          <w:color w:val="auto"/>
          <w:u w:val="none"/>
        </w:rPr>
        <w:t xml:space="preserve">services (including co-frequency apparatus-licensed services in the </w:t>
      </w:r>
      <w:r w:rsidR="003268B0">
        <w:rPr>
          <w:rStyle w:val="Hyperlink"/>
          <w:color w:val="auto"/>
          <w:u w:val="none"/>
        </w:rPr>
        <w:br/>
      </w:r>
      <w:r w:rsidRPr="001C3BD1">
        <w:rPr>
          <w:rStyle w:val="Hyperlink"/>
          <w:color w:val="auto"/>
          <w:u w:val="none"/>
        </w:rPr>
        <w:t>24.7–25.1 GHz range).</w:t>
      </w:r>
      <w:r w:rsidR="00307993">
        <w:rPr>
          <w:rStyle w:val="Hyperlink"/>
          <w:color w:val="auto"/>
          <w:u w:val="none"/>
        </w:rPr>
        <w:t xml:space="preserve"> </w:t>
      </w:r>
    </w:p>
    <w:p w14:paraId="5BF9D290" w14:textId="0045A76B" w:rsidR="002E40B1" w:rsidRDefault="002E40B1" w:rsidP="002E40B1">
      <w:pPr>
        <w:pStyle w:val="ListBullet"/>
        <w:rPr>
          <w:rStyle w:val="Hyperlink"/>
          <w:color w:val="auto"/>
          <w:u w:val="none"/>
        </w:rPr>
      </w:pPr>
      <w:r w:rsidRPr="001C3BD1">
        <w:rPr>
          <w:rStyle w:val="Hyperlink"/>
          <w:color w:val="auto"/>
          <w:u w:val="none"/>
        </w:rPr>
        <w:t>Proposed</w:t>
      </w:r>
      <w:r>
        <w:rPr>
          <w:rStyle w:val="Hyperlink"/>
          <w:color w:val="auto"/>
          <w:u w:val="none"/>
        </w:rPr>
        <w:t xml:space="preserve"> conditions for indoor use:</w:t>
      </w:r>
    </w:p>
    <w:p w14:paraId="1A0FC544" w14:textId="77777777" w:rsidR="002E40B1" w:rsidRPr="001C3BD1" w:rsidRDefault="002E40B1" w:rsidP="002E40B1">
      <w:pPr>
        <w:pStyle w:val="ListBullet2"/>
        <w:rPr>
          <w:rStyle w:val="Hyperlink"/>
          <w:color w:val="auto"/>
          <w:u w:val="none"/>
        </w:rPr>
      </w:pPr>
      <w:r w:rsidRPr="001C3BD1">
        <w:rPr>
          <w:rStyle w:val="Hyperlink"/>
          <w:color w:val="auto"/>
          <w:u w:val="none"/>
        </w:rPr>
        <w:t xml:space="preserve">Base station total radiated power (TRP) is not to exceed 20 dBm/200 </w:t>
      </w:r>
      <w:proofErr w:type="spellStart"/>
      <w:r w:rsidRPr="001C3BD1">
        <w:rPr>
          <w:rStyle w:val="Hyperlink"/>
          <w:color w:val="auto"/>
          <w:u w:val="none"/>
        </w:rPr>
        <w:t>MHz.</w:t>
      </w:r>
      <w:proofErr w:type="spellEnd"/>
    </w:p>
    <w:p w14:paraId="6A0F8B35" w14:textId="77777777" w:rsidR="002E40B1" w:rsidRPr="001C3BD1" w:rsidRDefault="002E40B1" w:rsidP="002E40B1">
      <w:pPr>
        <w:pStyle w:val="ListBullet2"/>
        <w:rPr>
          <w:rStyle w:val="Hyperlink"/>
          <w:color w:val="auto"/>
          <w:u w:val="none"/>
        </w:rPr>
      </w:pPr>
      <w:r w:rsidRPr="001C3BD1">
        <w:rPr>
          <w:rStyle w:val="Hyperlink"/>
          <w:color w:val="auto"/>
          <w:u w:val="none"/>
        </w:rPr>
        <w:t xml:space="preserve">User equipment TRP is not to exceed 22 dBm per occupied bandwidth. </w:t>
      </w:r>
    </w:p>
    <w:p w14:paraId="7DAA1FD8" w14:textId="30A1D709" w:rsidR="002E40B1" w:rsidRPr="00190F88" w:rsidRDefault="002E40B1" w:rsidP="002E40B1">
      <w:pPr>
        <w:pStyle w:val="ListBullet"/>
        <w:rPr>
          <w:rStyle w:val="Hyperlink"/>
          <w:color w:val="auto"/>
          <w:u w:val="none"/>
        </w:rPr>
      </w:pPr>
      <w:r>
        <w:rPr>
          <w:rStyle w:val="Hyperlink"/>
          <w:color w:val="auto"/>
          <w:u w:val="none"/>
        </w:rPr>
        <w:t>Proposed c</w:t>
      </w:r>
      <w:r w:rsidRPr="00190F88">
        <w:rPr>
          <w:rStyle w:val="Hyperlink"/>
          <w:color w:val="auto"/>
          <w:u w:val="none"/>
        </w:rPr>
        <w:t>onditions for outdoor use (24.7</w:t>
      </w:r>
      <w:r>
        <w:rPr>
          <w:rStyle w:val="Hyperlink"/>
          <w:color w:val="auto"/>
          <w:u w:val="none"/>
        </w:rPr>
        <w:t>–</w:t>
      </w:r>
      <w:r w:rsidRPr="00190F88">
        <w:rPr>
          <w:rStyle w:val="Hyperlink"/>
          <w:color w:val="auto"/>
          <w:u w:val="none"/>
        </w:rPr>
        <w:t xml:space="preserve">25.1 GHz </w:t>
      </w:r>
      <w:r w:rsidR="000A4FD3">
        <w:rPr>
          <w:rStyle w:val="Hyperlink"/>
          <w:color w:val="auto"/>
          <w:u w:val="none"/>
        </w:rPr>
        <w:t xml:space="preserve">range </w:t>
      </w:r>
      <w:r w:rsidRPr="00190F88">
        <w:rPr>
          <w:rStyle w:val="Hyperlink"/>
          <w:color w:val="auto"/>
          <w:u w:val="none"/>
        </w:rPr>
        <w:t>only):</w:t>
      </w:r>
    </w:p>
    <w:p w14:paraId="02949131" w14:textId="77777777" w:rsidR="002E40B1" w:rsidRPr="00335D0B" w:rsidRDefault="002E40B1" w:rsidP="002E40B1">
      <w:pPr>
        <w:pStyle w:val="ListBullet2"/>
        <w:rPr>
          <w:rStyle w:val="Hyperlink"/>
          <w:color w:val="auto"/>
          <w:u w:val="none"/>
        </w:rPr>
      </w:pPr>
      <w:r w:rsidRPr="00335D0B">
        <w:rPr>
          <w:rStyle w:val="Hyperlink"/>
          <w:color w:val="auto"/>
          <w:u w:val="none"/>
        </w:rPr>
        <w:t xml:space="preserve">Base station TRP is not to exceed 25 dBm/200 </w:t>
      </w:r>
      <w:proofErr w:type="spellStart"/>
      <w:r w:rsidRPr="00335D0B">
        <w:rPr>
          <w:rStyle w:val="Hyperlink"/>
          <w:color w:val="auto"/>
          <w:u w:val="none"/>
        </w:rPr>
        <w:t>MHz.</w:t>
      </w:r>
      <w:proofErr w:type="spellEnd"/>
      <w:r w:rsidRPr="00335D0B">
        <w:rPr>
          <w:rStyle w:val="Hyperlink"/>
          <w:color w:val="auto"/>
          <w:u w:val="none"/>
        </w:rPr>
        <w:t xml:space="preserve">  </w:t>
      </w:r>
    </w:p>
    <w:p w14:paraId="1892B1B0" w14:textId="77777777" w:rsidR="002E40B1" w:rsidRPr="00335D0B" w:rsidRDefault="002E40B1" w:rsidP="002E40B1">
      <w:pPr>
        <w:pStyle w:val="ListBullet2"/>
        <w:rPr>
          <w:rStyle w:val="Hyperlink"/>
          <w:color w:val="auto"/>
          <w:u w:val="none"/>
        </w:rPr>
      </w:pPr>
      <w:r w:rsidRPr="00335D0B">
        <w:rPr>
          <w:rStyle w:val="Hyperlink"/>
          <w:color w:val="auto"/>
          <w:u w:val="none"/>
        </w:rPr>
        <w:t>User equipment TRP is not to exceed 22 dBm per occupied bandwidth.</w:t>
      </w:r>
    </w:p>
    <w:p w14:paraId="5AE8FA61" w14:textId="74317F84" w:rsidR="006C6840" w:rsidRPr="00F63BB0" w:rsidRDefault="002E40B1" w:rsidP="009B005E">
      <w:pPr>
        <w:pStyle w:val="ListBulletLast"/>
        <w:rPr>
          <w:szCs w:val="20"/>
        </w:rPr>
      </w:pPr>
      <w:r w:rsidRPr="00F73BE5">
        <w:rPr>
          <w:rStyle w:val="Hyperlink"/>
          <w:color w:val="auto"/>
          <w:u w:val="none"/>
        </w:rPr>
        <w:t xml:space="preserve">The aggregate </w:t>
      </w:r>
      <w:r w:rsidR="000A4FD3">
        <w:rPr>
          <w:rStyle w:val="Hyperlink"/>
          <w:color w:val="auto"/>
          <w:u w:val="none"/>
        </w:rPr>
        <w:t>power flux-density (</w:t>
      </w:r>
      <w:r w:rsidRPr="00F73BE5">
        <w:rPr>
          <w:rStyle w:val="Hyperlink"/>
          <w:color w:val="auto"/>
          <w:u w:val="none"/>
        </w:rPr>
        <w:t>PFD</w:t>
      </w:r>
      <w:r w:rsidR="000A4FD3">
        <w:rPr>
          <w:rStyle w:val="Hyperlink"/>
          <w:color w:val="auto"/>
          <w:u w:val="none"/>
        </w:rPr>
        <w:t>)</w:t>
      </w:r>
      <w:r w:rsidRPr="00F73BE5">
        <w:rPr>
          <w:rStyle w:val="Hyperlink"/>
          <w:color w:val="auto"/>
          <w:u w:val="none"/>
        </w:rPr>
        <w:t xml:space="preserve"> is not to exceed</w:t>
      </w:r>
      <w:r w:rsidR="000A4FD3">
        <w:rPr>
          <w:rStyle w:val="Hyperlink"/>
          <w:color w:val="auto"/>
          <w:u w:val="none"/>
        </w:rPr>
        <w:t xml:space="preserve"> </w:t>
      </w:r>
      <w:r w:rsidR="000A4FD3">
        <w:rPr>
          <w:rStyle w:val="Hyperlink"/>
          <w:color w:val="auto"/>
          <w:u w:val="none"/>
        </w:rPr>
        <w:noBreakHyphen/>
      </w:r>
      <w:r w:rsidRPr="00F73BE5">
        <w:rPr>
          <w:rStyle w:val="Hyperlink"/>
          <w:color w:val="auto"/>
          <w:u w:val="none"/>
        </w:rPr>
        <w:t>105.4</w:t>
      </w:r>
      <w:r w:rsidR="000A4FD3">
        <w:rPr>
          <w:rStyle w:val="Hyperlink"/>
          <w:color w:val="auto"/>
          <w:u w:val="none"/>
        </w:rPr>
        <w:t> </w:t>
      </w:r>
      <w:proofErr w:type="spellStart"/>
      <w:r w:rsidRPr="00F73BE5">
        <w:rPr>
          <w:rStyle w:val="Hyperlink"/>
          <w:color w:val="auto"/>
          <w:u w:val="none"/>
        </w:rPr>
        <w:t>dBW</w:t>
      </w:r>
      <w:proofErr w:type="spellEnd"/>
      <w:r w:rsidRPr="00F73BE5">
        <w:rPr>
          <w:rStyle w:val="Hyperlink"/>
          <w:color w:val="auto"/>
          <w:u w:val="none"/>
        </w:rPr>
        <w:t>/MHz/m</w:t>
      </w:r>
      <w:r w:rsidRPr="00F73BE5">
        <w:rPr>
          <w:rStyle w:val="Hyperlink"/>
          <w:color w:val="auto"/>
          <w:u w:val="none"/>
          <w:vertAlign w:val="superscript"/>
        </w:rPr>
        <w:t>2</w:t>
      </w:r>
      <w:r w:rsidRPr="00F73BE5">
        <w:rPr>
          <w:rStyle w:val="Hyperlink"/>
          <w:color w:val="auto"/>
          <w:u w:val="none"/>
        </w:rPr>
        <w:t xml:space="preserve"> at the property boundary (measured outside in the case of indoor use to allow through-wall attenuation to be taken into account).</w:t>
      </w:r>
      <w:r w:rsidRPr="00190F88">
        <w:rPr>
          <w:rStyle w:val="FootnoteReference"/>
        </w:rPr>
        <w:footnoteReference w:id="9"/>
      </w:r>
      <w:r w:rsidR="00532622" w:rsidRPr="00F73BE5">
        <w:rPr>
          <w:rStyle w:val="Hyperlink"/>
          <w:color w:val="auto"/>
          <w:u w:val="none"/>
        </w:rPr>
        <w:t xml:space="preserve"> </w:t>
      </w:r>
      <w:r w:rsidR="00532622" w:rsidRPr="00F73BE5">
        <w:rPr>
          <w:szCs w:val="20"/>
        </w:rPr>
        <w:t xml:space="preserve">The </w:t>
      </w:r>
      <w:r w:rsidR="00F73BE5">
        <w:rPr>
          <w:szCs w:val="20"/>
        </w:rPr>
        <w:t>class licence</w:t>
      </w:r>
      <w:r w:rsidR="00532622" w:rsidRPr="00F73BE5">
        <w:rPr>
          <w:szCs w:val="20"/>
        </w:rPr>
        <w:t xml:space="preserve"> boundary condition is more restrictive than the proposed </w:t>
      </w:r>
      <w:r w:rsidR="00F73BE5">
        <w:rPr>
          <w:szCs w:val="20"/>
        </w:rPr>
        <w:t xml:space="preserve">apparatus licence </w:t>
      </w:r>
      <w:r w:rsidR="00532622" w:rsidRPr="00F73BE5">
        <w:rPr>
          <w:szCs w:val="20"/>
        </w:rPr>
        <w:t xml:space="preserve">boundary limits. This is to account for the uncoordinated </w:t>
      </w:r>
      <w:r w:rsidR="0044754D">
        <w:rPr>
          <w:szCs w:val="20"/>
        </w:rPr>
        <w:t>and/or unsynchronised (in the time division duplex (TDD) context)</w:t>
      </w:r>
      <w:r w:rsidR="00532622" w:rsidRPr="00F73BE5">
        <w:rPr>
          <w:szCs w:val="20"/>
        </w:rPr>
        <w:t xml:space="preserve"> nature of </w:t>
      </w:r>
      <w:r w:rsidR="00F73BE5">
        <w:rPr>
          <w:szCs w:val="20"/>
        </w:rPr>
        <w:t>class licenced deployments</w:t>
      </w:r>
      <w:r w:rsidR="00532622" w:rsidRPr="00F73BE5">
        <w:rPr>
          <w:szCs w:val="20"/>
        </w:rPr>
        <w:t xml:space="preserve">. If the </w:t>
      </w:r>
      <w:r w:rsidR="00F73BE5">
        <w:rPr>
          <w:szCs w:val="20"/>
        </w:rPr>
        <w:t xml:space="preserve">class licence </w:t>
      </w:r>
      <w:r w:rsidR="00532622" w:rsidRPr="00F73BE5">
        <w:rPr>
          <w:szCs w:val="20"/>
        </w:rPr>
        <w:t>limit is too restrictive f</w:t>
      </w:r>
      <w:r w:rsidR="00F73BE5">
        <w:rPr>
          <w:szCs w:val="20"/>
        </w:rPr>
        <w:t>or</w:t>
      </w:r>
      <w:r w:rsidR="00532622" w:rsidRPr="00F73BE5">
        <w:rPr>
          <w:szCs w:val="20"/>
        </w:rPr>
        <w:t xml:space="preserve"> some p</w:t>
      </w:r>
      <w:r w:rsidR="000A4FD3">
        <w:rPr>
          <w:szCs w:val="20"/>
        </w:rPr>
        <w:t>ro</w:t>
      </w:r>
      <w:r w:rsidR="00532622" w:rsidRPr="00F73BE5">
        <w:rPr>
          <w:szCs w:val="20"/>
        </w:rPr>
        <w:t xml:space="preserve">spective applications, there is the option for the operator to take out an </w:t>
      </w:r>
      <w:r w:rsidR="00F73BE5">
        <w:rPr>
          <w:szCs w:val="20"/>
        </w:rPr>
        <w:t>apparatus licence for that application</w:t>
      </w:r>
      <w:r w:rsidR="00532622" w:rsidRPr="00F73BE5">
        <w:rPr>
          <w:szCs w:val="20"/>
        </w:rPr>
        <w:t>.</w:t>
      </w:r>
    </w:p>
    <w:p w14:paraId="607D557B" w14:textId="77777777" w:rsidR="002F1A2B" w:rsidRDefault="00F63BB0" w:rsidP="00F63BB0">
      <w:pPr>
        <w:pStyle w:val="ACMAInstructions"/>
        <w:rPr>
          <w:b w:val="0"/>
          <w:vanish w:val="0"/>
          <w:sz w:val="20"/>
          <w:szCs w:val="20"/>
        </w:rPr>
      </w:pPr>
      <w:r>
        <w:rPr>
          <w:b w:val="0"/>
          <w:vanish w:val="0"/>
          <w:sz w:val="20"/>
          <w:szCs w:val="20"/>
        </w:rPr>
        <w:t xml:space="preserve">It is proposed that for outdoor transmitters in the </w:t>
      </w:r>
      <w:r w:rsidRPr="00F63BB0">
        <w:rPr>
          <w:b w:val="0"/>
          <w:vanish w:val="0"/>
          <w:sz w:val="20"/>
          <w:szCs w:val="20"/>
        </w:rPr>
        <w:t xml:space="preserve">24.7–25.1 GHz </w:t>
      </w:r>
      <w:r>
        <w:rPr>
          <w:b w:val="0"/>
          <w:vanish w:val="0"/>
          <w:sz w:val="20"/>
          <w:szCs w:val="20"/>
        </w:rPr>
        <w:t>band, the</w:t>
      </w:r>
      <w:r w:rsidRPr="00F63BB0">
        <w:rPr>
          <w:b w:val="0"/>
          <w:vanish w:val="0"/>
          <w:sz w:val="20"/>
          <w:szCs w:val="20"/>
        </w:rPr>
        <w:t xml:space="preserve"> TRP is not to exceed -33 </w:t>
      </w:r>
      <w:proofErr w:type="spellStart"/>
      <w:r w:rsidRPr="00F63BB0">
        <w:rPr>
          <w:b w:val="0"/>
          <w:vanish w:val="0"/>
          <w:sz w:val="20"/>
          <w:szCs w:val="20"/>
        </w:rPr>
        <w:t>dBW</w:t>
      </w:r>
      <w:proofErr w:type="spellEnd"/>
      <w:r w:rsidRPr="00F63BB0">
        <w:rPr>
          <w:b w:val="0"/>
          <w:vanish w:val="0"/>
          <w:sz w:val="20"/>
          <w:szCs w:val="20"/>
        </w:rPr>
        <w:t xml:space="preserve">/200 MHz for base stations and </w:t>
      </w:r>
      <w:r w:rsidRPr="00F63BB0">
        <w:rPr>
          <w:b w:val="0"/>
          <w:vanish w:val="0"/>
          <w:sz w:val="20"/>
          <w:szCs w:val="20"/>
        </w:rPr>
        <w:noBreakHyphen/>
        <w:t>29 </w:t>
      </w:r>
      <w:proofErr w:type="spellStart"/>
      <w:r w:rsidRPr="00F63BB0">
        <w:rPr>
          <w:b w:val="0"/>
          <w:vanish w:val="0"/>
          <w:sz w:val="20"/>
          <w:szCs w:val="20"/>
        </w:rPr>
        <w:t>dBW</w:t>
      </w:r>
      <w:proofErr w:type="spellEnd"/>
      <w:r w:rsidRPr="00F63BB0">
        <w:rPr>
          <w:b w:val="0"/>
          <w:vanish w:val="0"/>
          <w:sz w:val="20"/>
          <w:szCs w:val="20"/>
        </w:rPr>
        <w:t xml:space="preserve">/200 MHz for </w:t>
      </w:r>
      <w:r>
        <w:rPr>
          <w:b w:val="0"/>
          <w:vanish w:val="0"/>
          <w:sz w:val="20"/>
          <w:szCs w:val="20"/>
        </w:rPr>
        <w:t>user equipment</w:t>
      </w:r>
      <w:r w:rsidRPr="00F63BB0">
        <w:rPr>
          <w:b w:val="0"/>
          <w:vanish w:val="0"/>
          <w:sz w:val="20"/>
          <w:szCs w:val="20"/>
        </w:rPr>
        <w:t xml:space="preserve">, measured anywhere in the range 23.6–24 GHz. </w:t>
      </w:r>
    </w:p>
    <w:p w14:paraId="7B035954" w14:textId="1A524066" w:rsidR="00F63BB0" w:rsidRDefault="00F63BB0" w:rsidP="00F63BB0">
      <w:pPr>
        <w:pStyle w:val="ACMAInstructions"/>
        <w:rPr>
          <w:b w:val="0"/>
          <w:vanish w:val="0"/>
          <w:sz w:val="20"/>
          <w:szCs w:val="20"/>
        </w:rPr>
      </w:pPr>
      <w:r w:rsidRPr="00F63BB0">
        <w:rPr>
          <w:b w:val="0"/>
          <w:vanish w:val="0"/>
          <w:sz w:val="20"/>
          <w:szCs w:val="20"/>
        </w:rPr>
        <w:t xml:space="preserve">These limits are different to those suggested in the 26 GHz decision paper and instead align with outcomes of the World Radiocommunication Conference 2019 (WRC-19) and </w:t>
      </w:r>
      <w:r w:rsidR="00B76329" w:rsidRPr="00F63BB0">
        <w:rPr>
          <w:b w:val="0"/>
          <w:vanish w:val="0"/>
          <w:sz w:val="20"/>
          <w:szCs w:val="20"/>
        </w:rPr>
        <w:t>result</w:t>
      </w:r>
      <w:r w:rsidR="00B76329">
        <w:rPr>
          <w:b w:val="0"/>
          <w:vanish w:val="0"/>
          <w:sz w:val="20"/>
          <w:szCs w:val="20"/>
        </w:rPr>
        <w:t>ant</w:t>
      </w:r>
      <w:r w:rsidR="00B76329" w:rsidRPr="00F63BB0">
        <w:rPr>
          <w:b w:val="0"/>
          <w:vanish w:val="0"/>
          <w:sz w:val="20"/>
          <w:szCs w:val="20"/>
        </w:rPr>
        <w:t xml:space="preserve"> </w:t>
      </w:r>
      <w:r w:rsidRPr="00F63BB0">
        <w:rPr>
          <w:b w:val="0"/>
          <w:vanish w:val="0"/>
          <w:sz w:val="20"/>
          <w:szCs w:val="20"/>
        </w:rPr>
        <w:t>changes to ITU Resolution </w:t>
      </w:r>
      <w:r w:rsidRPr="003F78E4">
        <w:rPr>
          <w:b w:val="0"/>
          <w:bCs/>
          <w:vanish w:val="0"/>
          <w:sz w:val="20"/>
          <w:szCs w:val="20"/>
        </w:rPr>
        <w:t>750</w:t>
      </w:r>
      <w:r w:rsidR="001D0D21" w:rsidRPr="003F78E4">
        <w:rPr>
          <w:b w:val="0"/>
          <w:bCs/>
          <w:vanish w:val="0"/>
          <w:sz w:val="20"/>
          <w:szCs w:val="20"/>
        </w:rPr>
        <w:t xml:space="preserve"> (Rev. WRC-19)</w:t>
      </w:r>
      <w:r w:rsidR="00FF6416" w:rsidRPr="00FF6416">
        <w:rPr>
          <w:b w:val="0"/>
          <w:bCs/>
          <w:vanish w:val="0"/>
          <w:sz w:val="20"/>
          <w:szCs w:val="20"/>
        </w:rPr>
        <w:t>.</w:t>
      </w:r>
      <w:r w:rsidRPr="00F63BB0">
        <w:rPr>
          <w:b w:val="0"/>
          <w:vanish w:val="0"/>
          <w:sz w:val="20"/>
          <w:szCs w:val="20"/>
          <w:vertAlign w:val="superscript"/>
        </w:rPr>
        <w:footnoteReference w:id="10"/>
      </w:r>
      <w:r w:rsidRPr="00F63BB0">
        <w:rPr>
          <w:b w:val="0"/>
          <w:vanish w:val="0"/>
          <w:sz w:val="20"/>
          <w:szCs w:val="20"/>
        </w:rPr>
        <w:t xml:space="preserve"> </w:t>
      </w:r>
      <w:r w:rsidR="004A5546">
        <w:rPr>
          <w:b w:val="0"/>
          <w:vanish w:val="0"/>
          <w:sz w:val="20"/>
          <w:szCs w:val="20"/>
        </w:rPr>
        <w:t xml:space="preserve">In some cases, </w:t>
      </w:r>
      <w:r w:rsidRPr="00F63BB0">
        <w:rPr>
          <w:b w:val="0"/>
          <w:vanish w:val="0"/>
          <w:sz w:val="20"/>
          <w:szCs w:val="20"/>
        </w:rPr>
        <w:t>a combination of additional filtering and/or reduced transmit powers</w:t>
      </w:r>
      <w:r w:rsidR="004A5546">
        <w:rPr>
          <w:b w:val="0"/>
          <w:vanish w:val="0"/>
          <w:sz w:val="20"/>
          <w:szCs w:val="20"/>
        </w:rPr>
        <w:t xml:space="preserve"> may</w:t>
      </w:r>
      <w:r w:rsidRPr="00F63BB0">
        <w:rPr>
          <w:b w:val="0"/>
          <w:vanish w:val="0"/>
          <w:sz w:val="20"/>
          <w:szCs w:val="20"/>
        </w:rPr>
        <w:t xml:space="preserve"> need to be </w:t>
      </w:r>
      <w:r w:rsidR="00B76329">
        <w:rPr>
          <w:b w:val="0"/>
          <w:vanish w:val="0"/>
          <w:sz w:val="20"/>
          <w:szCs w:val="20"/>
        </w:rPr>
        <w:t>applied to meet these limits</w:t>
      </w:r>
      <w:r w:rsidRPr="00F63BB0">
        <w:rPr>
          <w:b w:val="0"/>
          <w:vanish w:val="0"/>
          <w:sz w:val="20"/>
          <w:szCs w:val="20"/>
        </w:rPr>
        <w:t>.</w:t>
      </w:r>
    </w:p>
    <w:p w14:paraId="449976E3" w14:textId="392C8BAF" w:rsidR="001D0D21" w:rsidRPr="001D0D21" w:rsidRDefault="001D0D21" w:rsidP="001D0D21">
      <w:pPr>
        <w:pStyle w:val="ACMAInstructions"/>
        <w:rPr>
          <w:b w:val="0"/>
          <w:vanish w:val="0"/>
          <w:sz w:val="20"/>
          <w:szCs w:val="20"/>
        </w:rPr>
      </w:pPr>
      <w:r>
        <w:rPr>
          <w:b w:val="0"/>
          <w:vanish w:val="0"/>
          <w:sz w:val="20"/>
          <w:szCs w:val="20"/>
        </w:rPr>
        <w:lastRenderedPageBreak/>
        <w:t xml:space="preserve">In line with Resolution </w:t>
      </w:r>
      <w:r w:rsidRPr="003F78E4">
        <w:rPr>
          <w:b w:val="0"/>
          <w:vanish w:val="0"/>
          <w:sz w:val="20"/>
          <w:szCs w:val="20"/>
        </w:rPr>
        <w:t>750 (Rev. WRC-19)</w:t>
      </w:r>
      <w:r>
        <w:rPr>
          <w:b w:val="0"/>
          <w:vanish w:val="0"/>
          <w:sz w:val="20"/>
          <w:szCs w:val="20"/>
        </w:rPr>
        <w:t>, a</w:t>
      </w:r>
      <w:r w:rsidRPr="001D0D21">
        <w:rPr>
          <w:b w:val="0"/>
          <w:vanish w:val="0"/>
          <w:sz w:val="20"/>
          <w:szCs w:val="20"/>
        </w:rPr>
        <w:t xml:space="preserve"> </w:t>
      </w:r>
      <w:r>
        <w:rPr>
          <w:b w:val="0"/>
          <w:vanish w:val="0"/>
          <w:sz w:val="20"/>
          <w:szCs w:val="20"/>
        </w:rPr>
        <w:t xml:space="preserve">TRP </w:t>
      </w:r>
      <w:r w:rsidRPr="001D0D21">
        <w:rPr>
          <w:b w:val="0"/>
          <w:vanish w:val="0"/>
          <w:sz w:val="20"/>
          <w:szCs w:val="20"/>
        </w:rPr>
        <w:t xml:space="preserve">limit of −39 </w:t>
      </w:r>
      <w:proofErr w:type="spellStart"/>
      <w:r w:rsidRPr="001D0D21">
        <w:rPr>
          <w:b w:val="0"/>
          <w:vanish w:val="0"/>
          <w:sz w:val="20"/>
          <w:szCs w:val="20"/>
        </w:rPr>
        <w:t>dBW</w:t>
      </w:r>
      <w:proofErr w:type="spellEnd"/>
      <w:r w:rsidRPr="001D0D21">
        <w:rPr>
          <w:b w:val="0"/>
          <w:vanish w:val="0"/>
          <w:sz w:val="20"/>
          <w:szCs w:val="20"/>
        </w:rPr>
        <w:t>/200 MHz</w:t>
      </w:r>
      <w:r>
        <w:rPr>
          <w:b w:val="0"/>
          <w:vanish w:val="0"/>
          <w:sz w:val="20"/>
          <w:szCs w:val="20"/>
        </w:rPr>
        <w:t xml:space="preserve"> for base stations and </w:t>
      </w:r>
      <w:r w:rsidRPr="001D0D21">
        <w:rPr>
          <w:b w:val="0"/>
          <w:vanish w:val="0"/>
          <w:sz w:val="20"/>
          <w:szCs w:val="20"/>
        </w:rPr>
        <w:t>−3</w:t>
      </w:r>
      <w:r>
        <w:rPr>
          <w:b w:val="0"/>
          <w:vanish w:val="0"/>
          <w:sz w:val="20"/>
          <w:szCs w:val="20"/>
        </w:rPr>
        <w:t>5</w:t>
      </w:r>
      <w:r w:rsidRPr="001D0D21">
        <w:rPr>
          <w:b w:val="0"/>
          <w:vanish w:val="0"/>
          <w:sz w:val="20"/>
          <w:szCs w:val="20"/>
        </w:rPr>
        <w:t xml:space="preserve"> </w:t>
      </w:r>
      <w:proofErr w:type="spellStart"/>
      <w:r w:rsidRPr="001D0D21">
        <w:rPr>
          <w:b w:val="0"/>
          <w:vanish w:val="0"/>
          <w:sz w:val="20"/>
          <w:szCs w:val="20"/>
        </w:rPr>
        <w:t>dBW</w:t>
      </w:r>
      <w:proofErr w:type="spellEnd"/>
      <w:r w:rsidRPr="001D0D21">
        <w:rPr>
          <w:b w:val="0"/>
          <w:vanish w:val="0"/>
          <w:sz w:val="20"/>
          <w:szCs w:val="20"/>
        </w:rPr>
        <w:t>/200 MHz</w:t>
      </w:r>
      <w:r>
        <w:rPr>
          <w:b w:val="0"/>
          <w:vanish w:val="0"/>
          <w:sz w:val="20"/>
          <w:szCs w:val="20"/>
        </w:rPr>
        <w:t xml:space="preserve"> for user equipment</w:t>
      </w:r>
      <w:r w:rsidRPr="001D0D21">
        <w:rPr>
          <w:b w:val="0"/>
          <w:vanish w:val="0"/>
          <w:sz w:val="20"/>
          <w:szCs w:val="20"/>
        </w:rPr>
        <w:t xml:space="preserve"> will apply </w:t>
      </w:r>
      <w:r>
        <w:rPr>
          <w:b w:val="0"/>
          <w:vanish w:val="0"/>
          <w:sz w:val="20"/>
          <w:szCs w:val="20"/>
        </w:rPr>
        <w:t xml:space="preserve">to devices </w:t>
      </w:r>
      <w:r w:rsidRPr="001D0D21">
        <w:rPr>
          <w:b w:val="0"/>
          <w:vanish w:val="0"/>
          <w:sz w:val="20"/>
          <w:szCs w:val="20"/>
        </w:rPr>
        <w:t xml:space="preserve">brought into use after 1 September 2027. </w:t>
      </w:r>
    </w:p>
    <w:p w14:paraId="40DDCAB7" w14:textId="26D19066" w:rsidR="00600654" w:rsidRDefault="00600654" w:rsidP="00600654">
      <w:pPr>
        <w:pStyle w:val="Paragraph"/>
      </w:pPr>
      <w:r>
        <w:t>The class of transmitter proposed for these devices is data communications transmitters in controlled premise</w:t>
      </w:r>
      <w:r w:rsidR="009B005E">
        <w:t>s</w:t>
      </w:r>
      <w:r>
        <w:t>. In the case of the 24.25</w:t>
      </w:r>
      <w:r w:rsidR="00826B6F">
        <w:t>–</w:t>
      </w:r>
      <w:r>
        <w:t xml:space="preserve">24.7 GHz band </w:t>
      </w:r>
      <w:r w:rsidR="009B005E">
        <w:t xml:space="preserve">it is also proposed that the </w:t>
      </w:r>
      <w:r>
        <w:t>devices</w:t>
      </w:r>
      <w:r w:rsidR="009B005E">
        <w:t xml:space="preserve"> only be used </w:t>
      </w:r>
      <w:r>
        <w:t xml:space="preserve">indoors. </w:t>
      </w:r>
    </w:p>
    <w:p w14:paraId="7888B2E9" w14:textId="4D2DA75B" w:rsidR="00600654" w:rsidRDefault="00600654" w:rsidP="00600654">
      <w:pPr>
        <w:pStyle w:val="Paragraph"/>
      </w:pPr>
      <w:r>
        <w:t xml:space="preserve">The proposed definition </w:t>
      </w:r>
      <w:r w:rsidRPr="00592D21">
        <w:t xml:space="preserve">of </w:t>
      </w:r>
      <w:r w:rsidR="00826B6F">
        <w:t>‘</w:t>
      </w:r>
      <w:r w:rsidRPr="00592D21">
        <w:t xml:space="preserve">controlled </w:t>
      </w:r>
      <w:r w:rsidR="006D7AF0">
        <w:t>premises</w:t>
      </w:r>
      <w:r w:rsidR="00826B6F">
        <w:t>’</w:t>
      </w:r>
      <w:r w:rsidRPr="00592D21">
        <w:t xml:space="preserve"> is </w:t>
      </w:r>
      <w:r w:rsidR="00826B6F">
        <w:t>‘</w:t>
      </w:r>
      <w:r w:rsidR="006D7AF0" w:rsidRPr="006D7AF0">
        <w:t>premises that are owned by or under the control of a person who is providing a radiocommunications service under this class licence</w:t>
      </w:r>
      <w:r w:rsidR="00826B6F">
        <w:t>’</w:t>
      </w:r>
      <w:r w:rsidRPr="00592D21">
        <w:t>.</w:t>
      </w:r>
      <w:r w:rsidR="00EF297A" w:rsidRPr="00592D21">
        <w:t xml:space="preserve"> This is intended to limit service areas to private (including</w:t>
      </w:r>
      <w:r w:rsidR="00EF297A" w:rsidRPr="00EF297A">
        <w:t xml:space="preserve"> domestic, industrial, business, commercial and government) property</w:t>
      </w:r>
      <w:r w:rsidR="00EF297A">
        <w:t>.</w:t>
      </w:r>
      <w:r w:rsidR="00FA3AC3">
        <w:t xml:space="preserve"> It is expected that the property owner will take responsibility in managing any interference that may occur with other radiocommunications devices operating with</w:t>
      </w:r>
      <w:r w:rsidR="00B76329">
        <w:t>in</w:t>
      </w:r>
      <w:r w:rsidR="00FA3AC3">
        <w:t xml:space="preserve"> the controlled premise</w:t>
      </w:r>
      <w:r w:rsidR="009B005E">
        <w:t>s</w:t>
      </w:r>
      <w:r w:rsidR="00FA3AC3">
        <w:t>, in particular apparatus licensed devices in the range 24.7</w:t>
      </w:r>
      <w:r w:rsidR="005E5321">
        <w:t>–</w:t>
      </w:r>
      <w:r w:rsidR="00FA3AC3">
        <w:t>25.1 GHz.</w:t>
      </w:r>
    </w:p>
    <w:p w14:paraId="4B50593D" w14:textId="1D29FC2F" w:rsidR="00BF5A5A" w:rsidRPr="00513038" w:rsidRDefault="00BF5A5A" w:rsidP="00513038">
      <w:pPr>
        <w:pStyle w:val="Heading2"/>
      </w:pPr>
      <w:bookmarkStart w:id="25" w:name="_Toc50732091"/>
      <w:r w:rsidRPr="00513038">
        <w:t>IoT devices in the 900 MHz band</w:t>
      </w:r>
      <w:bookmarkEnd w:id="25"/>
    </w:p>
    <w:p w14:paraId="34C69F19" w14:textId="6B7A3FA6" w:rsidR="00E87EF0" w:rsidRDefault="00E87EF0" w:rsidP="00513038">
      <w:pPr>
        <w:pStyle w:val="ACMAInstructions"/>
        <w:rPr>
          <w:b w:val="0"/>
          <w:vanish w:val="0"/>
          <w:sz w:val="20"/>
          <w:szCs w:val="20"/>
        </w:rPr>
      </w:pPr>
      <w:r>
        <w:rPr>
          <w:b w:val="0"/>
          <w:vanish w:val="0"/>
          <w:sz w:val="20"/>
          <w:szCs w:val="20"/>
        </w:rPr>
        <w:t xml:space="preserve">The ACMA </w:t>
      </w:r>
      <w:hyperlink r:id="rId29" w:history="1">
        <w:r w:rsidRPr="00AD3851">
          <w:rPr>
            <w:rStyle w:val="Hyperlink"/>
            <w:b w:val="0"/>
            <w:vanish w:val="0"/>
            <w:sz w:val="20"/>
            <w:szCs w:val="20"/>
          </w:rPr>
          <w:t>completed a review of arrangements in the 803–960 MHz band</w:t>
        </w:r>
      </w:hyperlink>
      <w:r w:rsidRPr="00E87EF0">
        <w:rPr>
          <w:b w:val="0"/>
          <w:vanish w:val="0"/>
          <w:sz w:val="20"/>
          <w:szCs w:val="20"/>
        </w:rPr>
        <w:t xml:space="preserve"> </w:t>
      </w:r>
      <w:r>
        <w:rPr>
          <w:b w:val="0"/>
          <w:vanish w:val="0"/>
          <w:sz w:val="20"/>
          <w:szCs w:val="20"/>
        </w:rPr>
        <w:t>in November 2015. The 803</w:t>
      </w:r>
      <w:r w:rsidR="007325A6">
        <w:rPr>
          <w:b w:val="0"/>
          <w:vanish w:val="0"/>
          <w:sz w:val="20"/>
          <w:szCs w:val="20"/>
        </w:rPr>
        <w:t>–</w:t>
      </w:r>
      <w:r>
        <w:rPr>
          <w:b w:val="0"/>
          <w:vanish w:val="0"/>
          <w:sz w:val="20"/>
          <w:szCs w:val="20"/>
        </w:rPr>
        <w:t xml:space="preserve">960 MHz decision </w:t>
      </w:r>
      <w:r w:rsidRPr="00E87EF0">
        <w:rPr>
          <w:b w:val="0"/>
          <w:vanish w:val="0"/>
          <w:sz w:val="20"/>
          <w:szCs w:val="20"/>
        </w:rPr>
        <w:t>paper contains a range of decisions on reforms to the structure of the 803–960 MHz band, as well as a detailed plan for the implementation of these reforms</w:t>
      </w:r>
      <w:r>
        <w:rPr>
          <w:b w:val="0"/>
          <w:vanish w:val="0"/>
          <w:sz w:val="20"/>
          <w:szCs w:val="20"/>
        </w:rPr>
        <w:t xml:space="preserve"> which extends to 2024</w:t>
      </w:r>
      <w:r w:rsidRPr="00E87EF0">
        <w:rPr>
          <w:b w:val="0"/>
          <w:vanish w:val="0"/>
          <w:sz w:val="20"/>
          <w:szCs w:val="20"/>
        </w:rPr>
        <w:t>.</w:t>
      </w:r>
    </w:p>
    <w:p w14:paraId="1234E4EE" w14:textId="4FD4265C" w:rsidR="00E87EF0" w:rsidRDefault="00E87EF0" w:rsidP="00E87EF0">
      <w:pPr>
        <w:pStyle w:val="ACMAInstructions"/>
        <w:rPr>
          <w:b w:val="0"/>
          <w:vanish w:val="0"/>
          <w:sz w:val="20"/>
          <w:szCs w:val="20"/>
        </w:rPr>
      </w:pPr>
      <w:r>
        <w:rPr>
          <w:b w:val="0"/>
          <w:vanish w:val="0"/>
          <w:sz w:val="20"/>
          <w:szCs w:val="20"/>
        </w:rPr>
        <w:t xml:space="preserve">We are proposing to implement decisions relating to the introduction of </w:t>
      </w:r>
      <w:r w:rsidR="00513038" w:rsidRPr="00BF5A5A">
        <w:rPr>
          <w:b w:val="0"/>
          <w:vanish w:val="0"/>
          <w:sz w:val="20"/>
          <w:szCs w:val="20"/>
        </w:rPr>
        <w:t>arrangements</w:t>
      </w:r>
      <w:r w:rsidR="00513038" w:rsidRPr="00513038">
        <w:rPr>
          <w:b w:val="0"/>
          <w:vanish w:val="0"/>
          <w:sz w:val="20"/>
          <w:szCs w:val="20"/>
        </w:rPr>
        <w:t xml:space="preserve"> for IoT devices </w:t>
      </w:r>
      <w:r>
        <w:rPr>
          <w:b w:val="0"/>
          <w:vanish w:val="0"/>
          <w:sz w:val="20"/>
          <w:szCs w:val="20"/>
        </w:rPr>
        <w:t>in the 928</w:t>
      </w:r>
      <w:r w:rsidR="00A676FA">
        <w:rPr>
          <w:b w:val="0"/>
          <w:vanish w:val="0"/>
          <w:sz w:val="20"/>
          <w:szCs w:val="20"/>
        </w:rPr>
        <w:t>–</w:t>
      </w:r>
      <w:r>
        <w:rPr>
          <w:b w:val="0"/>
          <w:vanish w:val="0"/>
          <w:sz w:val="20"/>
          <w:szCs w:val="20"/>
        </w:rPr>
        <w:t xml:space="preserve">935 MHz band in this update to the LIPD </w:t>
      </w:r>
      <w:r w:rsidR="00A676FA">
        <w:rPr>
          <w:b w:val="0"/>
          <w:vanish w:val="0"/>
          <w:sz w:val="20"/>
          <w:szCs w:val="20"/>
        </w:rPr>
        <w:t>C</w:t>
      </w:r>
      <w:r>
        <w:rPr>
          <w:b w:val="0"/>
          <w:vanish w:val="0"/>
          <w:sz w:val="20"/>
          <w:szCs w:val="20"/>
        </w:rPr>
        <w:t xml:space="preserve">lass </w:t>
      </w:r>
      <w:r w:rsidR="00A676FA">
        <w:rPr>
          <w:b w:val="0"/>
          <w:vanish w:val="0"/>
          <w:sz w:val="20"/>
          <w:szCs w:val="20"/>
        </w:rPr>
        <w:t>L</w:t>
      </w:r>
      <w:r>
        <w:rPr>
          <w:b w:val="0"/>
          <w:vanish w:val="0"/>
          <w:sz w:val="20"/>
          <w:szCs w:val="20"/>
        </w:rPr>
        <w:t>icence. These arrangements will</w:t>
      </w:r>
      <w:r w:rsidR="00513038" w:rsidRPr="00513038">
        <w:rPr>
          <w:b w:val="0"/>
          <w:vanish w:val="0"/>
          <w:sz w:val="20"/>
          <w:szCs w:val="20"/>
        </w:rPr>
        <w:t xml:space="preserve"> support low</w:t>
      </w:r>
      <w:r w:rsidR="002616C0">
        <w:rPr>
          <w:b w:val="0"/>
          <w:vanish w:val="0"/>
          <w:sz w:val="20"/>
          <w:szCs w:val="20"/>
        </w:rPr>
        <w:t>-</w:t>
      </w:r>
      <w:r w:rsidR="00513038" w:rsidRPr="00513038">
        <w:rPr>
          <w:b w:val="0"/>
          <w:vanish w:val="0"/>
          <w:sz w:val="20"/>
          <w:szCs w:val="20"/>
        </w:rPr>
        <w:t>power wide</w:t>
      </w:r>
      <w:r w:rsidR="002616C0">
        <w:rPr>
          <w:b w:val="0"/>
          <w:vanish w:val="0"/>
          <w:sz w:val="20"/>
          <w:szCs w:val="20"/>
        </w:rPr>
        <w:t>-</w:t>
      </w:r>
      <w:r w:rsidR="00513038" w:rsidRPr="00513038">
        <w:rPr>
          <w:b w:val="0"/>
          <w:vanish w:val="0"/>
          <w:sz w:val="20"/>
          <w:szCs w:val="20"/>
        </w:rPr>
        <w:t>area network (LPWAN) rollouts, which include a range of emerging monitoring and control technologies.</w:t>
      </w:r>
    </w:p>
    <w:p w14:paraId="46FBAE04" w14:textId="119B51BC" w:rsidR="00741CD8" w:rsidRPr="00F63BB0" w:rsidRDefault="00741CD8" w:rsidP="00E87EF0">
      <w:pPr>
        <w:pStyle w:val="ACMAInstructions"/>
        <w:rPr>
          <w:b w:val="0"/>
          <w:vanish w:val="0"/>
          <w:sz w:val="20"/>
          <w:szCs w:val="20"/>
        </w:rPr>
      </w:pPr>
      <w:r>
        <w:rPr>
          <w:b w:val="0"/>
          <w:vanish w:val="0"/>
          <w:sz w:val="20"/>
          <w:szCs w:val="20"/>
        </w:rPr>
        <w:t>The 803</w:t>
      </w:r>
      <w:r w:rsidR="0076138C">
        <w:rPr>
          <w:b w:val="0"/>
          <w:vanish w:val="0"/>
          <w:sz w:val="20"/>
          <w:szCs w:val="20"/>
        </w:rPr>
        <w:t>–</w:t>
      </w:r>
      <w:r>
        <w:rPr>
          <w:b w:val="0"/>
          <w:vanish w:val="0"/>
          <w:sz w:val="20"/>
          <w:szCs w:val="20"/>
        </w:rPr>
        <w:t xml:space="preserve">960 MHz decision paper also proposed to facilitate use of the </w:t>
      </w:r>
      <w:r w:rsidRPr="00741CD8">
        <w:rPr>
          <w:b w:val="0"/>
          <w:vanish w:val="0"/>
          <w:sz w:val="20"/>
          <w:szCs w:val="20"/>
        </w:rPr>
        <w:t>933–935 MHz</w:t>
      </w:r>
      <w:r>
        <w:rPr>
          <w:b w:val="0"/>
          <w:vanish w:val="0"/>
          <w:sz w:val="20"/>
          <w:szCs w:val="20"/>
        </w:rPr>
        <w:t xml:space="preserve"> band for </w:t>
      </w:r>
      <w:r w:rsidRPr="00741CD8">
        <w:rPr>
          <w:b w:val="0"/>
          <w:vanish w:val="0"/>
          <w:sz w:val="20"/>
          <w:szCs w:val="20"/>
        </w:rPr>
        <w:t>research, development and testing of cognitive radio devices</w:t>
      </w:r>
      <w:r w:rsidR="00B76329">
        <w:rPr>
          <w:b w:val="0"/>
          <w:vanish w:val="0"/>
          <w:sz w:val="20"/>
          <w:szCs w:val="20"/>
        </w:rPr>
        <w:t xml:space="preserve"> in high and medium</w:t>
      </w:r>
      <w:r w:rsidR="0076138C">
        <w:rPr>
          <w:b w:val="0"/>
          <w:vanish w:val="0"/>
          <w:sz w:val="20"/>
          <w:szCs w:val="20"/>
        </w:rPr>
        <w:t>-</w:t>
      </w:r>
      <w:r w:rsidR="00B76329">
        <w:rPr>
          <w:b w:val="0"/>
          <w:vanish w:val="0"/>
          <w:sz w:val="20"/>
          <w:szCs w:val="20"/>
        </w:rPr>
        <w:t>density areas</w:t>
      </w:r>
      <w:r>
        <w:rPr>
          <w:b w:val="0"/>
          <w:vanish w:val="0"/>
          <w:sz w:val="20"/>
          <w:szCs w:val="20"/>
        </w:rPr>
        <w:t xml:space="preserve">. However, interest in this application </w:t>
      </w:r>
      <w:r w:rsidR="00FF6416">
        <w:rPr>
          <w:b w:val="0"/>
          <w:vanish w:val="0"/>
          <w:sz w:val="20"/>
          <w:szCs w:val="20"/>
        </w:rPr>
        <w:t>appears to have</w:t>
      </w:r>
      <w:r>
        <w:rPr>
          <w:b w:val="0"/>
          <w:vanish w:val="0"/>
          <w:sz w:val="20"/>
          <w:szCs w:val="20"/>
        </w:rPr>
        <w:t xml:space="preserve"> </w:t>
      </w:r>
      <w:r w:rsidR="004C701B">
        <w:rPr>
          <w:b w:val="0"/>
          <w:vanish w:val="0"/>
          <w:sz w:val="20"/>
          <w:szCs w:val="20"/>
        </w:rPr>
        <w:t xml:space="preserve">diminished </w:t>
      </w:r>
      <w:r>
        <w:rPr>
          <w:b w:val="0"/>
          <w:vanish w:val="0"/>
          <w:sz w:val="20"/>
          <w:szCs w:val="20"/>
        </w:rPr>
        <w:t>since the release of the decision paper</w:t>
      </w:r>
      <w:r w:rsidRPr="00741CD8">
        <w:rPr>
          <w:b w:val="0"/>
          <w:vanish w:val="0"/>
          <w:sz w:val="20"/>
          <w:szCs w:val="20"/>
        </w:rPr>
        <w:t>.</w:t>
      </w:r>
      <w:r>
        <w:rPr>
          <w:b w:val="0"/>
          <w:vanish w:val="0"/>
          <w:sz w:val="20"/>
          <w:szCs w:val="20"/>
        </w:rPr>
        <w:t xml:space="preserve"> It is therefore proposed that these measures are not implemented and that potential users instead rely on the provisions proposed for f</w:t>
      </w:r>
      <w:r w:rsidRPr="00741CD8">
        <w:rPr>
          <w:b w:val="0"/>
          <w:vanish w:val="0"/>
          <w:sz w:val="20"/>
          <w:szCs w:val="20"/>
        </w:rPr>
        <w:t>ixed telecommand or telemetry transmitters (including mesh devices)</w:t>
      </w:r>
      <w:r w:rsidR="00A2230C">
        <w:rPr>
          <w:b w:val="0"/>
          <w:vanish w:val="0"/>
          <w:sz w:val="20"/>
          <w:szCs w:val="20"/>
        </w:rPr>
        <w:t xml:space="preserve"> and other existing arrangements</w:t>
      </w:r>
      <w:r>
        <w:rPr>
          <w:b w:val="0"/>
          <w:vanish w:val="0"/>
          <w:sz w:val="20"/>
          <w:szCs w:val="20"/>
        </w:rPr>
        <w:t>.</w:t>
      </w:r>
      <w:r w:rsidR="009D4834">
        <w:rPr>
          <w:b w:val="0"/>
          <w:vanish w:val="0"/>
          <w:sz w:val="20"/>
          <w:szCs w:val="20"/>
        </w:rPr>
        <w:t xml:space="preserve"> </w:t>
      </w:r>
    </w:p>
    <w:p w14:paraId="123F3C5B" w14:textId="551AAB05" w:rsidR="00E87EF0" w:rsidRDefault="00E87EF0" w:rsidP="00E87EF0">
      <w:pPr>
        <w:pStyle w:val="Heading3"/>
      </w:pPr>
      <w:r>
        <w:t>Technical conditions</w:t>
      </w:r>
    </w:p>
    <w:p w14:paraId="7B1FCE62" w14:textId="0E9B65CD" w:rsidR="00271E1E" w:rsidRDefault="000F726F" w:rsidP="00271E1E">
      <w:r>
        <w:t>The 803</w:t>
      </w:r>
      <w:r w:rsidR="002616C0">
        <w:t>–</w:t>
      </w:r>
      <w:r>
        <w:t>960 MHz decision paper included proposed technical conditions for devices in the 928-93</w:t>
      </w:r>
      <w:r w:rsidR="009B005E">
        <w:t>5</w:t>
      </w:r>
      <w:r>
        <w:t xml:space="preserve"> MHz band.</w:t>
      </w:r>
    </w:p>
    <w:p w14:paraId="73F9CCF5" w14:textId="7A9D2E67" w:rsidR="000F726F" w:rsidRPr="00271E1E" w:rsidRDefault="000F726F" w:rsidP="003F78E4">
      <w:pPr>
        <w:pStyle w:val="Paragraphbeforelist"/>
      </w:pPr>
      <w:r w:rsidRPr="000F726F">
        <w:t xml:space="preserve">The following conditions are proposed for the use of </w:t>
      </w:r>
      <w:r w:rsidR="007C0E96">
        <w:t xml:space="preserve">fixed </w:t>
      </w:r>
      <w:r w:rsidR="007C0E96" w:rsidRPr="007E37A5">
        <w:rPr>
          <w:szCs w:val="20"/>
        </w:rPr>
        <w:t xml:space="preserve">telecommand or telemetry transmitters </w:t>
      </w:r>
      <w:r w:rsidRPr="000F726F">
        <w:t xml:space="preserve">in the </w:t>
      </w:r>
      <w:r w:rsidR="007C0E96" w:rsidRPr="007E37A5">
        <w:rPr>
          <w:szCs w:val="20"/>
        </w:rPr>
        <w:t>928</w:t>
      </w:r>
      <w:r w:rsidR="007C0E96">
        <w:rPr>
          <w:szCs w:val="20"/>
        </w:rPr>
        <w:t>–</w:t>
      </w:r>
      <w:r w:rsidR="007C0E96" w:rsidRPr="007E37A5">
        <w:rPr>
          <w:szCs w:val="20"/>
        </w:rPr>
        <w:t>93</w:t>
      </w:r>
      <w:r w:rsidR="007C0E96">
        <w:rPr>
          <w:szCs w:val="20"/>
        </w:rPr>
        <w:t>5</w:t>
      </w:r>
      <w:r w:rsidR="007C0E96" w:rsidRPr="007E37A5">
        <w:rPr>
          <w:szCs w:val="20"/>
        </w:rPr>
        <w:t xml:space="preserve"> MHz</w:t>
      </w:r>
      <w:r w:rsidR="007C0E96" w:rsidRPr="000F726F">
        <w:t xml:space="preserve"> </w:t>
      </w:r>
      <w:r w:rsidR="007C0E96">
        <w:t>band</w:t>
      </w:r>
      <w:r w:rsidR="002616C0">
        <w:t>,</w:t>
      </w:r>
      <w:r w:rsidRPr="000F726F">
        <w:t xml:space="preserve"> which are identical to those described in the </w:t>
      </w:r>
      <w:r w:rsidR="007C0E96">
        <w:t>803</w:t>
      </w:r>
      <w:r w:rsidR="002616C0">
        <w:t>–</w:t>
      </w:r>
      <w:r w:rsidR="007C0E96">
        <w:t>960 MHz</w:t>
      </w:r>
      <w:r w:rsidRPr="000F726F">
        <w:t xml:space="preserve"> decision paper:</w:t>
      </w:r>
    </w:p>
    <w:p w14:paraId="43AC4179" w14:textId="08CA2B35" w:rsidR="00E87EF0" w:rsidRPr="007C0E96" w:rsidRDefault="00FF6416" w:rsidP="007C0E96">
      <w:pPr>
        <w:pStyle w:val="ListBullet"/>
        <w:rPr>
          <w:rStyle w:val="Hyperlink"/>
          <w:color w:val="auto"/>
          <w:u w:val="none"/>
        </w:rPr>
      </w:pPr>
      <w:r>
        <w:rPr>
          <w:rStyle w:val="Hyperlink"/>
          <w:color w:val="auto"/>
          <w:u w:val="none"/>
        </w:rPr>
        <w:t>A</w:t>
      </w:r>
      <w:r w:rsidR="00E87EF0" w:rsidRPr="007C0E96">
        <w:rPr>
          <w:rStyle w:val="Hyperlink"/>
          <w:color w:val="auto"/>
          <w:u w:val="none"/>
        </w:rPr>
        <w:t>uthorised on a non-exclusive basis</w:t>
      </w:r>
      <w:r w:rsidR="002616C0">
        <w:rPr>
          <w:rStyle w:val="Hyperlink"/>
          <w:color w:val="auto"/>
          <w:u w:val="none"/>
        </w:rPr>
        <w:t>.</w:t>
      </w:r>
      <w:r w:rsidR="00E87EF0" w:rsidRPr="007C0E96">
        <w:rPr>
          <w:rStyle w:val="Hyperlink"/>
          <w:color w:val="auto"/>
          <w:u w:val="none"/>
        </w:rPr>
        <w:t xml:space="preserve"> (</w:t>
      </w:r>
      <w:r w:rsidR="007C0E96" w:rsidRPr="007C0E96">
        <w:rPr>
          <w:rStyle w:val="Hyperlink"/>
          <w:color w:val="auto"/>
          <w:u w:val="none"/>
        </w:rPr>
        <w:t xml:space="preserve">As noted </w:t>
      </w:r>
      <w:r w:rsidR="007C0E96" w:rsidRPr="006D7AF0">
        <w:rPr>
          <w:rStyle w:val="Hyperlink"/>
          <w:color w:val="auto"/>
          <w:u w:val="none"/>
        </w:rPr>
        <w:t xml:space="preserve">in </w:t>
      </w:r>
      <w:r w:rsidR="00592D21" w:rsidRPr="006D7AF0">
        <w:rPr>
          <w:rStyle w:val="Hyperlink"/>
          <w:color w:val="auto"/>
          <w:u w:val="none"/>
        </w:rPr>
        <w:t xml:space="preserve">note 1 of Section 4 of </w:t>
      </w:r>
      <w:r w:rsidR="007C0E96" w:rsidRPr="006D7AF0">
        <w:rPr>
          <w:rStyle w:val="Hyperlink"/>
          <w:color w:val="auto"/>
          <w:u w:val="none"/>
        </w:rPr>
        <w:t xml:space="preserve">the LIPD </w:t>
      </w:r>
      <w:r w:rsidR="002616C0">
        <w:rPr>
          <w:rStyle w:val="Hyperlink"/>
          <w:color w:val="auto"/>
          <w:u w:val="none"/>
        </w:rPr>
        <w:t>C</w:t>
      </w:r>
      <w:r w:rsidR="007C0E96" w:rsidRPr="006D7AF0">
        <w:rPr>
          <w:rStyle w:val="Hyperlink"/>
          <w:color w:val="auto"/>
          <w:u w:val="none"/>
        </w:rPr>
        <w:t xml:space="preserve">lass </w:t>
      </w:r>
      <w:r w:rsidR="002616C0">
        <w:rPr>
          <w:rStyle w:val="Hyperlink"/>
          <w:color w:val="auto"/>
          <w:u w:val="none"/>
        </w:rPr>
        <w:t>L</w:t>
      </w:r>
      <w:r w:rsidR="007C0E96" w:rsidRPr="006D7AF0">
        <w:rPr>
          <w:rStyle w:val="Hyperlink"/>
          <w:color w:val="auto"/>
          <w:u w:val="none"/>
        </w:rPr>
        <w:t>icence, a transmitter operated under the LIP</w:t>
      </w:r>
      <w:r w:rsidR="007C0E96" w:rsidRPr="007C0E96">
        <w:rPr>
          <w:rStyle w:val="Hyperlink"/>
          <w:color w:val="auto"/>
          <w:u w:val="none"/>
        </w:rPr>
        <w:t xml:space="preserve">D </w:t>
      </w:r>
      <w:r w:rsidR="002616C0">
        <w:rPr>
          <w:rStyle w:val="Hyperlink"/>
          <w:color w:val="auto"/>
          <w:u w:val="none"/>
        </w:rPr>
        <w:t>C</w:t>
      </w:r>
      <w:r w:rsidR="007C0E96" w:rsidRPr="007C0E96">
        <w:rPr>
          <w:rStyle w:val="Hyperlink"/>
          <w:color w:val="auto"/>
          <w:u w:val="none"/>
        </w:rPr>
        <w:t xml:space="preserve">lass </w:t>
      </w:r>
      <w:r w:rsidR="002616C0">
        <w:rPr>
          <w:rStyle w:val="Hyperlink"/>
          <w:color w:val="auto"/>
          <w:u w:val="none"/>
        </w:rPr>
        <w:t>L</w:t>
      </w:r>
      <w:r w:rsidR="007C0E96" w:rsidRPr="007C0E96">
        <w:rPr>
          <w:rStyle w:val="Hyperlink"/>
          <w:color w:val="auto"/>
          <w:u w:val="none"/>
        </w:rPr>
        <w:t>icence can be expected to be operating in parts of the radiofrequency spectrum used by other</w:t>
      </w:r>
      <w:r w:rsidR="002616C0">
        <w:rPr>
          <w:rStyle w:val="Hyperlink"/>
          <w:color w:val="auto"/>
          <w:u w:val="none"/>
        </w:rPr>
        <w:t> </w:t>
      </w:r>
      <w:r w:rsidR="007C0E96" w:rsidRPr="007C0E96">
        <w:rPr>
          <w:rStyle w:val="Hyperlink"/>
          <w:color w:val="auto"/>
          <w:u w:val="none"/>
        </w:rPr>
        <w:t>radiocommunications devices. A receiver tuned to the transmitter will not</w:t>
      </w:r>
      <w:r w:rsidR="002616C0">
        <w:rPr>
          <w:rStyle w:val="Hyperlink"/>
          <w:color w:val="auto"/>
          <w:u w:val="none"/>
        </w:rPr>
        <w:t> </w:t>
      </w:r>
      <w:r w:rsidR="007C0E96" w:rsidRPr="007C0E96">
        <w:rPr>
          <w:rStyle w:val="Hyperlink"/>
          <w:color w:val="auto"/>
          <w:u w:val="none"/>
        </w:rPr>
        <w:t>be</w:t>
      </w:r>
      <w:r w:rsidR="002616C0">
        <w:rPr>
          <w:rStyle w:val="Hyperlink"/>
          <w:color w:val="auto"/>
          <w:u w:val="none"/>
        </w:rPr>
        <w:t> </w:t>
      </w:r>
      <w:r w:rsidR="007C0E96" w:rsidRPr="007C0E96">
        <w:rPr>
          <w:rStyle w:val="Hyperlink"/>
          <w:color w:val="auto"/>
          <w:u w:val="none"/>
        </w:rPr>
        <w:t>afforded protection from interference caused by other radiocommunications</w:t>
      </w:r>
      <w:r w:rsidR="002616C0">
        <w:rPr>
          <w:rStyle w:val="Hyperlink"/>
          <w:color w:val="auto"/>
          <w:u w:val="none"/>
        </w:rPr>
        <w:t> </w:t>
      </w:r>
      <w:r w:rsidR="007C0E96" w:rsidRPr="007C0E96">
        <w:rPr>
          <w:rStyle w:val="Hyperlink"/>
          <w:color w:val="auto"/>
          <w:u w:val="none"/>
        </w:rPr>
        <w:t>devices</w:t>
      </w:r>
      <w:r w:rsidR="002616C0">
        <w:rPr>
          <w:rStyle w:val="Hyperlink"/>
          <w:color w:val="auto"/>
          <w:u w:val="none"/>
        </w:rPr>
        <w:t>.</w:t>
      </w:r>
      <w:r w:rsidR="00E87EF0" w:rsidRPr="007C0E96">
        <w:rPr>
          <w:rStyle w:val="Hyperlink"/>
          <w:color w:val="auto"/>
          <w:u w:val="none"/>
        </w:rPr>
        <w:t>)</w:t>
      </w:r>
    </w:p>
    <w:p w14:paraId="425893ED" w14:textId="4142AEA7" w:rsidR="00E87EF0" w:rsidRPr="007C0E96" w:rsidRDefault="00E87EF0" w:rsidP="007C0E96">
      <w:pPr>
        <w:pStyle w:val="ListBullet"/>
        <w:rPr>
          <w:rStyle w:val="Hyperlink"/>
          <w:color w:val="auto"/>
          <w:u w:val="none"/>
        </w:rPr>
      </w:pPr>
      <w:r w:rsidRPr="007C0E96">
        <w:rPr>
          <w:rStyle w:val="Hyperlink"/>
          <w:color w:val="auto"/>
          <w:u w:val="none"/>
        </w:rPr>
        <w:t xml:space="preserve">EIRP not to exceed 25 </w:t>
      </w:r>
      <w:proofErr w:type="spellStart"/>
      <w:r w:rsidRPr="007C0E96">
        <w:rPr>
          <w:rStyle w:val="Hyperlink"/>
          <w:color w:val="auto"/>
          <w:u w:val="none"/>
        </w:rPr>
        <w:t>mW</w:t>
      </w:r>
      <w:proofErr w:type="spellEnd"/>
      <w:r w:rsidRPr="007C0E96">
        <w:rPr>
          <w:rStyle w:val="Hyperlink"/>
          <w:color w:val="auto"/>
          <w:u w:val="none"/>
        </w:rPr>
        <w:t xml:space="preserve"> (14 dBm)</w:t>
      </w:r>
      <w:r w:rsidR="002616C0">
        <w:rPr>
          <w:rStyle w:val="Hyperlink"/>
          <w:color w:val="auto"/>
          <w:u w:val="none"/>
        </w:rPr>
        <w:t xml:space="preserve">. </w:t>
      </w:r>
    </w:p>
    <w:p w14:paraId="5B2FC430" w14:textId="38068B8D" w:rsidR="00E87EF0" w:rsidRDefault="00E87EF0" w:rsidP="00B51C03">
      <w:pPr>
        <w:pStyle w:val="ListBullet"/>
        <w:spacing w:after="240"/>
        <w:rPr>
          <w:rFonts w:cs="Arial"/>
          <w:szCs w:val="20"/>
        </w:rPr>
      </w:pPr>
      <w:r w:rsidRPr="007C0E96">
        <w:rPr>
          <w:rStyle w:val="Hyperlink"/>
          <w:color w:val="auto"/>
          <w:u w:val="none"/>
        </w:rPr>
        <w:t>Radiated</w:t>
      </w:r>
      <w:r w:rsidR="007C0E96">
        <w:rPr>
          <w:rStyle w:val="Hyperlink"/>
          <w:color w:val="auto"/>
          <w:u w:val="none"/>
        </w:rPr>
        <w:t xml:space="preserve"> power spectral density (</w:t>
      </w:r>
      <w:r w:rsidRPr="007E37A5">
        <w:rPr>
          <w:rFonts w:cs="Arial"/>
          <w:szCs w:val="20"/>
        </w:rPr>
        <w:t>PSD</w:t>
      </w:r>
      <w:r w:rsidR="007C0E96">
        <w:rPr>
          <w:rFonts w:cs="Arial"/>
          <w:szCs w:val="20"/>
        </w:rPr>
        <w:t>)</w:t>
      </w:r>
      <w:r w:rsidRPr="007E37A5">
        <w:rPr>
          <w:rFonts w:cs="Arial"/>
          <w:szCs w:val="20"/>
        </w:rPr>
        <w:t xml:space="preserve"> not to exceed -14.5 dBm/kHz</w:t>
      </w:r>
      <w:r w:rsidR="009B005E">
        <w:rPr>
          <w:rFonts w:cs="Arial"/>
          <w:szCs w:val="20"/>
        </w:rPr>
        <w:t>.</w:t>
      </w:r>
    </w:p>
    <w:p w14:paraId="3615B3B8" w14:textId="54987775" w:rsidR="007C0E96" w:rsidRPr="007C0E96" w:rsidRDefault="007C0E96" w:rsidP="007C0E96">
      <w:r w:rsidRPr="007C0E96">
        <w:t>It is proposed that a maximum duty cycle</w:t>
      </w:r>
      <w:r>
        <w:t xml:space="preserve"> of</w:t>
      </w:r>
      <w:r w:rsidRPr="007C0E96">
        <w:t xml:space="preserve"> 0.1</w:t>
      </w:r>
      <w:r w:rsidR="002F1A2B">
        <w:t xml:space="preserve"> per cent</w:t>
      </w:r>
      <w:r w:rsidRPr="007C0E96">
        <w:t xml:space="preserve"> be applied to transmitters operating under these provisions averaged over one hour on any given frequency.</w:t>
      </w:r>
      <w:r>
        <w:t xml:space="preserve"> </w:t>
      </w:r>
      <w:r w:rsidRPr="007C0E96">
        <w:t xml:space="preserve">This is </w:t>
      </w:r>
      <w:r w:rsidR="00B76329">
        <w:t>lower</w:t>
      </w:r>
      <w:r w:rsidRPr="007C0E96">
        <w:t xml:space="preserve"> than the 1</w:t>
      </w:r>
      <w:r w:rsidR="002F1A2B">
        <w:t xml:space="preserve"> per cent</w:t>
      </w:r>
      <w:r w:rsidRPr="007C0E96">
        <w:t xml:space="preserve"> duty</w:t>
      </w:r>
      <w:r>
        <w:t xml:space="preserve"> cycle suggested in the</w:t>
      </w:r>
      <w:r w:rsidRPr="007C0E96">
        <w:t xml:space="preserve"> </w:t>
      </w:r>
      <w:r>
        <w:rPr>
          <w:rFonts w:cs="Arial"/>
          <w:szCs w:val="20"/>
        </w:rPr>
        <w:t>803</w:t>
      </w:r>
      <w:r w:rsidR="00AA0DD5">
        <w:rPr>
          <w:rFonts w:cs="Arial"/>
          <w:szCs w:val="20"/>
        </w:rPr>
        <w:t>–</w:t>
      </w:r>
      <w:r>
        <w:rPr>
          <w:rFonts w:cs="Arial"/>
          <w:szCs w:val="20"/>
        </w:rPr>
        <w:t xml:space="preserve">960 MHz decision </w:t>
      </w:r>
      <w:r>
        <w:rPr>
          <w:rFonts w:cs="Arial"/>
          <w:szCs w:val="20"/>
        </w:rPr>
        <w:lastRenderedPageBreak/>
        <w:t xml:space="preserve">paper. </w:t>
      </w:r>
      <w:r w:rsidR="00934DFB">
        <w:rPr>
          <w:rFonts w:cs="Arial"/>
          <w:szCs w:val="20"/>
        </w:rPr>
        <w:t xml:space="preserve">The proposed change follows discussion in the </w:t>
      </w:r>
      <w:r w:rsidR="00934DFB" w:rsidRPr="00934DFB">
        <w:rPr>
          <w:rFonts w:cs="Arial"/>
          <w:szCs w:val="20"/>
        </w:rPr>
        <w:t>IoT Alliance Australia (</w:t>
      </w:r>
      <w:proofErr w:type="spellStart"/>
      <w:r w:rsidR="00934DFB" w:rsidRPr="00934DFB">
        <w:rPr>
          <w:rFonts w:cs="Arial"/>
          <w:szCs w:val="20"/>
        </w:rPr>
        <w:t>IoTAA</w:t>
      </w:r>
      <w:proofErr w:type="spellEnd"/>
      <w:r w:rsidR="00934DFB" w:rsidRPr="00934DFB">
        <w:rPr>
          <w:rFonts w:cs="Arial"/>
          <w:szCs w:val="20"/>
        </w:rPr>
        <w:t>)</w:t>
      </w:r>
      <w:r w:rsidR="00934DFB">
        <w:rPr>
          <w:rFonts w:cs="Arial"/>
          <w:szCs w:val="20"/>
        </w:rPr>
        <w:t xml:space="preserve"> spectrum working group</w:t>
      </w:r>
      <w:r w:rsidR="00AA0DD5">
        <w:rPr>
          <w:rFonts w:cs="Arial"/>
          <w:szCs w:val="20"/>
        </w:rPr>
        <w:t>.</w:t>
      </w:r>
      <w:r w:rsidR="008250C7">
        <w:rPr>
          <w:rStyle w:val="FootnoteReference"/>
          <w:rFonts w:cs="Arial"/>
          <w:szCs w:val="20"/>
        </w:rPr>
        <w:footnoteReference w:id="11"/>
      </w:r>
      <w:r w:rsidR="00934DFB">
        <w:rPr>
          <w:rFonts w:cs="Arial"/>
          <w:szCs w:val="20"/>
        </w:rPr>
        <w:t xml:space="preserve"> </w:t>
      </w:r>
    </w:p>
    <w:p w14:paraId="4A56E0DE" w14:textId="228DE8F4" w:rsidR="007C0E96" w:rsidRDefault="00A2230C" w:rsidP="00A2230C">
      <w:pPr>
        <w:rPr>
          <w:rFonts w:cs="Arial"/>
          <w:szCs w:val="20"/>
        </w:rPr>
      </w:pPr>
      <w:r>
        <w:rPr>
          <w:szCs w:val="20"/>
        </w:rPr>
        <w:t>It was also proposed that o</w:t>
      </w:r>
      <w:r w:rsidRPr="007E37A5">
        <w:rPr>
          <w:szCs w:val="20"/>
        </w:rPr>
        <w:t xml:space="preserve">peration </w:t>
      </w:r>
      <w:r>
        <w:rPr>
          <w:szCs w:val="20"/>
        </w:rPr>
        <w:t>in the 933</w:t>
      </w:r>
      <w:r w:rsidR="00AA0DD5">
        <w:rPr>
          <w:szCs w:val="20"/>
        </w:rPr>
        <w:t>–</w:t>
      </w:r>
      <w:r>
        <w:rPr>
          <w:szCs w:val="20"/>
        </w:rPr>
        <w:t xml:space="preserve">935 MHz band be limited </w:t>
      </w:r>
      <w:r w:rsidRPr="007E37A5">
        <w:rPr>
          <w:szCs w:val="20"/>
        </w:rPr>
        <w:t>to low and remote</w:t>
      </w:r>
      <w:r w:rsidR="00C72C2C">
        <w:rPr>
          <w:szCs w:val="20"/>
        </w:rPr>
        <w:t>-</w:t>
      </w:r>
      <w:r w:rsidRPr="007E37A5">
        <w:rPr>
          <w:szCs w:val="20"/>
        </w:rPr>
        <w:t>density areas</w:t>
      </w:r>
      <w:r>
        <w:rPr>
          <w:szCs w:val="20"/>
        </w:rPr>
        <w:t xml:space="preserve">. </w:t>
      </w:r>
      <w:r>
        <w:rPr>
          <w:rFonts w:cs="Arial"/>
          <w:szCs w:val="20"/>
        </w:rPr>
        <w:t xml:space="preserve">However, </w:t>
      </w:r>
      <w:r w:rsidR="009D4834">
        <w:rPr>
          <w:rFonts w:cs="Arial"/>
          <w:szCs w:val="20"/>
        </w:rPr>
        <w:t xml:space="preserve">as the previously proposed arrangements for research, development and testing of cognitive radio devices in </w:t>
      </w:r>
      <w:r w:rsidR="008250C7">
        <w:rPr>
          <w:rFonts w:cs="Arial"/>
          <w:szCs w:val="20"/>
        </w:rPr>
        <w:t xml:space="preserve">the </w:t>
      </w:r>
      <w:r w:rsidR="009D4834">
        <w:rPr>
          <w:rFonts w:cs="Arial"/>
          <w:szCs w:val="20"/>
        </w:rPr>
        <w:t>933</w:t>
      </w:r>
      <w:r w:rsidR="00C72C2C">
        <w:rPr>
          <w:rFonts w:cs="Arial"/>
          <w:szCs w:val="20"/>
        </w:rPr>
        <w:t>–</w:t>
      </w:r>
      <w:r w:rsidR="009D4834">
        <w:rPr>
          <w:rFonts w:cs="Arial"/>
          <w:szCs w:val="20"/>
        </w:rPr>
        <w:t xml:space="preserve">935 MHz </w:t>
      </w:r>
      <w:r w:rsidR="008250C7">
        <w:rPr>
          <w:rFonts w:cs="Arial"/>
          <w:szCs w:val="20"/>
        </w:rPr>
        <w:t xml:space="preserve">band </w:t>
      </w:r>
      <w:r w:rsidR="009D4834">
        <w:rPr>
          <w:rFonts w:cs="Arial"/>
          <w:szCs w:val="20"/>
        </w:rPr>
        <w:t xml:space="preserve">are not being pursued, </w:t>
      </w:r>
      <w:r>
        <w:rPr>
          <w:rFonts w:cs="Arial"/>
          <w:szCs w:val="20"/>
        </w:rPr>
        <w:t xml:space="preserve">this limitation is not proposed to be included in the LIPD </w:t>
      </w:r>
      <w:r w:rsidR="00C72C2C">
        <w:rPr>
          <w:rFonts w:cs="Arial"/>
          <w:szCs w:val="20"/>
        </w:rPr>
        <w:t>C</w:t>
      </w:r>
      <w:r>
        <w:rPr>
          <w:rFonts w:cs="Arial"/>
          <w:szCs w:val="20"/>
        </w:rPr>
        <w:t xml:space="preserve">lass </w:t>
      </w:r>
      <w:r w:rsidR="00C72C2C">
        <w:rPr>
          <w:rFonts w:cs="Arial"/>
          <w:szCs w:val="20"/>
        </w:rPr>
        <w:t>L</w:t>
      </w:r>
      <w:r>
        <w:rPr>
          <w:rFonts w:cs="Arial"/>
          <w:szCs w:val="20"/>
        </w:rPr>
        <w:t>icence for operations in the 928</w:t>
      </w:r>
      <w:r w:rsidR="00C72C2C">
        <w:rPr>
          <w:rFonts w:cs="Arial"/>
          <w:szCs w:val="20"/>
        </w:rPr>
        <w:t>–</w:t>
      </w:r>
      <w:r>
        <w:rPr>
          <w:rFonts w:cs="Arial"/>
          <w:szCs w:val="20"/>
        </w:rPr>
        <w:t>935 MHz band.</w:t>
      </w:r>
    </w:p>
    <w:p w14:paraId="760540A3" w14:textId="38C847D2" w:rsidR="007C0E96" w:rsidRDefault="007C0E96" w:rsidP="004B5A94">
      <w:pPr>
        <w:pStyle w:val="Paragraph"/>
        <w:rPr>
          <w:szCs w:val="20"/>
        </w:rPr>
      </w:pPr>
      <w:r>
        <w:rPr>
          <w:szCs w:val="20"/>
        </w:rPr>
        <w:t>It was proposed in the 803</w:t>
      </w:r>
      <w:r w:rsidR="00C72C2C">
        <w:rPr>
          <w:szCs w:val="20"/>
        </w:rPr>
        <w:t>–</w:t>
      </w:r>
      <w:r>
        <w:rPr>
          <w:szCs w:val="20"/>
        </w:rPr>
        <w:t xml:space="preserve">960 MHz decision paper that installations be </w:t>
      </w:r>
      <w:r w:rsidRPr="007C0E96">
        <w:rPr>
          <w:szCs w:val="20"/>
        </w:rPr>
        <w:t>limited to devices intended for long-term operation in a fixed installation (operating for a period of not less than six months).</w:t>
      </w:r>
      <w:r>
        <w:rPr>
          <w:szCs w:val="20"/>
        </w:rPr>
        <w:t xml:space="preserve"> </w:t>
      </w:r>
      <w:r w:rsidR="00B76329">
        <w:rPr>
          <w:szCs w:val="20"/>
        </w:rPr>
        <w:t>That</w:t>
      </w:r>
      <w:r w:rsidR="004B5A94">
        <w:rPr>
          <w:szCs w:val="20"/>
        </w:rPr>
        <w:t xml:space="preserve"> minimum time period </w:t>
      </w:r>
      <w:r>
        <w:rPr>
          <w:szCs w:val="20"/>
        </w:rPr>
        <w:t xml:space="preserve">is not proposed to be included in the LIPD </w:t>
      </w:r>
      <w:r w:rsidR="00C72C2C">
        <w:rPr>
          <w:szCs w:val="20"/>
        </w:rPr>
        <w:t>C</w:t>
      </w:r>
      <w:r>
        <w:rPr>
          <w:szCs w:val="20"/>
        </w:rPr>
        <w:t xml:space="preserve">lass </w:t>
      </w:r>
      <w:r w:rsidR="00C72C2C">
        <w:rPr>
          <w:szCs w:val="20"/>
        </w:rPr>
        <w:t>L</w:t>
      </w:r>
      <w:r>
        <w:rPr>
          <w:szCs w:val="20"/>
        </w:rPr>
        <w:t>icence for operations in the 928</w:t>
      </w:r>
      <w:r w:rsidR="00C72C2C">
        <w:rPr>
          <w:szCs w:val="20"/>
        </w:rPr>
        <w:t>–</w:t>
      </w:r>
      <w:r>
        <w:rPr>
          <w:szCs w:val="20"/>
        </w:rPr>
        <w:t>935 MHz band.</w:t>
      </w:r>
      <w:r w:rsidR="004B5A94">
        <w:rPr>
          <w:szCs w:val="20"/>
        </w:rPr>
        <w:t xml:space="preserve"> However, t</w:t>
      </w:r>
      <w:r w:rsidR="004B5A94">
        <w:t>he class of transmitter proposed for these devices is fixed t</w:t>
      </w:r>
      <w:r w:rsidR="004B5A94" w:rsidRPr="004B5A94">
        <w:t>elecommand or telemetry transmitters</w:t>
      </w:r>
      <w:r w:rsidR="00C72C2C">
        <w:t>,</w:t>
      </w:r>
      <w:r w:rsidR="004B5A94">
        <w:t xml:space="preserve"> which reflects the likely applications and the restriction to fixed devices.</w:t>
      </w:r>
      <w:r>
        <w:rPr>
          <w:szCs w:val="20"/>
        </w:rPr>
        <w:t xml:space="preserve"> </w:t>
      </w:r>
    </w:p>
    <w:p w14:paraId="179BA4A8" w14:textId="1763900C" w:rsidR="00274E71" w:rsidRDefault="00274E71" w:rsidP="004B5A94">
      <w:pPr>
        <w:pStyle w:val="Paragraph"/>
        <w:rPr>
          <w:szCs w:val="20"/>
          <w:lang w:val="en-GB"/>
        </w:rPr>
      </w:pPr>
      <w:r>
        <w:rPr>
          <w:szCs w:val="20"/>
        </w:rPr>
        <w:t xml:space="preserve">Should these arrangements be adopted, </w:t>
      </w:r>
      <w:hyperlink r:id="rId30" w:history="1">
        <w:r w:rsidR="00E23EB4" w:rsidRPr="00274E71">
          <w:rPr>
            <w:rStyle w:val="Hyperlink"/>
            <w:szCs w:val="20"/>
          </w:rPr>
          <w:t>Radiocommunications</w:t>
        </w:r>
        <w:r w:rsidRPr="00274E71">
          <w:rPr>
            <w:rStyle w:val="Hyperlink"/>
            <w:szCs w:val="20"/>
          </w:rPr>
          <w:t xml:space="preserve"> Assignment and Licensing Instruction MS 41</w:t>
        </w:r>
      </w:hyperlink>
      <w:r>
        <w:rPr>
          <w:szCs w:val="20"/>
        </w:rPr>
        <w:t xml:space="preserve"> (RALI MS 41)</w:t>
      </w:r>
      <w:r w:rsidR="00C72C2C">
        <w:rPr>
          <w:szCs w:val="20"/>
        </w:rPr>
        <w:t>,</w:t>
      </w:r>
      <w:r>
        <w:rPr>
          <w:szCs w:val="20"/>
        </w:rPr>
        <w:t xml:space="preserve"> which contains the f</w:t>
      </w:r>
      <w:r w:rsidRPr="00274E71">
        <w:rPr>
          <w:szCs w:val="20"/>
        </w:rPr>
        <w:t xml:space="preserve">requency </w:t>
      </w:r>
      <w:r>
        <w:rPr>
          <w:szCs w:val="20"/>
        </w:rPr>
        <w:t>p</w:t>
      </w:r>
      <w:r w:rsidRPr="00274E71">
        <w:rPr>
          <w:szCs w:val="20"/>
        </w:rPr>
        <w:t xml:space="preserve">lan for </w:t>
      </w:r>
      <w:r>
        <w:rPr>
          <w:szCs w:val="20"/>
        </w:rPr>
        <w:t>s</w:t>
      </w:r>
      <w:r w:rsidRPr="00274E71">
        <w:rPr>
          <w:szCs w:val="20"/>
        </w:rPr>
        <w:t>ervices in the 900</w:t>
      </w:r>
      <w:r w:rsidR="00C72C2C">
        <w:rPr>
          <w:szCs w:val="20"/>
        </w:rPr>
        <w:t xml:space="preserve"> </w:t>
      </w:r>
      <w:r w:rsidRPr="00274E71">
        <w:rPr>
          <w:szCs w:val="20"/>
        </w:rPr>
        <w:t>MHz Band (890</w:t>
      </w:r>
      <w:r w:rsidR="00C72C2C">
        <w:rPr>
          <w:szCs w:val="20"/>
        </w:rPr>
        <w:t>–</w:t>
      </w:r>
      <w:r w:rsidRPr="00274E71">
        <w:rPr>
          <w:szCs w:val="20"/>
        </w:rPr>
        <w:t>960</w:t>
      </w:r>
      <w:r>
        <w:rPr>
          <w:szCs w:val="20"/>
        </w:rPr>
        <w:t xml:space="preserve"> </w:t>
      </w:r>
      <w:r w:rsidRPr="00274E71">
        <w:rPr>
          <w:szCs w:val="20"/>
        </w:rPr>
        <w:t>MHz)</w:t>
      </w:r>
      <w:r w:rsidR="00C72C2C">
        <w:rPr>
          <w:szCs w:val="20"/>
        </w:rPr>
        <w:t>,</w:t>
      </w:r>
      <w:r>
        <w:rPr>
          <w:szCs w:val="20"/>
        </w:rPr>
        <w:t xml:space="preserve"> would need to be amended to remove</w:t>
      </w:r>
      <w:r w:rsidR="00C72C2C">
        <w:rPr>
          <w:szCs w:val="20"/>
        </w:rPr>
        <w:t> </w:t>
      </w:r>
      <w:r>
        <w:rPr>
          <w:szCs w:val="20"/>
        </w:rPr>
        <w:t xml:space="preserve">the allocation to </w:t>
      </w:r>
      <w:r>
        <w:rPr>
          <w:szCs w:val="20"/>
          <w:lang w:val="en-GB"/>
        </w:rPr>
        <w:t>cognitive radio system research and the limitations on low</w:t>
      </w:r>
      <w:r w:rsidR="00C72C2C">
        <w:rPr>
          <w:szCs w:val="20"/>
          <w:lang w:val="en-GB"/>
        </w:rPr>
        <w:t> </w:t>
      </w:r>
      <w:r>
        <w:rPr>
          <w:szCs w:val="20"/>
          <w:lang w:val="en-GB"/>
        </w:rPr>
        <w:t>power/duty-cycle fixed links/mesh nodes to low and remote</w:t>
      </w:r>
      <w:r w:rsidR="00C72C2C">
        <w:rPr>
          <w:szCs w:val="20"/>
          <w:lang w:val="en-GB"/>
        </w:rPr>
        <w:t>-</w:t>
      </w:r>
      <w:r>
        <w:rPr>
          <w:szCs w:val="20"/>
          <w:lang w:val="en-GB"/>
        </w:rPr>
        <w:t xml:space="preserve">density areas in </w:t>
      </w:r>
      <w:r w:rsidR="008250C7">
        <w:rPr>
          <w:szCs w:val="20"/>
          <w:lang w:val="en-GB"/>
        </w:rPr>
        <w:t>the</w:t>
      </w:r>
      <w:r w:rsidR="00C72C2C">
        <w:rPr>
          <w:szCs w:val="20"/>
          <w:lang w:val="en-GB"/>
        </w:rPr>
        <w:t> </w:t>
      </w:r>
      <w:r>
        <w:rPr>
          <w:szCs w:val="20"/>
          <w:lang w:val="en-GB"/>
        </w:rPr>
        <w:t>933</w:t>
      </w:r>
      <w:r w:rsidR="00C72C2C">
        <w:rPr>
          <w:szCs w:val="20"/>
          <w:lang w:val="en-GB"/>
        </w:rPr>
        <w:t>–</w:t>
      </w:r>
      <w:r>
        <w:rPr>
          <w:szCs w:val="20"/>
          <w:lang w:val="en-GB"/>
        </w:rPr>
        <w:t>935 MHz</w:t>
      </w:r>
      <w:r w:rsidR="008250C7">
        <w:rPr>
          <w:szCs w:val="20"/>
          <w:lang w:val="en-GB"/>
        </w:rPr>
        <w:t xml:space="preserve"> band</w:t>
      </w:r>
      <w:r>
        <w:rPr>
          <w:szCs w:val="20"/>
          <w:lang w:val="en-GB"/>
        </w:rPr>
        <w:t xml:space="preserve">. </w:t>
      </w:r>
    </w:p>
    <w:p w14:paraId="15446EBF" w14:textId="702F5778" w:rsidR="00B76329" w:rsidRDefault="008250C7" w:rsidP="004B5A94">
      <w:pPr>
        <w:pStyle w:val="Paragraph"/>
        <w:rPr>
          <w:szCs w:val="20"/>
        </w:rPr>
      </w:pPr>
      <w:r>
        <w:rPr>
          <w:szCs w:val="20"/>
          <w:lang w:val="en-GB"/>
        </w:rPr>
        <w:t>Also note</w:t>
      </w:r>
      <w:r w:rsidR="00B76329">
        <w:rPr>
          <w:szCs w:val="20"/>
          <w:lang w:val="en-GB"/>
        </w:rPr>
        <w:t xml:space="preserve"> that, in accordance with the 803</w:t>
      </w:r>
      <w:r w:rsidR="00C72C2C">
        <w:rPr>
          <w:szCs w:val="20"/>
          <w:lang w:val="en-GB"/>
        </w:rPr>
        <w:t>–</w:t>
      </w:r>
      <w:r w:rsidR="00B76329">
        <w:rPr>
          <w:szCs w:val="20"/>
          <w:lang w:val="en-GB"/>
        </w:rPr>
        <w:t xml:space="preserve">960 MHz decision paper, some fixed links may continue to operate in this segment up until 30 June 2021. As with all LIPD </w:t>
      </w:r>
      <w:r w:rsidR="00054433">
        <w:rPr>
          <w:szCs w:val="20"/>
          <w:lang w:val="en-GB"/>
        </w:rPr>
        <w:t>C</w:t>
      </w:r>
      <w:r w:rsidR="00B76329">
        <w:rPr>
          <w:szCs w:val="20"/>
          <w:lang w:val="en-GB"/>
        </w:rPr>
        <w:t xml:space="preserve">lass </w:t>
      </w:r>
      <w:r w:rsidR="00054433">
        <w:rPr>
          <w:szCs w:val="20"/>
          <w:lang w:val="en-GB"/>
        </w:rPr>
        <w:t>L</w:t>
      </w:r>
      <w:r w:rsidR="00B76329">
        <w:rPr>
          <w:szCs w:val="20"/>
          <w:lang w:val="en-GB"/>
        </w:rPr>
        <w:t>icence-authorised services, IoT devices operating in this segment must afford protection to licenced services that are recorded in the Register of Radiocommunications Licences.</w:t>
      </w:r>
    </w:p>
    <w:p w14:paraId="131C951D" w14:textId="203AED2D" w:rsidR="00BF5A5A" w:rsidRPr="00513038" w:rsidRDefault="00BF5A5A" w:rsidP="00513038">
      <w:pPr>
        <w:pStyle w:val="Heading2"/>
      </w:pPr>
      <w:bookmarkStart w:id="26" w:name="_Toc50732092"/>
      <w:r w:rsidRPr="00513038">
        <w:t>IoT devices in VHF High Band</w:t>
      </w:r>
      <w:bookmarkEnd w:id="26"/>
    </w:p>
    <w:p w14:paraId="67B6BB72" w14:textId="7C3AEE23" w:rsidR="00C952F1" w:rsidRPr="006D7AF0" w:rsidRDefault="00C952F1" w:rsidP="00513038">
      <w:pPr>
        <w:pStyle w:val="ACMAInstructions"/>
        <w:rPr>
          <w:b w:val="0"/>
          <w:vanish w:val="0"/>
          <w:sz w:val="20"/>
          <w:szCs w:val="20"/>
        </w:rPr>
      </w:pPr>
      <w:r>
        <w:rPr>
          <w:b w:val="0"/>
          <w:vanish w:val="0"/>
          <w:sz w:val="20"/>
          <w:szCs w:val="20"/>
        </w:rPr>
        <w:t xml:space="preserve">The ACMA released the discussion paper </w:t>
      </w:r>
      <w:hyperlink r:id="rId31" w:history="1">
        <w:r w:rsidRPr="00C952F1">
          <w:rPr>
            <w:rStyle w:val="Hyperlink"/>
            <w:b w:val="0"/>
            <w:vanish w:val="0"/>
            <w:sz w:val="20"/>
            <w:szCs w:val="20"/>
          </w:rPr>
          <w:t>Internet of Things Applications in the VHF High Band</w:t>
        </w:r>
      </w:hyperlink>
      <w:r w:rsidRPr="00513038">
        <w:rPr>
          <w:b w:val="0"/>
          <w:vanish w:val="0"/>
          <w:sz w:val="20"/>
          <w:szCs w:val="20"/>
        </w:rPr>
        <w:t xml:space="preserve"> </w:t>
      </w:r>
      <w:r>
        <w:rPr>
          <w:b w:val="0"/>
          <w:vanish w:val="0"/>
          <w:sz w:val="20"/>
          <w:szCs w:val="20"/>
        </w:rPr>
        <w:t>(the VHF IoT discussion paper) in July 2020. In this paper, it was proposed</w:t>
      </w:r>
      <w:r w:rsidR="005D0AF6">
        <w:rPr>
          <w:b w:val="0"/>
          <w:vanish w:val="0"/>
          <w:sz w:val="20"/>
          <w:szCs w:val="20"/>
        </w:rPr>
        <w:t> </w:t>
      </w:r>
      <w:r>
        <w:rPr>
          <w:b w:val="0"/>
          <w:vanish w:val="0"/>
          <w:sz w:val="20"/>
          <w:szCs w:val="20"/>
        </w:rPr>
        <w:t>to e</w:t>
      </w:r>
      <w:r w:rsidRPr="00C952F1">
        <w:rPr>
          <w:b w:val="0"/>
          <w:vanish w:val="0"/>
          <w:sz w:val="20"/>
          <w:szCs w:val="20"/>
        </w:rPr>
        <w:t xml:space="preserve">stablish arrangements similar to </w:t>
      </w:r>
      <w:r>
        <w:rPr>
          <w:b w:val="0"/>
          <w:vanish w:val="0"/>
          <w:sz w:val="20"/>
          <w:szCs w:val="20"/>
        </w:rPr>
        <w:t xml:space="preserve">those in place in </w:t>
      </w:r>
      <w:r w:rsidRPr="00C952F1">
        <w:rPr>
          <w:b w:val="0"/>
          <w:vanish w:val="0"/>
          <w:sz w:val="20"/>
          <w:szCs w:val="20"/>
        </w:rPr>
        <w:t xml:space="preserve">Europe for the </w:t>
      </w:r>
      <w:r w:rsidR="005D0AF6">
        <w:rPr>
          <w:b w:val="0"/>
          <w:vanish w:val="0"/>
          <w:sz w:val="20"/>
          <w:szCs w:val="20"/>
        </w:rPr>
        <w:br/>
      </w:r>
      <w:r w:rsidRPr="00C952F1">
        <w:rPr>
          <w:b w:val="0"/>
          <w:vanish w:val="0"/>
          <w:sz w:val="20"/>
          <w:szCs w:val="20"/>
        </w:rPr>
        <w:t>169.4–169.4875 MHz, 169.4875–169.5875 MHz and 169.5875–169.8125 MHz frequency segments, noting th</w:t>
      </w:r>
      <w:r>
        <w:rPr>
          <w:b w:val="0"/>
          <w:vanish w:val="0"/>
          <w:sz w:val="20"/>
          <w:szCs w:val="20"/>
        </w:rPr>
        <w:t>e proposed</w:t>
      </w:r>
      <w:r w:rsidRPr="00C952F1">
        <w:rPr>
          <w:b w:val="0"/>
          <w:vanish w:val="0"/>
          <w:sz w:val="20"/>
          <w:szCs w:val="20"/>
        </w:rPr>
        <w:t xml:space="preserve"> power and duty cycle constraints are below</w:t>
      </w:r>
      <w:r w:rsidR="007518D6">
        <w:rPr>
          <w:b w:val="0"/>
          <w:vanish w:val="0"/>
          <w:sz w:val="20"/>
          <w:szCs w:val="20"/>
        </w:rPr>
        <w:t> </w:t>
      </w:r>
      <w:r w:rsidRPr="00C952F1">
        <w:rPr>
          <w:b w:val="0"/>
          <w:vanish w:val="0"/>
          <w:sz w:val="20"/>
          <w:szCs w:val="20"/>
        </w:rPr>
        <w:t xml:space="preserve">those of devices already </w:t>
      </w:r>
      <w:r w:rsidRPr="006D7AF0">
        <w:rPr>
          <w:b w:val="0"/>
          <w:vanish w:val="0"/>
          <w:sz w:val="20"/>
          <w:szCs w:val="20"/>
        </w:rPr>
        <w:t>operating harmoniously in the band.</w:t>
      </w:r>
    </w:p>
    <w:p w14:paraId="3C646482" w14:textId="430B1830" w:rsidR="00571E6E" w:rsidRPr="00F4056D" w:rsidRDefault="00571E6E" w:rsidP="00571E6E">
      <w:pPr>
        <w:pStyle w:val="ACMAInstructions"/>
        <w:rPr>
          <w:b w:val="0"/>
          <w:vanish w:val="0"/>
          <w:sz w:val="20"/>
          <w:szCs w:val="20"/>
        </w:rPr>
      </w:pPr>
      <w:r w:rsidRPr="006D7AF0">
        <w:rPr>
          <w:b w:val="0"/>
          <w:vanish w:val="0"/>
          <w:sz w:val="20"/>
          <w:szCs w:val="20"/>
        </w:rPr>
        <w:t xml:space="preserve">Two responses were received to the VHF IoT discussion paper from </w:t>
      </w:r>
      <w:proofErr w:type="spellStart"/>
      <w:r w:rsidRPr="006D7AF0">
        <w:rPr>
          <w:b w:val="0"/>
          <w:vanish w:val="0"/>
          <w:sz w:val="20"/>
          <w:szCs w:val="20"/>
        </w:rPr>
        <w:t>IoTAA</w:t>
      </w:r>
      <w:proofErr w:type="spellEnd"/>
      <w:r w:rsidRPr="006D7AF0">
        <w:rPr>
          <w:b w:val="0"/>
          <w:vanish w:val="0"/>
          <w:sz w:val="20"/>
          <w:szCs w:val="20"/>
        </w:rPr>
        <w:t xml:space="preserve"> and Suez Water Australia. The </w:t>
      </w:r>
      <w:proofErr w:type="spellStart"/>
      <w:r w:rsidRPr="006D7AF0">
        <w:rPr>
          <w:b w:val="0"/>
          <w:vanish w:val="0"/>
          <w:sz w:val="20"/>
          <w:szCs w:val="20"/>
        </w:rPr>
        <w:t>IoTAA</w:t>
      </w:r>
      <w:proofErr w:type="spellEnd"/>
      <w:r w:rsidRPr="006D7AF0">
        <w:rPr>
          <w:b w:val="0"/>
          <w:vanish w:val="0"/>
          <w:sz w:val="20"/>
          <w:szCs w:val="20"/>
        </w:rPr>
        <w:t xml:space="preserve"> response supported the ACMA’s proposed approaches, citing the value in supporting an open-platform approach</w:t>
      </w:r>
      <w:r w:rsidR="0002081B" w:rsidRPr="006D7AF0">
        <w:rPr>
          <w:b w:val="0"/>
          <w:vanish w:val="0"/>
          <w:sz w:val="20"/>
          <w:szCs w:val="20"/>
        </w:rPr>
        <w:t xml:space="preserve">. </w:t>
      </w:r>
      <w:r w:rsidRPr="006D7AF0">
        <w:rPr>
          <w:b w:val="0"/>
          <w:vanish w:val="0"/>
          <w:sz w:val="20"/>
          <w:szCs w:val="20"/>
        </w:rPr>
        <w:t xml:space="preserve">The Suez Water response </w:t>
      </w:r>
      <w:r w:rsidRPr="00F4056D">
        <w:rPr>
          <w:b w:val="0"/>
          <w:vanish w:val="0"/>
          <w:sz w:val="20"/>
          <w:szCs w:val="20"/>
        </w:rPr>
        <w:t>also supported the ACMA’s approach to class licensing but argued that a class licensing solution should be used for all elements of a system, i.e. including the higher</w:t>
      </w:r>
      <w:r w:rsidR="006A2585">
        <w:rPr>
          <w:b w:val="0"/>
          <w:vanish w:val="0"/>
          <w:sz w:val="20"/>
          <w:szCs w:val="20"/>
        </w:rPr>
        <w:t>-</w:t>
      </w:r>
      <w:r w:rsidRPr="00F4056D">
        <w:rPr>
          <w:b w:val="0"/>
          <w:vanish w:val="0"/>
          <w:sz w:val="20"/>
          <w:szCs w:val="20"/>
        </w:rPr>
        <w:t>power</w:t>
      </w:r>
      <w:r w:rsidR="006A2585">
        <w:rPr>
          <w:b w:val="0"/>
          <w:vanish w:val="0"/>
          <w:sz w:val="20"/>
          <w:szCs w:val="20"/>
        </w:rPr>
        <w:t>,</w:t>
      </w:r>
      <w:r w:rsidRPr="00F4056D">
        <w:rPr>
          <w:b w:val="0"/>
          <w:vanish w:val="0"/>
          <w:sz w:val="20"/>
          <w:szCs w:val="20"/>
        </w:rPr>
        <w:t xml:space="preserve"> moderate</w:t>
      </w:r>
      <w:r w:rsidR="006A2585">
        <w:rPr>
          <w:b w:val="0"/>
          <w:vanish w:val="0"/>
          <w:sz w:val="20"/>
          <w:szCs w:val="20"/>
        </w:rPr>
        <w:t>-</w:t>
      </w:r>
      <w:r w:rsidRPr="00F4056D">
        <w:rPr>
          <w:b w:val="0"/>
          <w:vanish w:val="0"/>
          <w:sz w:val="20"/>
          <w:szCs w:val="20"/>
        </w:rPr>
        <w:t xml:space="preserve">duty cycle components that had been flagged </w:t>
      </w:r>
      <w:r w:rsidR="004914DC" w:rsidRPr="00F4056D">
        <w:rPr>
          <w:b w:val="0"/>
          <w:vanish w:val="0"/>
          <w:sz w:val="20"/>
          <w:szCs w:val="20"/>
        </w:rPr>
        <w:t xml:space="preserve">as most likely to be suited </w:t>
      </w:r>
      <w:r w:rsidR="00F4056D" w:rsidRPr="00F4056D">
        <w:rPr>
          <w:b w:val="0"/>
          <w:vanish w:val="0"/>
          <w:sz w:val="20"/>
          <w:szCs w:val="20"/>
        </w:rPr>
        <w:t>to</w:t>
      </w:r>
      <w:r w:rsidRPr="00F4056D">
        <w:rPr>
          <w:b w:val="0"/>
          <w:vanish w:val="0"/>
          <w:sz w:val="20"/>
          <w:szCs w:val="20"/>
        </w:rPr>
        <w:t xml:space="preserve"> apparatus licensing in the VHF IoT discussion paper. </w:t>
      </w:r>
    </w:p>
    <w:p w14:paraId="38014FAF" w14:textId="71E9CE74" w:rsidR="00F039EE" w:rsidRDefault="00571E6E" w:rsidP="00571E6E">
      <w:pPr>
        <w:pStyle w:val="ACMAInstructions"/>
        <w:rPr>
          <w:b w:val="0"/>
          <w:vanish w:val="0"/>
          <w:sz w:val="20"/>
          <w:szCs w:val="20"/>
        </w:rPr>
      </w:pPr>
      <w:r w:rsidRPr="00F4056D">
        <w:rPr>
          <w:b w:val="0"/>
          <w:vanish w:val="0"/>
          <w:sz w:val="20"/>
          <w:szCs w:val="20"/>
        </w:rPr>
        <w:t>While low</w:t>
      </w:r>
      <w:r w:rsidR="006A2585">
        <w:rPr>
          <w:b w:val="0"/>
          <w:vanish w:val="0"/>
          <w:sz w:val="20"/>
          <w:szCs w:val="20"/>
        </w:rPr>
        <w:t>-</w:t>
      </w:r>
      <w:r w:rsidRPr="00F4056D">
        <w:rPr>
          <w:b w:val="0"/>
          <w:vanish w:val="0"/>
          <w:sz w:val="20"/>
          <w:szCs w:val="20"/>
        </w:rPr>
        <w:t>power, low</w:t>
      </w:r>
      <w:r w:rsidR="006A2585">
        <w:rPr>
          <w:b w:val="0"/>
          <w:vanish w:val="0"/>
          <w:sz w:val="20"/>
          <w:szCs w:val="20"/>
        </w:rPr>
        <w:t>-</w:t>
      </w:r>
      <w:r w:rsidRPr="00F4056D">
        <w:rPr>
          <w:b w:val="0"/>
          <w:vanish w:val="0"/>
          <w:sz w:val="20"/>
          <w:szCs w:val="20"/>
        </w:rPr>
        <w:t xml:space="preserve">duty cycle arrangements could be appropriately authorised in Australia by </w:t>
      </w:r>
      <w:r w:rsidR="006A2585">
        <w:rPr>
          <w:b w:val="0"/>
          <w:vanish w:val="0"/>
          <w:sz w:val="20"/>
          <w:szCs w:val="20"/>
        </w:rPr>
        <w:t xml:space="preserve">a </w:t>
      </w:r>
      <w:r w:rsidRPr="00F4056D">
        <w:rPr>
          <w:b w:val="0"/>
          <w:vanish w:val="0"/>
          <w:sz w:val="20"/>
          <w:szCs w:val="20"/>
        </w:rPr>
        <w:t>class licence, the ACMA believes that the higher</w:t>
      </w:r>
      <w:r w:rsidR="006A2585">
        <w:rPr>
          <w:b w:val="0"/>
          <w:vanish w:val="0"/>
          <w:sz w:val="20"/>
          <w:szCs w:val="20"/>
        </w:rPr>
        <w:t>-</w:t>
      </w:r>
      <w:r w:rsidRPr="00F4056D">
        <w:rPr>
          <w:b w:val="0"/>
          <w:vanish w:val="0"/>
          <w:sz w:val="20"/>
          <w:szCs w:val="20"/>
        </w:rPr>
        <w:t>power, moderate</w:t>
      </w:r>
      <w:r w:rsidR="006A2585">
        <w:rPr>
          <w:b w:val="0"/>
          <w:vanish w:val="0"/>
          <w:sz w:val="20"/>
          <w:szCs w:val="20"/>
        </w:rPr>
        <w:t>-</w:t>
      </w:r>
      <w:r w:rsidRPr="00F4056D">
        <w:rPr>
          <w:b w:val="0"/>
          <w:vanish w:val="0"/>
          <w:sz w:val="20"/>
          <w:szCs w:val="20"/>
        </w:rPr>
        <w:t>duty cycle devices would also typically be located at high sites and therefore have a</w:t>
      </w:r>
      <w:r w:rsidR="004914DC" w:rsidRPr="00F4056D">
        <w:rPr>
          <w:b w:val="0"/>
          <w:vanish w:val="0"/>
          <w:sz w:val="20"/>
          <w:szCs w:val="20"/>
        </w:rPr>
        <w:t>n</w:t>
      </w:r>
      <w:r w:rsidRPr="00F4056D">
        <w:rPr>
          <w:b w:val="0"/>
          <w:vanish w:val="0"/>
          <w:sz w:val="20"/>
          <w:szCs w:val="20"/>
        </w:rPr>
        <w:t xml:space="preserve"> </w:t>
      </w:r>
      <w:r w:rsidR="004914DC" w:rsidRPr="00F4056D">
        <w:rPr>
          <w:b w:val="0"/>
          <w:vanish w:val="0"/>
          <w:sz w:val="20"/>
          <w:szCs w:val="20"/>
        </w:rPr>
        <w:t>increased</w:t>
      </w:r>
      <w:r w:rsidRPr="00F4056D">
        <w:rPr>
          <w:b w:val="0"/>
          <w:vanish w:val="0"/>
          <w:sz w:val="20"/>
          <w:szCs w:val="20"/>
        </w:rPr>
        <w:t xml:space="preserve"> potential to cause interference</w:t>
      </w:r>
      <w:r w:rsidR="004914DC" w:rsidRPr="00F4056D">
        <w:rPr>
          <w:b w:val="0"/>
          <w:vanish w:val="0"/>
          <w:sz w:val="20"/>
          <w:szCs w:val="20"/>
        </w:rPr>
        <w:t xml:space="preserve"> (noting the use of the band by emergency services)</w:t>
      </w:r>
      <w:r w:rsidRPr="00F4056D">
        <w:rPr>
          <w:b w:val="0"/>
          <w:vanish w:val="0"/>
          <w:sz w:val="20"/>
          <w:szCs w:val="20"/>
        </w:rPr>
        <w:t>. Accordingly, an apparatus licence approach that permits coordination of devices is more appropriate for accommodating these types of service</w:t>
      </w:r>
      <w:r w:rsidR="00DF72A9">
        <w:rPr>
          <w:b w:val="0"/>
          <w:vanish w:val="0"/>
          <w:sz w:val="20"/>
          <w:szCs w:val="20"/>
        </w:rPr>
        <w:t>s</w:t>
      </w:r>
      <w:r w:rsidRPr="00F4056D">
        <w:rPr>
          <w:b w:val="0"/>
          <w:vanish w:val="0"/>
          <w:sz w:val="20"/>
          <w:szCs w:val="20"/>
        </w:rPr>
        <w:t xml:space="preserve">. </w:t>
      </w:r>
      <w:bookmarkStart w:id="27" w:name="_Hlk49933761"/>
    </w:p>
    <w:p w14:paraId="66445AFD" w14:textId="1DE01138" w:rsidR="00571E6E" w:rsidRPr="00F4056D" w:rsidRDefault="004914DC" w:rsidP="00571E6E">
      <w:pPr>
        <w:pStyle w:val="ACMAInstructions"/>
        <w:rPr>
          <w:b w:val="0"/>
          <w:vanish w:val="0"/>
          <w:sz w:val="20"/>
          <w:szCs w:val="20"/>
        </w:rPr>
      </w:pPr>
      <w:r w:rsidRPr="00F4056D">
        <w:rPr>
          <w:b w:val="0"/>
          <w:vanish w:val="0"/>
          <w:sz w:val="20"/>
          <w:szCs w:val="20"/>
        </w:rPr>
        <w:lastRenderedPageBreak/>
        <w:t xml:space="preserve">The ACMA intends to develop appropriate administrative guidance to support such apparatus licensing. </w:t>
      </w:r>
      <w:bookmarkEnd w:id="27"/>
      <w:r w:rsidRPr="00F4056D">
        <w:rPr>
          <w:b w:val="0"/>
          <w:vanish w:val="0"/>
          <w:sz w:val="20"/>
          <w:szCs w:val="20"/>
        </w:rPr>
        <w:t xml:space="preserve">The ACMA remains open to further exploration and discussions on possible operating conditions appropriate for class licensing support of these devices in the future. </w:t>
      </w:r>
    </w:p>
    <w:p w14:paraId="5D224EA8" w14:textId="14FD316C" w:rsidR="00C952F1" w:rsidRPr="006D7AF0" w:rsidRDefault="00C952F1" w:rsidP="00513038">
      <w:pPr>
        <w:pStyle w:val="ACMAInstructions"/>
        <w:rPr>
          <w:b w:val="0"/>
          <w:vanish w:val="0"/>
          <w:sz w:val="20"/>
          <w:szCs w:val="20"/>
        </w:rPr>
      </w:pPr>
      <w:r w:rsidRPr="00F4056D">
        <w:rPr>
          <w:b w:val="0"/>
          <w:vanish w:val="0"/>
          <w:sz w:val="20"/>
          <w:szCs w:val="20"/>
        </w:rPr>
        <w:t>Therefore, it is now</w:t>
      </w:r>
      <w:r w:rsidRPr="006D7AF0">
        <w:rPr>
          <w:b w:val="0"/>
          <w:vanish w:val="0"/>
          <w:sz w:val="20"/>
          <w:szCs w:val="20"/>
        </w:rPr>
        <w:t xml:space="preserve"> proposed to implement arrangements in the LIPD class licence</w:t>
      </w:r>
      <w:r w:rsidR="00571E6E" w:rsidRPr="006D7AF0">
        <w:rPr>
          <w:b w:val="0"/>
          <w:vanish w:val="0"/>
          <w:sz w:val="20"/>
          <w:szCs w:val="20"/>
        </w:rPr>
        <w:t xml:space="preserve"> as originally proposed in the VHF IoT discussion paper</w:t>
      </w:r>
      <w:r w:rsidRPr="006D7AF0">
        <w:rPr>
          <w:b w:val="0"/>
          <w:vanish w:val="0"/>
          <w:sz w:val="20"/>
          <w:szCs w:val="20"/>
        </w:rPr>
        <w:t xml:space="preserve">. </w:t>
      </w:r>
    </w:p>
    <w:p w14:paraId="37C574CA" w14:textId="77777777" w:rsidR="00C952F1" w:rsidRPr="000645A8" w:rsidRDefault="00C952F1" w:rsidP="00C952F1">
      <w:pPr>
        <w:pStyle w:val="Heading3"/>
      </w:pPr>
      <w:r w:rsidRPr="006D7AF0">
        <w:t>Technical conditions</w:t>
      </w:r>
    </w:p>
    <w:p w14:paraId="43521CB7" w14:textId="31A23340" w:rsidR="00C952F1" w:rsidRDefault="00C952F1" w:rsidP="004B5A94">
      <w:pPr>
        <w:pStyle w:val="Paragraph"/>
      </w:pPr>
      <w:r w:rsidRPr="000645A8">
        <w:t>The proposed technical conditions are outlined in Table 1 below. These are identical to those included in the VHF IoT discussion paper and mirror those in European Research Council (ERC) Recommendation 70-03</w:t>
      </w:r>
      <w:r w:rsidR="00F039EE">
        <w:t>,</w:t>
      </w:r>
      <w:r w:rsidR="004B5A94" w:rsidRPr="000645A8">
        <w:t xml:space="preserve"> which</w:t>
      </w:r>
      <w:r w:rsidRPr="000645A8">
        <w:t xml:space="preserve"> sets out the frequency bands and parameters recommended primarily for telemetry, telecommand, alarms and data in general and other similar applications</w:t>
      </w:r>
      <w:r w:rsidR="00F039EE">
        <w:t>.</w:t>
      </w:r>
      <w:r w:rsidRPr="000645A8">
        <w:rPr>
          <w:vertAlign w:val="superscript"/>
        </w:rPr>
        <w:footnoteReference w:id="12"/>
      </w:r>
      <w:r w:rsidRPr="000645A8">
        <w:t xml:space="preserve"> </w:t>
      </w:r>
      <w:r w:rsidR="004B5A94" w:rsidRPr="000645A8">
        <w:t>These technical conditions were supported</w:t>
      </w:r>
      <w:r w:rsidR="004B5A94">
        <w:t xml:space="preserve"> in submissions to the VHF IoT discussion paper. </w:t>
      </w:r>
    </w:p>
    <w:p w14:paraId="10EEB6D3" w14:textId="51EFD44E" w:rsidR="004B5A94" w:rsidRPr="00925BB2" w:rsidRDefault="004B5A94" w:rsidP="004B5A94">
      <w:pPr>
        <w:pStyle w:val="Paragraph"/>
      </w:pPr>
      <w:r>
        <w:t>The class of transmitter proposed for these devices is t</w:t>
      </w:r>
      <w:r w:rsidRPr="004B5A94">
        <w:t>elecommand or telemetry transmitters</w:t>
      </w:r>
      <w:r>
        <w:t xml:space="preserve"> which reflects the likely applications and use in Europe. </w:t>
      </w:r>
    </w:p>
    <w:p w14:paraId="40247BB0" w14:textId="3694E283" w:rsidR="00C952F1" w:rsidRPr="0097343B" w:rsidRDefault="00C952F1" w:rsidP="007404AD">
      <w:pPr>
        <w:pStyle w:val="Tableheading"/>
        <w:keepLines/>
      </w:pPr>
      <w:r>
        <w:t>Proposed technical conditions</w:t>
      </w:r>
      <w:r w:rsidRPr="0097343B">
        <w:t xml:space="preserve"> for the 169.4</w:t>
      </w:r>
      <w:r>
        <w:t>–</w:t>
      </w:r>
      <w:r w:rsidRPr="0097343B">
        <w:t>169.8125 MHz frequency</w:t>
      </w:r>
      <w:r w:rsidR="00F039EE">
        <w:t> </w:t>
      </w:r>
      <w:r w:rsidRPr="0097343B">
        <w:t>band</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1E0" w:firstRow="1" w:lastRow="1" w:firstColumn="1" w:lastColumn="1" w:noHBand="0" w:noVBand="0"/>
        <w:tblCaption w:val="Table title to go here"/>
        <w:tblDescription w:val="Table description to go here"/>
      </w:tblPr>
      <w:tblGrid>
        <w:gridCol w:w="1275"/>
        <w:gridCol w:w="1274"/>
        <w:gridCol w:w="4672"/>
      </w:tblGrid>
      <w:tr w:rsidR="004B5A94" w:rsidRPr="00925BB2" w14:paraId="4DDC4B85" w14:textId="77777777" w:rsidTr="000F66F0">
        <w:trPr>
          <w:trHeight w:val="981"/>
        </w:trPr>
        <w:tc>
          <w:tcPr>
            <w:tcW w:w="1277" w:type="dxa"/>
            <w:shd w:val="clear" w:color="auto" w:fill="404040" w:themeFill="text1" w:themeFillTint="BF"/>
          </w:tcPr>
          <w:p w14:paraId="3E0CB08C" w14:textId="77777777" w:rsidR="004B5A94" w:rsidRPr="00DE6917" w:rsidRDefault="004B5A94" w:rsidP="007404AD">
            <w:pPr>
              <w:pStyle w:val="Paragraph"/>
              <w:keepNext/>
              <w:keepLines/>
              <w:rPr>
                <w:b/>
                <w:color w:val="FFFFFF" w:themeColor="background1"/>
              </w:rPr>
            </w:pPr>
            <w:r>
              <w:rPr>
                <w:b/>
                <w:color w:val="FFFFFF" w:themeColor="background1"/>
              </w:rPr>
              <w:t>B</w:t>
            </w:r>
            <w:r w:rsidRPr="00DE6917">
              <w:rPr>
                <w:b/>
                <w:color w:val="FFFFFF" w:themeColor="background1"/>
              </w:rPr>
              <w:t>and</w:t>
            </w:r>
          </w:p>
        </w:tc>
        <w:tc>
          <w:tcPr>
            <w:tcW w:w="1275" w:type="dxa"/>
            <w:shd w:val="clear" w:color="auto" w:fill="404040" w:themeFill="text1" w:themeFillTint="BF"/>
          </w:tcPr>
          <w:p w14:paraId="07DDCAC5" w14:textId="45B4B56B" w:rsidR="004B5A94" w:rsidRPr="00DE6917" w:rsidRDefault="004B5A94" w:rsidP="007404AD">
            <w:pPr>
              <w:pStyle w:val="Paragraph"/>
              <w:keepNext/>
              <w:keepLines/>
              <w:rPr>
                <w:b/>
                <w:color w:val="FFFFFF" w:themeColor="background1"/>
              </w:rPr>
            </w:pPr>
            <w:r w:rsidRPr="00DE6917">
              <w:rPr>
                <w:b/>
                <w:color w:val="FFFFFF" w:themeColor="background1"/>
              </w:rPr>
              <w:t>Power</w:t>
            </w:r>
            <w:r>
              <w:rPr>
                <w:b/>
                <w:color w:val="FFFFFF" w:themeColor="background1"/>
              </w:rPr>
              <w:t xml:space="preserve"> (EIRP)</w:t>
            </w:r>
          </w:p>
        </w:tc>
        <w:tc>
          <w:tcPr>
            <w:tcW w:w="4678" w:type="dxa"/>
            <w:shd w:val="clear" w:color="auto" w:fill="404040" w:themeFill="text1" w:themeFillTint="BF"/>
          </w:tcPr>
          <w:p w14:paraId="62B8AE39" w14:textId="77777777" w:rsidR="004B5A94" w:rsidRPr="00DE6917" w:rsidRDefault="004B5A94" w:rsidP="007404AD">
            <w:pPr>
              <w:pStyle w:val="Paragraph"/>
              <w:keepNext/>
              <w:keepLines/>
              <w:rPr>
                <w:b/>
                <w:color w:val="FFFFFF" w:themeColor="background1"/>
              </w:rPr>
            </w:pPr>
            <w:r w:rsidRPr="00DE6917">
              <w:rPr>
                <w:b/>
                <w:color w:val="FFFFFF" w:themeColor="background1"/>
              </w:rPr>
              <w:t>Spectrum access and mitigation requirements</w:t>
            </w:r>
          </w:p>
        </w:tc>
      </w:tr>
      <w:tr w:rsidR="004B5A94" w:rsidRPr="00925BB2" w14:paraId="5FAE5A96" w14:textId="77777777" w:rsidTr="000F66F0">
        <w:trPr>
          <w:trHeight w:val="461"/>
        </w:trPr>
        <w:tc>
          <w:tcPr>
            <w:tcW w:w="1277" w:type="dxa"/>
          </w:tcPr>
          <w:p w14:paraId="0F23AE25" w14:textId="09FB00AF" w:rsidR="004B5A94" w:rsidRPr="00925BB2" w:rsidRDefault="004B5A94" w:rsidP="007404AD">
            <w:pPr>
              <w:pStyle w:val="Paragraph"/>
              <w:keepNext/>
              <w:keepLines/>
              <w:spacing w:after="120"/>
            </w:pPr>
            <w:r w:rsidRPr="00925BB2">
              <w:t>169.4</w:t>
            </w:r>
            <w:r>
              <w:t>–</w:t>
            </w:r>
            <w:r w:rsidRPr="00925BB2">
              <w:t>169.4875</w:t>
            </w:r>
          </w:p>
        </w:tc>
        <w:tc>
          <w:tcPr>
            <w:tcW w:w="1275" w:type="dxa"/>
          </w:tcPr>
          <w:p w14:paraId="66DC7A3C" w14:textId="1B89373F" w:rsidR="004B5A94" w:rsidRPr="00925BB2" w:rsidRDefault="004B5A94" w:rsidP="007404AD">
            <w:pPr>
              <w:pStyle w:val="Paragraph"/>
              <w:keepNext/>
              <w:keepLines/>
              <w:spacing w:after="120"/>
            </w:pPr>
            <w:r w:rsidRPr="00925BB2">
              <w:t>1</w:t>
            </w:r>
            <w:r>
              <w:t>6.4</w:t>
            </w:r>
            <w:r w:rsidRPr="00925BB2">
              <w:t xml:space="preserve"> </w:t>
            </w:r>
            <w:proofErr w:type="spellStart"/>
            <w:r w:rsidRPr="00925BB2">
              <w:t>mW</w:t>
            </w:r>
            <w:proofErr w:type="spellEnd"/>
          </w:p>
        </w:tc>
        <w:tc>
          <w:tcPr>
            <w:tcW w:w="4678" w:type="dxa"/>
          </w:tcPr>
          <w:p w14:paraId="334A43DD" w14:textId="0F82FFF4" w:rsidR="004B5A94" w:rsidRPr="00925BB2" w:rsidRDefault="004B5A94" w:rsidP="007404AD">
            <w:pPr>
              <w:pStyle w:val="Paragraph"/>
              <w:keepNext/>
              <w:keepLines/>
              <w:spacing w:after="120"/>
            </w:pPr>
            <w:r w:rsidRPr="00925BB2">
              <w:t>≤ 0.1 % duty cycle</w:t>
            </w:r>
          </w:p>
        </w:tc>
      </w:tr>
      <w:tr w:rsidR="004B5A94" w:rsidRPr="00925BB2" w14:paraId="4880890C" w14:textId="77777777" w:rsidTr="000F66F0">
        <w:tc>
          <w:tcPr>
            <w:tcW w:w="1277" w:type="dxa"/>
            <w:shd w:val="clear" w:color="auto" w:fill="F2F2F2" w:themeFill="background1" w:themeFillShade="F2"/>
          </w:tcPr>
          <w:p w14:paraId="346754EC" w14:textId="3424D764" w:rsidR="004B5A94" w:rsidRPr="00925BB2" w:rsidRDefault="004B5A94" w:rsidP="007404AD">
            <w:pPr>
              <w:pStyle w:val="Paragraph"/>
              <w:keepNext/>
              <w:keepLines/>
              <w:spacing w:after="120"/>
            </w:pPr>
            <w:r w:rsidRPr="00925BB2">
              <w:t>169.4875</w:t>
            </w:r>
            <w:r>
              <w:t>–</w:t>
            </w:r>
            <w:r w:rsidRPr="00925BB2">
              <w:t>169.5875</w:t>
            </w:r>
          </w:p>
        </w:tc>
        <w:tc>
          <w:tcPr>
            <w:tcW w:w="1275" w:type="dxa"/>
            <w:shd w:val="clear" w:color="auto" w:fill="F2F2F2" w:themeFill="background1" w:themeFillShade="F2"/>
          </w:tcPr>
          <w:p w14:paraId="7B31AE28" w14:textId="18BA50E6" w:rsidR="004B5A94" w:rsidRPr="00925BB2" w:rsidRDefault="004B5A94" w:rsidP="007404AD">
            <w:pPr>
              <w:pStyle w:val="Paragraph"/>
              <w:keepNext/>
              <w:keepLines/>
              <w:spacing w:after="120"/>
            </w:pPr>
            <w:r w:rsidRPr="00925BB2">
              <w:t>1</w:t>
            </w:r>
            <w:r>
              <w:t>6.4</w:t>
            </w:r>
            <w:r w:rsidRPr="00925BB2">
              <w:t xml:space="preserve"> </w:t>
            </w:r>
            <w:proofErr w:type="spellStart"/>
            <w:r w:rsidRPr="00925BB2">
              <w:t>mW</w:t>
            </w:r>
            <w:proofErr w:type="spellEnd"/>
          </w:p>
        </w:tc>
        <w:tc>
          <w:tcPr>
            <w:tcW w:w="4678" w:type="dxa"/>
            <w:shd w:val="clear" w:color="auto" w:fill="F2F2F2" w:themeFill="background1" w:themeFillShade="F2"/>
          </w:tcPr>
          <w:p w14:paraId="3BF33F39" w14:textId="79770868" w:rsidR="004B5A94" w:rsidRPr="00925BB2" w:rsidRDefault="004B5A94" w:rsidP="007404AD">
            <w:pPr>
              <w:pStyle w:val="Paragraph"/>
              <w:keepNext/>
              <w:keepLines/>
              <w:spacing w:after="120"/>
            </w:pPr>
            <w:r w:rsidRPr="00925BB2">
              <w:t>≤ 0.001% duty cycle</w:t>
            </w:r>
            <w:r>
              <w:t xml:space="preserve"> </w:t>
            </w:r>
            <w:r w:rsidRPr="00925BB2">
              <w:t>except for 00:00 h</w:t>
            </w:r>
            <w:r>
              <w:t xml:space="preserve"> </w:t>
            </w:r>
            <w:r w:rsidRPr="00925BB2">
              <w:t>to 06:00 h local time</w:t>
            </w:r>
            <w:r>
              <w:t xml:space="preserve"> </w:t>
            </w:r>
            <w:r w:rsidRPr="00925BB2">
              <w:t>where the duty cycle</w:t>
            </w:r>
            <w:r>
              <w:t xml:space="preserve"> </w:t>
            </w:r>
            <w:r w:rsidRPr="00925BB2">
              <w:t>limit is ≤ 0.1%</w:t>
            </w:r>
          </w:p>
        </w:tc>
      </w:tr>
      <w:tr w:rsidR="004B5A94" w:rsidRPr="00925BB2" w14:paraId="1E836D2B" w14:textId="77777777" w:rsidTr="000F66F0">
        <w:trPr>
          <w:trHeight w:val="250"/>
        </w:trPr>
        <w:tc>
          <w:tcPr>
            <w:tcW w:w="1277" w:type="dxa"/>
          </w:tcPr>
          <w:p w14:paraId="24E1D7CA" w14:textId="28C7D599" w:rsidR="004B5A94" w:rsidRPr="00925BB2" w:rsidRDefault="004B5A94" w:rsidP="007404AD">
            <w:pPr>
              <w:pStyle w:val="Paragraph"/>
              <w:keepNext/>
              <w:keepLines/>
              <w:spacing w:after="120"/>
            </w:pPr>
            <w:r w:rsidRPr="00925BB2">
              <w:t>169.5875</w:t>
            </w:r>
            <w:r>
              <w:t>–</w:t>
            </w:r>
            <w:r w:rsidRPr="00925BB2">
              <w:t>169.8125</w:t>
            </w:r>
          </w:p>
        </w:tc>
        <w:tc>
          <w:tcPr>
            <w:tcW w:w="1275" w:type="dxa"/>
          </w:tcPr>
          <w:p w14:paraId="0720191B" w14:textId="5BC2BCB6" w:rsidR="004B5A94" w:rsidRPr="00925BB2" w:rsidRDefault="004B5A94" w:rsidP="007404AD">
            <w:pPr>
              <w:pStyle w:val="Paragraph"/>
              <w:keepNext/>
              <w:keepLines/>
              <w:spacing w:after="120"/>
            </w:pPr>
            <w:r w:rsidRPr="00925BB2">
              <w:t>1</w:t>
            </w:r>
            <w:r>
              <w:t>6.4</w:t>
            </w:r>
            <w:r w:rsidRPr="00925BB2">
              <w:t xml:space="preserve"> </w:t>
            </w:r>
            <w:proofErr w:type="spellStart"/>
            <w:r w:rsidRPr="00925BB2">
              <w:t>mW</w:t>
            </w:r>
            <w:proofErr w:type="spellEnd"/>
          </w:p>
        </w:tc>
        <w:tc>
          <w:tcPr>
            <w:tcW w:w="4678" w:type="dxa"/>
          </w:tcPr>
          <w:p w14:paraId="756FE78A" w14:textId="66A85312" w:rsidR="004B5A94" w:rsidRPr="00925BB2" w:rsidRDefault="004B5A94" w:rsidP="007404AD">
            <w:pPr>
              <w:pStyle w:val="Paragraph"/>
              <w:keepNext/>
              <w:keepLines/>
              <w:spacing w:after="120"/>
            </w:pPr>
            <w:r w:rsidRPr="00925BB2">
              <w:t>≤ 0.1 % duty cycl</w:t>
            </w:r>
            <w:r>
              <w:t>e</w:t>
            </w:r>
          </w:p>
        </w:tc>
      </w:tr>
    </w:tbl>
    <w:p w14:paraId="11A9561B" w14:textId="08C28147" w:rsidR="00BF5A5A" w:rsidRPr="00513038" w:rsidRDefault="00BF5A5A" w:rsidP="00513038">
      <w:pPr>
        <w:pStyle w:val="Heading2"/>
      </w:pPr>
      <w:bookmarkStart w:id="28" w:name="_Toc50732093"/>
      <w:r w:rsidRPr="00513038">
        <w:t>Radio</w:t>
      </w:r>
      <w:r w:rsidR="009B7397">
        <w:t>determination</w:t>
      </w:r>
      <w:r w:rsidRPr="00513038">
        <w:t xml:space="preserve"> devices in the 10.5</w:t>
      </w:r>
      <w:r w:rsidR="00F039EE">
        <w:t>–</w:t>
      </w:r>
      <w:r w:rsidRPr="00513038">
        <w:t>10.55 GHz band</w:t>
      </w:r>
      <w:bookmarkEnd w:id="28"/>
    </w:p>
    <w:p w14:paraId="6E5CD556" w14:textId="28E6316C" w:rsidR="00706FE9" w:rsidRDefault="00EF297A" w:rsidP="00083AC3">
      <w:pPr>
        <w:pStyle w:val="Paragraph"/>
      </w:pPr>
      <w:r>
        <w:t xml:space="preserve">The ACMA has received a request to implement new arrangements in the </w:t>
      </w:r>
      <w:r w:rsidR="00F039EE">
        <w:br/>
      </w:r>
      <w:r>
        <w:t xml:space="preserve">10.5-10.55 GHz band </w:t>
      </w:r>
      <w:r w:rsidR="00513038" w:rsidRPr="00513038">
        <w:t>to facilitate portable launch monitors intended to measure the</w:t>
      </w:r>
      <w:r w:rsidR="00F039EE">
        <w:t> </w:t>
      </w:r>
      <w:r w:rsidR="00513038" w:rsidRPr="00513038">
        <w:t>path and trajectory of golf clubs and balls.</w:t>
      </w:r>
    </w:p>
    <w:p w14:paraId="223A5F8C" w14:textId="2202D1A8" w:rsidR="00706FE9" w:rsidRDefault="00706FE9" w:rsidP="00083AC3">
      <w:pPr>
        <w:pStyle w:val="Paragraph"/>
      </w:pPr>
      <w:r>
        <w:t>There is currently an entry in the LIPD class licence for all transmitters in</w:t>
      </w:r>
      <w:r w:rsidR="00847B7A">
        <w:t xml:space="preserve"> </w:t>
      </w:r>
      <w:r>
        <w:t xml:space="preserve">the </w:t>
      </w:r>
      <w:r w:rsidR="001C07AA">
        <w:br/>
      </w:r>
      <w:r>
        <w:t>10.5</w:t>
      </w:r>
      <w:r w:rsidR="001C07AA">
        <w:t>–</w:t>
      </w:r>
      <w:r>
        <w:t xml:space="preserve">10.55 GHz </w:t>
      </w:r>
      <w:r w:rsidR="00847B7A">
        <w:t xml:space="preserve">band </w:t>
      </w:r>
      <w:r>
        <w:t xml:space="preserve">with a maximum EIRP of 100 </w:t>
      </w:r>
      <w:proofErr w:type="spellStart"/>
      <w:r>
        <w:t>mW</w:t>
      </w:r>
      <w:proofErr w:type="spellEnd"/>
      <w:r>
        <w:t xml:space="preserve">. </w:t>
      </w:r>
    </w:p>
    <w:p w14:paraId="37319271" w14:textId="550AB8C4" w:rsidR="00733D69" w:rsidRDefault="00733D69">
      <w:pPr>
        <w:pStyle w:val="Paragraph"/>
      </w:pPr>
      <w:r>
        <w:t>Table 2 details</w:t>
      </w:r>
      <w:r w:rsidR="009B7397">
        <w:t xml:space="preserve"> </w:t>
      </w:r>
      <w:r w:rsidR="009B7397" w:rsidRPr="006D7AF0">
        <w:t>arrangements in</w:t>
      </w:r>
      <w:r w:rsidRPr="006D7AF0">
        <w:t xml:space="preserve"> the </w:t>
      </w:r>
      <w:r w:rsidR="008250C7" w:rsidRPr="006D7AF0">
        <w:t xml:space="preserve">Australian Radiofrequency </w:t>
      </w:r>
      <w:r w:rsidR="009B7397" w:rsidRPr="006D7AF0">
        <w:t>Spectrum Plan</w:t>
      </w:r>
      <w:r w:rsidR="008250C7" w:rsidRPr="006D7AF0">
        <w:t xml:space="preserve"> 2017</w:t>
      </w:r>
      <w:r w:rsidR="008250C7" w:rsidRPr="006D7AF0">
        <w:rPr>
          <w:rStyle w:val="FootnoteReference"/>
          <w:szCs w:val="20"/>
        </w:rPr>
        <w:footnoteReference w:id="13"/>
      </w:r>
      <w:r w:rsidR="008250C7" w:rsidRPr="006D7AF0">
        <w:t xml:space="preserve"> (the Spectrum Plan) </w:t>
      </w:r>
      <w:r w:rsidR="009B7397" w:rsidRPr="006D7AF0">
        <w:t xml:space="preserve">for </w:t>
      </w:r>
      <w:r w:rsidR="002D765B" w:rsidRPr="006D7AF0">
        <w:t>the 10.5</w:t>
      </w:r>
      <w:r w:rsidR="001C07AA">
        <w:t>–</w:t>
      </w:r>
      <w:r w:rsidR="002D765B" w:rsidRPr="006D7AF0">
        <w:t>10.55 GHz band and immediately adjacent frequencies</w:t>
      </w:r>
      <w:r w:rsidRPr="006D7AF0">
        <w:t xml:space="preserve"> and lists the current</w:t>
      </w:r>
      <w:r>
        <w:t xml:space="preserve"> apparatus and class licence usage of the band</w:t>
      </w:r>
      <w:r w:rsidR="002D765B">
        <w:t>.</w:t>
      </w:r>
    </w:p>
    <w:p w14:paraId="24650A9A" w14:textId="78678146" w:rsidR="00CB6A31" w:rsidRDefault="00CB6A31" w:rsidP="00083AC3">
      <w:pPr>
        <w:pStyle w:val="Paragraph"/>
      </w:pPr>
      <w:r>
        <w:lastRenderedPageBreak/>
        <w:t>The proposed devices currently operate in the United States in line with Federal</w:t>
      </w:r>
      <w:r w:rsidR="001C07AA">
        <w:t> </w:t>
      </w:r>
      <w:r>
        <w:t xml:space="preserve">Communications Commission (FCC) </w:t>
      </w:r>
      <w:r w:rsidRPr="00FE4E01">
        <w:t xml:space="preserve">Code of Federal Regulation </w:t>
      </w:r>
      <w:r w:rsidRPr="00FE4E01">
        <w:rPr>
          <w:u w:color="0000FF"/>
        </w:rPr>
        <w:t>Title 47 Part</w:t>
      </w:r>
      <w:r w:rsidR="001C07AA">
        <w:rPr>
          <w:u w:color="0000FF"/>
        </w:rPr>
        <w:t> </w:t>
      </w:r>
      <w:r w:rsidRPr="00FE4E01">
        <w:rPr>
          <w:u w:color="0000FF"/>
        </w:rPr>
        <w:t>15 Section 245</w:t>
      </w:r>
      <w:r w:rsidR="001C07AA">
        <w:rPr>
          <w:u w:color="0000FF"/>
        </w:rPr>
        <w:t>:</w:t>
      </w:r>
      <w:r w:rsidRPr="00FE4E01">
        <w:rPr>
          <w:u w:color="0000FF"/>
        </w:rPr>
        <w:t xml:space="preserve"> Operation within the bands 902</w:t>
      </w:r>
      <w:r w:rsidR="001C07AA">
        <w:rPr>
          <w:u w:color="0000FF"/>
        </w:rPr>
        <w:t>–</w:t>
      </w:r>
      <w:r w:rsidRPr="00FE4E01">
        <w:rPr>
          <w:u w:color="0000FF"/>
        </w:rPr>
        <w:t>928 MHz, 2435</w:t>
      </w:r>
      <w:r w:rsidR="001C07AA">
        <w:rPr>
          <w:u w:color="0000FF"/>
        </w:rPr>
        <w:t>–</w:t>
      </w:r>
      <w:r w:rsidRPr="00FE4E01">
        <w:rPr>
          <w:u w:color="0000FF"/>
        </w:rPr>
        <w:t>2465 MHz, 5785</w:t>
      </w:r>
      <w:r w:rsidR="001C07AA">
        <w:rPr>
          <w:u w:color="0000FF"/>
        </w:rPr>
        <w:t>–</w:t>
      </w:r>
      <w:r w:rsidRPr="00FE4E01">
        <w:rPr>
          <w:u w:color="0000FF"/>
        </w:rPr>
        <w:t>5815 MHz, 10500</w:t>
      </w:r>
      <w:r w:rsidR="001C07AA">
        <w:rPr>
          <w:u w:color="0000FF"/>
        </w:rPr>
        <w:t>–</w:t>
      </w:r>
      <w:r w:rsidRPr="00FE4E01">
        <w:rPr>
          <w:u w:color="0000FF"/>
        </w:rPr>
        <w:t>10550 MHz, and 24075</w:t>
      </w:r>
      <w:r w:rsidR="001C07AA">
        <w:rPr>
          <w:u w:color="0000FF"/>
        </w:rPr>
        <w:t>–</w:t>
      </w:r>
      <w:r w:rsidRPr="00FE4E01">
        <w:rPr>
          <w:u w:color="0000FF"/>
        </w:rPr>
        <w:t>24175 MHz</w:t>
      </w:r>
      <w:r>
        <w:rPr>
          <w:rStyle w:val="FootnoteReference"/>
          <w:b/>
          <w:vanish/>
          <w:szCs w:val="20"/>
          <w:u w:color="0000FF"/>
        </w:rPr>
        <w:footnoteReference w:id="14"/>
      </w:r>
      <w:r w:rsidRPr="00FE4E01">
        <w:rPr>
          <w:u w:color="0000FF"/>
        </w:rPr>
        <w:t>.</w:t>
      </w:r>
    </w:p>
    <w:p w14:paraId="53548538" w14:textId="00B1EA2F" w:rsidR="00CB6A31" w:rsidRDefault="00CB6A31" w:rsidP="00083AC3">
      <w:pPr>
        <w:pStyle w:val="Paragraph"/>
      </w:pPr>
      <w:bookmarkStart w:id="29" w:name="_Hlk49336457"/>
      <w:r>
        <w:t>Given the relatively low use of the 10.5</w:t>
      </w:r>
      <w:r w:rsidR="001C07AA">
        <w:t>–</w:t>
      </w:r>
      <w:r>
        <w:t xml:space="preserve">10.55 GHz band, the expected low proliferation of these portable launch monitors and the existence of FCC rules to govern the use of these devices, it is proposed that a new item be added to the LIPD Class </w:t>
      </w:r>
      <w:r w:rsidR="001C07AA">
        <w:t>L</w:t>
      </w:r>
      <w:r>
        <w:t>icence for radiodetermination transmitters in the 10.5</w:t>
      </w:r>
      <w:r w:rsidR="001C07AA">
        <w:t>–</w:t>
      </w:r>
      <w:r>
        <w:t xml:space="preserve">10.55 GHz band </w:t>
      </w:r>
      <w:bookmarkEnd w:id="29"/>
      <w:r>
        <w:t>with a maximum EIRP of 2 W. It is also proposed a limitation be included that t</w:t>
      </w:r>
      <w:r w:rsidRPr="00FE4E01">
        <w:t>he transmitter must comply with FCC Rules Title 47 Part 15 Section 245.</w:t>
      </w:r>
    </w:p>
    <w:p w14:paraId="03CBCE19" w14:textId="4471C9FE" w:rsidR="00733D69" w:rsidRPr="0097343B" w:rsidRDefault="00BF7950" w:rsidP="00CB6A31">
      <w:pPr>
        <w:pStyle w:val="Tableheading"/>
        <w:keepLines/>
      </w:pPr>
      <w:r>
        <w:t>Current arrangements in the 10.45</w:t>
      </w:r>
      <w:r w:rsidR="001C07AA">
        <w:t>–</w:t>
      </w:r>
      <w:r>
        <w:t>10.6 GHz band</w:t>
      </w:r>
    </w:p>
    <w:tbl>
      <w:tblPr>
        <w:tblStyle w:val="ACMAtablestyle"/>
        <w:tblW w:w="8926" w:type="dxa"/>
        <w:tblLayout w:type="fixed"/>
        <w:tblLook w:val="04A0" w:firstRow="1" w:lastRow="0" w:firstColumn="1" w:lastColumn="0" w:noHBand="0" w:noVBand="1"/>
      </w:tblPr>
      <w:tblGrid>
        <w:gridCol w:w="2361"/>
        <w:gridCol w:w="2102"/>
        <w:gridCol w:w="2102"/>
        <w:gridCol w:w="2361"/>
      </w:tblGrid>
      <w:tr w:rsidR="000C49A0" w14:paraId="21CBDBB1" w14:textId="77777777" w:rsidTr="00083AC3">
        <w:trPr>
          <w:cnfStyle w:val="100000000000" w:firstRow="1" w:lastRow="0" w:firstColumn="0" w:lastColumn="0" w:oddVBand="0" w:evenVBand="0" w:oddHBand="0" w:evenHBand="0" w:firstRowFirstColumn="0" w:firstRowLastColumn="0" w:lastRowFirstColumn="0" w:lastRowLastColumn="0"/>
        </w:trPr>
        <w:tc>
          <w:tcPr>
            <w:tcW w:w="2361" w:type="dxa"/>
          </w:tcPr>
          <w:p w14:paraId="4F51B8F2" w14:textId="5C5EE299" w:rsidR="004E58E7" w:rsidRPr="00733D69" w:rsidRDefault="004E58E7" w:rsidP="00CB6A31">
            <w:pPr>
              <w:pStyle w:val="Paragraph"/>
              <w:keepNext/>
              <w:keepLines/>
              <w:jc w:val="center"/>
              <w:rPr>
                <w:b/>
              </w:rPr>
            </w:pPr>
            <w:r w:rsidRPr="00733D69">
              <w:rPr>
                <w:b/>
              </w:rPr>
              <w:t xml:space="preserve">Frequency </w:t>
            </w:r>
            <w:r w:rsidR="006D7ABC">
              <w:rPr>
                <w:b/>
              </w:rPr>
              <w:t>r</w:t>
            </w:r>
            <w:r w:rsidRPr="00733D69">
              <w:rPr>
                <w:b/>
              </w:rPr>
              <w:t>ange (GHz)</w:t>
            </w:r>
          </w:p>
        </w:tc>
        <w:tc>
          <w:tcPr>
            <w:tcW w:w="2102" w:type="dxa"/>
          </w:tcPr>
          <w:p w14:paraId="0D30EE1D" w14:textId="3F27FE45" w:rsidR="004E58E7" w:rsidRPr="00733D69" w:rsidRDefault="004E58E7" w:rsidP="00CB6A31">
            <w:pPr>
              <w:pStyle w:val="Paragraph"/>
              <w:keepNext/>
              <w:keepLines/>
              <w:jc w:val="center"/>
              <w:rPr>
                <w:b/>
              </w:rPr>
            </w:pPr>
            <w:r w:rsidRPr="00733D69">
              <w:rPr>
                <w:b/>
              </w:rPr>
              <w:t>10.45</w:t>
            </w:r>
            <w:r w:rsidR="006D7ABC">
              <w:rPr>
                <w:b/>
              </w:rPr>
              <w:t>–</w:t>
            </w:r>
            <w:r w:rsidRPr="00733D69">
              <w:rPr>
                <w:b/>
              </w:rPr>
              <w:t>10.5</w:t>
            </w:r>
          </w:p>
        </w:tc>
        <w:tc>
          <w:tcPr>
            <w:tcW w:w="2102" w:type="dxa"/>
          </w:tcPr>
          <w:p w14:paraId="292B8BFA" w14:textId="7C526C1D" w:rsidR="004E58E7" w:rsidRPr="00733D69" w:rsidRDefault="004E58E7" w:rsidP="00CB6A31">
            <w:pPr>
              <w:pStyle w:val="Paragraph"/>
              <w:keepNext/>
              <w:keepLines/>
              <w:jc w:val="center"/>
              <w:rPr>
                <w:b/>
              </w:rPr>
            </w:pPr>
            <w:r w:rsidRPr="00733D69">
              <w:rPr>
                <w:b/>
              </w:rPr>
              <w:t>10.5</w:t>
            </w:r>
            <w:r w:rsidR="006D7ABC">
              <w:rPr>
                <w:b/>
              </w:rPr>
              <w:t>–</w:t>
            </w:r>
            <w:r w:rsidRPr="00733D69">
              <w:rPr>
                <w:b/>
              </w:rPr>
              <w:t>10.55</w:t>
            </w:r>
          </w:p>
        </w:tc>
        <w:tc>
          <w:tcPr>
            <w:tcW w:w="2361" w:type="dxa"/>
          </w:tcPr>
          <w:p w14:paraId="06A5CD91" w14:textId="010A8695" w:rsidR="004E58E7" w:rsidRPr="00733D69" w:rsidRDefault="004E58E7" w:rsidP="00CB6A31">
            <w:pPr>
              <w:pStyle w:val="Paragraph"/>
              <w:keepNext/>
              <w:keepLines/>
              <w:jc w:val="center"/>
              <w:rPr>
                <w:b/>
              </w:rPr>
            </w:pPr>
            <w:r w:rsidRPr="00733D69">
              <w:rPr>
                <w:b/>
              </w:rPr>
              <w:t>10.55</w:t>
            </w:r>
            <w:r w:rsidR="006D7ABC">
              <w:rPr>
                <w:b/>
              </w:rPr>
              <w:t>–</w:t>
            </w:r>
            <w:r w:rsidRPr="00733D69">
              <w:rPr>
                <w:b/>
              </w:rPr>
              <w:t>10.6</w:t>
            </w:r>
          </w:p>
        </w:tc>
      </w:tr>
      <w:tr w:rsidR="004E58E7" w14:paraId="23459B6D" w14:textId="77777777" w:rsidTr="00083AC3">
        <w:trPr>
          <w:cnfStyle w:val="000000100000" w:firstRow="0" w:lastRow="0" w:firstColumn="0" w:lastColumn="0" w:oddVBand="0" w:evenVBand="0" w:oddHBand="1" w:evenHBand="0" w:firstRowFirstColumn="0" w:firstRowLastColumn="0" w:lastRowFirstColumn="0" w:lastRowLastColumn="0"/>
          <w:hidden w:val="0"/>
        </w:trPr>
        <w:tc>
          <w:tcPr>
            <w:tcW w:w="2361" w:type="dxa"/>
          </w:tcPr>
          <w:p w14:paraId="24B7C8A1" w14:textId="17456B7A" w:rsidR="004E58E7" w:rsidRPr="004E58E7" w:rsidRDefault="009B7397" w:rsidP="00CB6A31">
            <w:pPr>
              <w:pStyle w:val="ACMAInstructions"/>
              <w:keepNext/>
              <w:keepLines/>
              <w:rPr>
                <w:bCs/>
                <w:vanish w:val="0"/>
                <w:sz w:val="20"/>
                <w:szCs w:val="20"/>
              </w:rPr>
            </w:pPr>
            <w:r>
              <w:rPr>
                <w:bCs/>
                <w:vanish w:val="0"/>
                <w:sz w:val="20"/>
                <w:szCs w:val="20"/>
              </w:rPr>
              <w:t xml:space="preserve">Spectrum </w:t>
            </w:r>
            <w:r w:rsidR="000B14B3">
              <w:rPr>
                <w:bCs/>
                <w:vanish w:val="0"/>
                <w:sz w:val="20"/>
                <w:szCs w:val="20"/>
              </w:rPr>
              <w:t>p</w:t>
            </w:r>
            <w:r>
              <w:rPr>
                <w:bCs/>
                <w:vanish w:val="0"/>
                <w:sz w:val="20"/>
                <w:szCs w:val="20"/>
              </w:rPr>
              <w:t>lan</w:t>
            </w:r>
          </w:p>
        </w:tc>
        <w:tc>
          <w:tcPr>
            <w:tcW w:w="2102" w:type="dxa"/>
          </w:tcPr>
          <w:p w14:paraId="4087484E" w14:textId="1F9C111C" w:rsidR="004E58E7" w:rsidRPr="006D7ABC" w:rsidRDefault="004E58E7" w:rsidP="00E073AE">
            <w:pPr>
              <w:pStyle w:val="ACMAInstructions"/>
              <w:keepNext/>
              <w:keepLines/>
              <w:spacing w:after="60"/>
              <w:rPr>
                <w:b w:val="0"/>
                <w:vanish w:val="0"/>
                <w:sz w:val="20"/>
                <w:szCs w:val="20"/>
              </w:rPr>
            </w:pPr>
            <w:r w:rsidRPr="006D7ABC">
              <w:rPr>
                <w:b w:val="0"/>
                <w:vanish w:val="0"/>
                <w:sz w:val="20"/>
                <w:szCs w:val="20"/>
              </w:rPr>
              <w:t>RADIOLOCATION AUS101A</w:t>
            </w:r>
          </w:p>
          <w:p w14:paraId="20EDBADE" w14:textId="77777777" w:rsidR="004E58E7" w:rsidRPr="006D7ABC" w:rsidRDefault="004E58E7" w:rsidP="00CB6A31">
            <w:pPr>
              <w:pStyle w:val="ACMAInstructions"/>
              <w:keepNext/>
              <w:keepLines/>
              <w:spacing w:after="60"/>
              <w:rPr>
                <w:b w:val="0"/>
                <w:vanish w:val="0"/>
                <w:sz w:val="20"/>
                <w:szCs w:val="20"/>
              </w:rPr>
            </w:pPr>
            <w:r w:rsidRPr="006D7ABC">
              <w:rPr>
                <w:b w:val="0"/>
                <w:vanish w:val="0"/>
                <w:sz w:val="20"/>
                <w:szCs w:val="20"/>
              </w:rPr>
              <w:t>Amateur</w:t>
            </w:r>
          </w:p>
          <w:p w14:paraId="39988C39" w14:textId="082A82CA" w:rsidR="004E58E7" w:rsidRPr="006D7ABC" w:rsidRDefault="004E58E7" w:rsidP="00CB6A31">
            <w:pPr>
              <w:pStyle w:val="ACMAInstructions"/>
              <w:keepNext/>
              <w:keepLines/>
              <w:spacing w:after="60"/>
              <w:rPr>
                <w:b w:val="0"/>
                <w:vanish w:val="0"/>
                <w:sz w:val="20"/>
                <w:szCs w:val="20"/>
              </w:rPr>
            </w:pPr>
            <w:proofErr w:type="gramStart"/>
            <w:r w:rsidRPr="006D7ABC">
              <w:rPr>
                <w:b w:val="0"/>
                <w:vanish w:val="0"/>
                <w:sz w:val="20"/>
                <w:szCs w:val="20"/>
              </w:rPr>
              <w:t>Amateur</w:t>
            </w:r>
            <w:r w:rsidR="00D006B5">
              <w:rPr>
                <w:b w:val="0"/>
                <w:vanish w:val="0"/>
                <w:sz w:val="20"/>
                <w:szCs w:val="20"/>
              </w:rPr>
              <w:t>-</w:t>
            </w:r>
            <w:r w:rsidRPr="006D7ABC">
              <w:rPr>
                <w:b w:val="0"/>
                <w:vanish w:val="0"/>
                <w:sz w:val="20"/>
                <w:szCs w:val="20"/>
              </w:rPr>
              <w:t>satellite</w:t>
            </w:r>
            <w:proofErr w:type="gramEnd"/>
          </w:p>
        </w:tc>
        <w:tc>
          <w:tcPr>
            <w:tcW w:w="2102" w:type="dxa"/>
          </w:tcPr>
          <w:p w14:paraId="373E6B02" w14:textId="41491173" w:rsidR="004E58E7" w:rsidRPr="006D7ABC" w:rsidRDefault="004E58E7">
            <w:pPr>
              <w:pStyle w:val="ACMAInstructions"/>
              <w:keepNext/>
              <w:keepLines/>
              <w:spacing w:after="60"/>
              <w:rPr>
                <w:b w:val="0"/>
                <w:vanish w:val="0"/>
                <w:sz w:val="20"/>
                <w:szCs w:val="20"/>
              </w:rPr>
            </w:pPr>
            <w:r w:rsidRPr="00083AC3">
              <w:rPr>
                <w:b w:val="0"/>
                <w:vanish w:val="0"/>
                <w:sz w:val="20"/>
                <w:szCs w:val="20"/>
              </w:rPr>
              <w:t>FIXED</w:t>
            </w:r>
          </w:p>
          <w:p w14:paraId="709BF3BB" w14:textId="06C7E854" w:rsidR="004E58E7" w:rsidRPr="006D7ABC" w:rsidRDefault="004E58E7">
            <w:pPr>
              <w:pStyle w:val="ACMAInstructions"/>
              <w:keepNext/>
              <w:keepLines/>
              <w:spacing w:after="60"/>
              <w:rPr>
                <w:b w:val="0"/>
                <w:vanish w:val="0"/>
                <w:sz w:val="20"/>
                <w:szCs w:val="20"/>
              </w:rPr>
            </w:pPr>
            <w:r w:rsidRPr="00083AC3">
              <w:rPr>
                <w:b w:val="0"/>
                <w:vanish w:val="0"/>
                <w:sz w:val="20"/>
                <w:szCs w:val="20"/>
              </w:rPr>
              <w:t>MOBILE</w:t>
            </w:r>
          </w:p>
          <w:p w14:paraId="2C484857" w14:textId="3E289C2F" w:rsidR="004E58E7" w:rsidRPr="006D7ABC" w:rsidRDefault="004E58E7">
            <w:pPr>
              <w:pStyle w:val="ACMAInstructions"/>
              <w:keepNext/>
              <w:keepLines/>
              <w:spacing w:after="60"/>
              <w:rPr>
                <w:b w:val="0"/>
                <w:vanish w:val="0"/>
                <w:sz w:val="20"/>
                <w:szCs w:val="20"/>
              </w:rPr>
            </w:pPr>
            <w:r w:rsidRPr="006D7ABC">
              <w:rPr>
                <w:b w:val="0"/>
                <w:vanish w:val="0"/>
                <w:sz w:val="20"/>
                <w:szCs w:val="20"/>
              </w:rPr>
              <w:t>RADIOLOCATION</w:t>
            </w:r>
          </w:p>
        </w:tc>
        <w:tc>
          <w:tcPr>
            <w:tcW w:w="2361" w:type="dxa"/>
          </w:tcPr>
          <w:p w14:paraId="1ADB10D0" w14:textId="2B2F3E0C" w:rsidR="004E58E7" w:rsidRPr="006D7ABC" w:rsidRDefault="004E58E7" w:rsidP="00CB6A31">
            <w:pPr>
              <w:pStyle w:val="ACMAInstructions"/>
              <w:keepNext/>
              <w:keepLines/>
              <w:spacing w:after="60"/>
              <w:rPr>
                <w:b w:val="0"/>
                <w:vanish w:val="0"/>
                <w:sz w:val="20"/>
                <w:szCs w:val="20"/>
              </w:rPr>
            </w:pPr>
            <w:r w:rsidRPr="00083AC3">
              <w:rPr>
                <w:b w:val="0"/>
                <w:vanish w:val="0"/>
                <w:sz w:val="20"/>
                <w:szCs w:val="20"/>
              </w:rPr>
              <w:t>FIXED</w:t>
            </w:r>
          </w:p>
          <w:p w14:paraId="6120CC42" w14:textId="7176AAA3" w:rsidR="004E58E7" w:rsidRPr="006D7ABC" w:rsidRDefault="004E58E7" w:rsidP="00E073AE">
            <w:pPr>
              <w:pStyle w:val="ACMAInstructions"/>
              <w:keepNext/>
              <w:keepLines/>
              <w:spacing w:after="60"/>
              <w:ind w:hanging="11"/>
              <w:rPr>
                <w:b w:val="0"/>
                <w:vanish w:val="0"/>
                <w:sz w:val="20"/>
                <w:szCs w:val="20"/>
              </w:rPr>
            </w:pPr>
            <w:r w:rsidRPr="006D7ABC">
              <w:rPr>
                <w:b w:val="0"/>
                <w:vanish w:val="0"/>
                <w:sz w:val="20"/>
                <w:szCs w:val="20"/>
              </w:rPr>
              <w:t xml:space="preserve">MOBILE </w:t>
            </w:r>
            <w:r w:rsidR="00E073AE">
              <w:rPr>
                <w:b w:val="0"/>
                <w:vanish w:val="0"/>
                <w:sz w:val="20"/>
                <w:szCs w:val="20"/>
              </w:rPr>
              <w:t>(</w:t>
            </w:r>
            <w:r w:rsidRPr="006D7ABC">
              <w:rPr>
                <w:b w:val="0"/>
                <w:vanish w:val="0"/>
                <w:sz w:val="20"/>
                <w:szCs w:val="20"/>
              </w:rPr>
              <w:t>except aeronautical mobile</w:t>
            </w:r>
            <w:r w:rsidR="00E073AE">
              <w:rPr>
                <w:b w:val="0"/>
                <w:vanish w:val="0"/>
                <w:sz w:val="20"/>
                <w:szCs w:val="20"/>
              </w:rPr>
              <w:t>)</w:t>
            </w:r>
          </w:p>
          <w:p w14:paraId="6C0BFF14" w14:textId="3787595A" w:rsidR="004E58E7" w:rsidRPr="006D7ABC" w:rsidRDefault="004E58E7" w:rsidP="00CB6A31">
            <w:pPr>
              <w:pStyle w:val="ACMAInstructions"/>
              <w:keepNext/>
              <w:keepLines/>
              <w:spacing w:after="60"/>
              <w:rPr>
                <w:b w:val="0"/>
                <w:vanish w:val="0"/>
                <w:sz w:val="20"/>
                <w:szCs w:val="20"/>
              </w:rPr>
            </w:pPr>
            <w:r w:rsidRPr="006D7ABC">
              <w:rPr>
                <w:b w:val="0"/>
                <w:vanish w:val="0"/>
                <w:sz w:val="20"/>
                <w:szCs w:val="20"/>
              </w:rPr>
              <w:t>Radiolocation</w:t>
            </w:r>
          </w:p>
        </w:tc>
      </w:tr>
      <w:tr w:rsidR="000C49A0" w14:paraId="30B3EBE5" w14:textId="77777777" w:rsidTr="00083AC3">
        <w:trPr>
          <w:cnfStyle w:val="000000010000" w:firstRow="0" w:lastRow="0" w:firstColumn="0" w:lastColumn="0" w:oddVBand="0" w:evenVBand="0" w:oddHBand="0" w:evenHBand="1" w:firstRowFirstColumn="0" w:firstRowLastColumn="0" w:lastRowFirstColumn="0" w:lastRowLastColumn="0"/>
          <w:hidden w:val="0"/>
        </w:trPr>
        <w:tc>
          <w:tcPr>
            <w:tcW w:w="2361" w:type="dxa"/>
          </w:tcPr>
          <w:p w14:paraId="102F9BFD" w14:textId="2ACF8F42" w:rsidR="00C8472B" w:rsidRDefault="000C49A0" w:rsidP="00CB6A31">
            <w:pPr>
              <w:pStyle w:val="ACMAInstructions"/>
              <w:keepNext/>
              <w:keepLines/>
              <w:rPr>
                <w:bCs/>
                <w:vanish w:val="0"/>
                <w:sz w:val="20"/>
                <w:szCs w:val="20"/>
              </w:rPr>
            </w:pPr>
            <w:r>
              <w:rPr>
                <w:bCs/>
                <w:vanish w:val="0"/>
                <w:sz w:val="20"/>
                <w:szCs w:val="20"/>
              </w:rPr>
              <w:t>Radiocommun</w:t>
            </w:r>
            <w:r w:rsidR="002F1A2B">
              <w:rPr>
                <w:bCs/>
                <w:vanish w:val="0"/>
                <w:sz w:val="20"/>
                <w:szCs w:val="20"/>
              </w:rPr>
              <w:t>ic</w:t>
            </w:r>
            <w:r>
              <w:rPr>
                <w:bCs/>
                <w:vanish w:val="0"/>
                <w:sz w:val="20"/>
                <w:szCs w:val="20"/>
              </w:rPr>
              <w:t>ation</w:t>
            </w:r>
            <w:r w:rsidR="008250C7">
              <w:rPr>
                <w:bCs/>
                <w:vanish w:val="0"/>
                <w:sz w:val="20"/>
                <w:szCs w:val="20"/>
              </w:rPr>
              <w:t>s</w:t>
            </w:r>
            <w:r>
              <w:rPr>
                <w:bCs/>
                <w:vanish w:val="0"/>
                <w:sz w:val="20"/>
                <w:szCs w:val="20"/>
              </w:rPr>
              <w:t xml:space="preserve"> Assignment and Licensing instructions (RALIs)</w:t>
            </w:r>
          </w:p>
        </w:tc>
        <w:tc>
          <w:tcPr>
            <w:tcW w:w="2102" w:type="dxa"/>
          </w:tcPr>
          <w:p w14:paraId="0D7FF621" w14:textId="77777777" w:rsidR="00C8472B" w:rsidRPr="006D7ABC" w:rsidRDefault="00C8472B" w:rsidP="00CB6A31">
            <w:pPr>
              <w:pStyle w:val="ACMAInstructions"/>
              <w:keepNext/>
              <w:keepLines/>
              <w:spacing w:after="60"/>
              <w:rPr>
                <w:b w:val="0"/>
                <w:vanish w:val="0"/>
                <w:sz w:val="20"/>
                <w:szCs w:val="20"/>
              </w:rPr>
            </w:pPr>
          </w:p>
        </w:tc>
        <w:tc>
          <w:tcPr>
            <w:tcW w:w="2102" w:type="dxa"/>
          </w:tcPr>
          <w:p w14:paraId="011212D4" w14:textId="77777777" w:rsidR="00C8472B" w:rsidRPr="006D7ABC" w:rsidRDefault="00C8472B" w:rsidP="00CB6A31">
            <w:pPr>
              <w:pStyle w:val="ACMAInstructions"/>
              <w:keepNext/>
              <w:keepLines/>
              <w:spacing w:after="60"/>
              <w:rPr>
                <w:b w:val="0"/>
                <w:vanish w:val="0"/>
                <w:sz w:val="20"/>
                <w:szCs w:val="20"/>
              </w:rPr>
            </w:pPr>
          </w:p>
        </w:tc>
        <w:tc>
          <w:tcPr>
            <w:tcW w:w="2361" w:type="dxa"/>
          </w:tcPr>
          <w:p w14:paraId="2D690364" w14:textId="5ED525B9" w:rsidR="00C8472B" w:rsidRPr="006D7ABC" w:rsidRDefault="00C8472B" w:rsidP="00CB6A31">
            <w:pPr>
              <w:pStyle w:val="ACMAInstructions"/>
              <w:keepNext/>
              <w:keepLines/>
              <w:spacing w:after="60"/>
              <w:rPr>
                <w:b w:val="0"/>
                <w:vanish w:val="0"/>
                <w:sz w:val="20"/>
                <w:szCs w:val="20"/>
              </w:rPr>
            </w:pPr>
            <w:r w:rsidRPr="00083AC3">
              <w:rPr>
                <w:b w:val="0"/>
                <w:bCs/>
                <w:color w:val="000000"/>
                <w:sz w:val="20"/>
                <w:szCs w:val="20"/>
              </w:rPr>
              <w:t>RALI FX3</w:t>
            </w:r>
            <w:r w:rsidR="000C49A0" w:rsidRPr="00083AC3">
              <w:rPr>
                <w:b w:val="0"/>
                <w:bCs/>
                <w:color w:val="000000"/>
                <w:sz w:val="20"/>
                <w:szCs w:val="20"/>
              </w:rPr>
              <w:t>- Microwave Fixed Services Frequency Coordination</w:t>
            </w:r>
          </w:p>
        </w:tc>
      </w:tr>
      <w:tr w:rsidR="004E58E7" w14:paraId="7EC7DB43" w14:textId="77777777" w:rsidTr="00083AC3">
        <w:trPr>
          <w:cnfStyle w:val="000000100000" w:firstRow="0" w:lastRow="0" w:firstColumn="0" w:lastColumn="0" w:oddVBand="0" w:evenVBand="0" w:oddHBand="1" w:evenHBand="0" w:firstRowFirstColumn="0" w:firstRowLastColumn="0" w:lastRowFirstColumn="0" w:lastRowLastColumn="0"/>
          <w:hidden w:val="0"/>
        </w:trPr>
        <w:tc>
          <w:tcPr>
            <w:tcW w:w="2361" w:type="dxa"/>
            <w:vMerge w:val="restart"/>
          </w:tcPr>
          <w:p w14:paraId="4068737F" w14:textId="7C39EAD7" w:rsidR="004E58E7" w:rsidRPr="004E58E7" w:rsidRDefault="004E58E7" w:rsidP="00CB6A31">
            <w:pPr>
              <w:pStyle w:val="ACMAInstructions"/>
              <w:keepNext/>
              <w:keepLines/>
              <w:rPr>
                <w:bCs/>
                <w:vanish w:val="0"/>
                <w:sz w:val="20"/>
                <w:szCs w:val="20"/>
              </w:rPr>
            </w:pPr>
            <w:r w:rsidRPr="004E58E7">
              <w:rPr>
                <w:bCs/>
                <w:vanish w:val="0"/>
                <w:sz w:val="20"/>
                <w:szCs w:val="20"/>
              </w:rPr>
              <w:t xml:space="preserve">Current </w:t>
            </w:r>
            <w:r w:rsidR="00733D69">
              <w:rPr>
                <w:bCs/>
                <w:vanish w:val="0"/>
                <w:sz w:val="20"/>
                <w:szCs w:val="20"/>
              </w:rPr>
              <w:t xml:space="preserve">apparatus </w:t>
            </w:r>
            <w:r w:rsidRPr="004E58E7">
              <w:rPr>
                <w:bCs/>
                <w:vanish w:val="0"/>
                <w:sz w:val="20"/>
                <w:szCs w:val="20"/>
              </w:rPr>
              <w:t>licences</w:t>
            </w:r>
          </w:p>
        </w:tc>
        <w:tc>
          <w:tcPr>
            <w:tcW w:w="2102" w:type="dxa"/>
          </w:tcPr>
          <w:p w14:paraId="0223B33F" w14:textId="5E7B9B59" w:rsidR="004E58E7" w:rsidRPr="006D7ABC" w:rsidRDefault="004E58E7" w:rsidP="00CB6A31">
            <w:pPr>
              <w:pStyle w:val="ACMAInstructions"/>
              <w:keepNext/>
              <w:keepLines/>
              <w:spacing w:after="60"/>
              <w:rPr>
                <w:b w:val="0"/>
                <w:bCs/>
                <w:vanish w:val="0"/>
                <w:sz w:val="20"/>
                <w:szCs w:val="20"/>
              </w:rPr>
            </w:pPr>
            <w:r w:rsidRPr="00083AC3">
              <w:rPr>
                <w:b w:val="0"/>
                <w:bCs/>
                <w:color w:val="000000"/>
                <w:sz w:val="20"/>
                <w:szCs w:val="20"/>
              </w:rPr>
              <w:t>2 x Defence</w:t>
            </w:r>
            <w:r w:rsidR="006D7ABC">
              <w:rPr>
                <w:b w:val="0"/>
                <w:bCs/>
                <w:color w:val="000000"/>
                <w:sz w:val="20"/>
                <w:szCs w:val="20"/>
              </w:rPr>
              <w:t>-</w:t>
            </w:r>
            <w:r w:rsidRPr="00083AC3">
              <w:rPr>
                <w:b w:val="0"/>
                <w:bCs/>
                <w:color w:val="000000"/>
                <w:sz w:val="20"/>
                <w:szCs w:val="20"/>
              </w:rPr>
              <w:t>type licences</w:t>
            </w:r>
          </w:p>
        </w:tc>
        <w:tc>
          <w:tcPr>
            <w:tcW w:w="2102" w:type="dxa"/>
          </w:tcPr>
          <w:p w14:paraId="2E843CB3" w14:textId="47039460" w:rsidR="004E58E7" w:rsidRPr="00083AC3" w:rsidRDefault="004E58E7" w:rsidP="00CB6A31">
            <w:pPr>
              <w:pStyle w:val="ACMAInstructions"/>
              <w:keepNext/>
              <w:keepLines/>
              <w:spacing w:after="60"/>
              <w:rPr>
                <w:b w:val="0"/>
                <w:bCs/>
                <w:color w:val="000000"/>
                <w:sz w:val="20"/>
                <w:szCs w:val="20"/>
              </w:rPr>
            </w:pPr>
            <w:r w:rsidRPr="00083AC3">
              <w:rPr>
                <w:b w:val="0"/>
                <w:bCs/>
                <w:color w:val="000000"/>
                <w:sz w:val="20"/>
                <w:szCs w:val="20"/>
              </w:rPr>
              <w:t xml:space="preserve">9 licences to Department of Defence for </w:t>
            </w:r>
            <w:r w:rsidR="006D7ABC">
              <w:rPr>
                <w:b w:val="0"/>
                <w:bCs/>
                <w:color w:val="000000"/>
                <w:sz w:val="20"/>
                <w:szCs w:val="20"/>
              </w:rPr>
              <w:t>r</w:t>
            </w:r>
            <w:r w:rsidRPr="00083AC3">
              <w:rPr>
                <w:b w:val="0"/>
                <w:bCs/>
                <w:color w:val="000000"/>
                <w:sz w:val="20"/>
                <w:szCs w:val="20"/>
              </w:rPr>
              <w:t>adiodetermination</w:t>
            </w:r>
          </w:p>
          <w:p w14:paraId="2EA01EC7" w14:textId="6F60080E" w:rsidR="004E58E7" w:rsidRPr="00083AC3" w:rsidRDefault="004E58E7" w:rsidP="00CB6A31">
            <w:pPr>
              <w:pStyle w:val="ACMAInstructions"/>
              <w:keepNext/>
              <w:keepLines/>
              <w:spacing w:after="60"/>
              <w:rPr>
                <w:b w:val="0"/>
                <w:bCs/>
                <w:color w:val="000000"/>
                <w:sz w:val="20"/>
                <w:szCs w:val="20"/>
              </w:rPr>
            </w:pPr>
            <w:r w:rsidRPr="00083AC3">
              <w:rPr>
                <w:b w:val="0"/>
                <w:bCs/>
                <w:color w:val="000000"/>
                <w:sz w:val="20"/>
                <w:szCs w:val="20"/>
              </w:rPr>
              <w:t>1 x point-to-point link (Queensland Alumina Ltd at Gladstone)</w:t>
            </w:r>
          </w:p>
        </w:tc>
        <w:tc>
          <w:tcPr>
            <w:tcW w:w="2361" w:type="dxa"/>
          </w:tcPr>
          <w:p w14:paraId="4FC9762F" w14:textId="01B1EFF4" w:rsidR="004E58E7" w:rsidRPr="006D7ABC" w:rsidRDefault="004E58E7" w:rsidP="00CB6A31">
            <w:pPr>
              <w:pStyle w:val="ACMAInstructions"/>
              <w:keepNext/>
              <w:keepLines/>
              <w:spacing w:after="60"/>
              <w:rPr>
                <w:b w:val="0"/>
                <w:bCs/>
                <w:vanish w:val="0"/>
                <w:sz w:val="20"/>
                <w:szCs w:val="20"/>
              </w:rPr>
            </w:pPr>
            <w:r w:rsidRPr="00083AC3">
              <w:rPr>
                <w:b w:val="0"/>
                <w:bCs/>
                <w:color w:val="000000"/>
                <w:sz w:val="20"/>
                <w:szCs w:val="20"/>
              </w:rPr>
              <w:t>Point-to-point</w:t>
            </w:r>
          </w:p>
        </w:tc>
      </w:tr>
      <w:tr w:rsidR="004E58E7" w14:paraId="419A806F" w14:textId="77777777" w:rsidTr="00083AC3">
        <w:trPr>
          <w:cnfStyle w:val="000000010000" w:firstRow="0" w:lastRow="0" w:firstColumn="0" w:lastColumn="0" w:oddVBand="0" w:evenVBand="0" w:oddHBand="0" w:evenHBand="1" w:firstRowFirstColumn="0" w:firstRowLastColumn="0" w:lastRowFirstColumn="0" w:lastRowLastColumn="0"/>
          <w:hidden w:val="0"/>
        </w:trPr>
        <w:tc>
          <w:tcPr>
            <w:tcW w:w="2361" w:type="dxa"/>
            <w:vMerge/>
          </w:tcPr>
          <w:p w14:paraId="543392A6" w14:textId="77777777" w:rsidR="004E58E7" w:rsidRDefault="004E58E7" w:rsidP="00CB6A31">
            <w:pPr>
              <w:pStyle w:val="ACMAInstructions"/>
              <w:keepNext/>
              <w:keepLines/>
              <w:rPr>
                <w:b w:val="0"/>
                <w:vanish w:val="0"/>
                <w:sz w:val="20"/>
                <w:szCs w:val="20"/>
              </w:rPr>
            </w:pPr>
          </w:p>
        </w:tc>
        <w:tc>
          <w:tcPr>
            <w:tcW w:w="6565" w:type="dxa"/>
            <w:gridSpan w:val="3"/>
            <w:shd w:val="clear" w:color="auto" w:fill="F2F2F2" w:themeFill="background1" w:themeFillShade="F2"/>
          </w:tcPr>
          <w:p w14:paraId="1B8E6A8E" w14:textId="27F5D3FF" w:rsidR="004E58E7" w:rsidRPr="003F78E4" w:rsidRDefault="004E58E7" w:rsidP="00CB6A31">
            <w:pPr>
              <w:keepNext/>
              <w:keepLines/>
              <w:tabs>
                <w:tab w:val="left" w:pos="5754"/>
              </w:tabs>
              <w:spacing w:after="60" w:line="240" w:lineRule="auto"/>
              <w:ind w:left="509" w:right="472"/>
              <w:jc w:val="center"/>
              <w:rPr>
                <w:rFonts w:cs="Arial"/>
                <w:b/>
                <w:vanish/>
                <w:szCs w:val="20"/>
              </w:rPr>
            </w:pPr>
            <w:r w:rsidRPr="00083AC3">
              <w:rPr>
                <w:rFonts w:cs="Arial"/>
                <w:color w:val="000000"/>
                <w:szCs w:val="20"/>
              </w:rPr>
              <w:t>2 x Radiodetermination licences (Leica Geosystems Pty Ltd in remote North-West WA)</w:t>
            </w:r>
          </w:p>
        </w:tc>
      </w:tr>
      <w:tr w:rsidR="00733D69" w14:paraId="58133F9B" w14:textId="77777777" w:rsidTr="00083AC3">
        <w:trPr>
          <w:cnfStyle w:val="000000100000" w:firstRow="0" w:lastRow="0" w:firstColumn="0" w:lastColumn="0" w:oddVBand="0" w:evenVBand="0" w:oddHBand="1" w:evenHBand="0" w:firstRowFirstColumn="0" w:firstRowLastColumn="0" w:lastRowFirstColumn="0" w:lastRowLastColumn="0"/>
          <w:hidden w:val="0"/>
        </w:trPr>
        <w:tc>
          <w:tcPr>
            <w:tcW w:w="2361" w:type="dxa"/>
            <w:vMerge w:val="restart"/>
            <w:shd w:val="clear" w:color="auto" w:fill="FFFFFF" w:themeFill="background1"/>
          </w:tcPr>
          <w:p w14:paraId="5F3DFAAA" w14:textId="5C063F00" w:rsidR="00733D69" w:rsidRPr="00733D69" w:rsidRDefault="00733D69" w:rsidP="00CB6A31">
            <w:pPr>
              <w:pStyle w:val="ACMAInstructions"/>
              <w:keepNext/>
              <w:keepLines/>
              <w:rPr>
                <w:bCs/>
                <w:vanish w:val="0"/>
                <w:sz w:val="20"/>
                <w:szCs w:val="20"/>
              </w:rPr>
            </w:pPr>
            <w:r w:rsidRPr="00733D69">
              <w:rPr>
                <w:bCs/>
                <w:vanish w:val="0"/>
                <w:sz w:val="20"/>
                <w:szCs w:val="20"/>
              </w:rPr>
              <w:t>Current class licences</w:t>
            </w:r>
          </w:p>
        </w:tc>
        <w:tc>
          <w:tcPr>
            <w:tcW w:w="2102" w:type="dxa"/>
            <w:shd w:val="clear" w:color="auto" w:fill="FFFFFF" w:themeFill="background1"/>
          </w:tcPr>
          <w:p w14:paraId="67C62B84" w14:textId="77777777" w:rsidR="00733D69" w:rsidRPr="006D7ABC" w:rsidRDefault="00733D69" w:rsidP="00CB6A31">
            <w:pPr>
              <w:pStyle w:val="ACMAInstructions"/>
              <w:keepNext/>
              <w:keepLines/>
              <w:rPr>
                <w:b w:val="0"/>
                <w:vanish w:val="0"/>
                <w:sz w:val="20"/>
                <w:szCs w:val="20"/>
              </w:rPr>
            </w:pPr>
          </w:p>
        </w:tc>
        <w:tc>
          <w:tcPr>
            <w:tcW w:w="2102" w:type="dxa"/>
            <w:shd w:val="clear" w:color="auto" w:fill="FFFFFF" w:themeFill="background1"/>
          </w:tcPr>
          <w:p w14:paraId="3880460A" w14:textId="347E1409" w:rsidR="00733D69" w:rsidRPr="006D7ABC" w:rsidRDefault="00733D69" w:rsidP="00CB6A31">
            <w:pPr>
              <w:pStyle w:val="ACMAInstructions"/>
              <w:keepNext/>
              <w:keepLines/>
              <w:jc w:val="center"/>
              <w:rPr>
                <w:b w:val="0"/>
                <w:vanish w:val="0"/>
                <w:sz w:val="20"/>
                <w:szCs w:val="20"/>
              </w:rPr>
            </w:pPr>
            <w:r w:rsidRPr="006D7ABC">
              <w:rPr>
                <w:b w:val="0"/>
                <w:vanish w:val="0"/>
                <w:sz w:val="20"/>
                <w:szCs w:val="20"/>
              </w:rPr>
              <w:t>LIPD: All transmitters (100</w:t>
            </w:r>
            <w:r w:rsidR="006D7AF0" w:rsidRPr="006D7ABC">
              <w:rPr>
                <w:b w:val="0"/>
                <w:vanish w:val="0"/>
                <w:sz w:val="20"/>
                <w:szCs w:val="20"/>
              </w:rPr>
              <w:t> </w:t>
            </w:r>
            <w:proofErr w:type="spellStart"/>
            <w:r w:rsidRPr="006D7ABC">
              <w:rPr>
                <w:b w:val="0"/>
                <w:vanish w:val="0"/>
                <w:sz w:val="20"/>
                <w:szCs w:val="20"/>
              </w:rPr>
              <w:t>mW</w:t>
            </w:r>
            <w:proofErr w:type="spellEnd"/>
            <w:r w:rsidRPr="006D7ABC">
              <w:rPr>
                <w:b w:val="0"/>
                <w:vanish w:val="0"/>
                <w:sz w:val="20"/>
                <w:szCs w:val="20"/>
              </w:rPr>
              <w:t>)</w:t>
            </w:r>
          </w:p>
        </w:tc>
        <w:tc>
          <w:tcPr>
            <w:tcW w:w="2361" w:type="dxa"/>
            <w:shd w:val="clear" w:color="auto" w:fill="FFFFFF" w:themeFill="background1"/>
          </w:tcPr>
          <w:p w14:paraId="2C0BB45E" w14:textId="77777777" w:rsidR="00733D69" w:rsidRPr="006D7ABC" w:rsidRDefault="00733D69" w:rsidP="00CB6A31">
            <w:pPr>
              <w:pStyle w:val="ACMAInstructions"/>
              <w:keepNext/>
              <w:keepLines/>
              <w:rPr>
                <w:b w:val="0"/>
                <w:vanish w:val="0"/>
                <w:sz w:val="20"/>
                <w:szCs w:val="20"/>
              </w:rPr>
            </w:pPr>
          </w:p>
        </w:tc>
      </w:tr>
      <w:tr w:rsidR="00733D69" w14:paraId="6D83D590" w14:textId="77777777" w:rsidTr="00083AC3">
        <w:trPr>
          <w:cnfStyle w:val="000000010000" w:firstRow="0" w:lastRow="0" w:firstColumn="0" w:lastColumn="0" w:oddVBand="0" w:evenVBand="0" w:oddHBand="0" w:evenHBand="1" w:firstRowFirstColumn="0" w:firstRowLastColumn="0" w:lastRowFirstColumn="0" w:lastRowLastColumn="0"/>
          <w:hidden w:val="0"/>
        </w:trPr>
        <w:tc>
          <w:tcPr>
            <w:tcW w:w="2361" w:type="dxa"/>
            <w:vMerge/>
          </w:tcPr>
          <w:p w14:paraId="757C05C1" w14:textId="77777777" w:rsidR="00733D69" w:rsidRDefault="00733D69" w:rsidP="00CB6A31">
            <w:pPr>
              <w:pStyle w:val="ACMAInstructions"/>
              <w:keepNext/>
              <w:keepLines/>
              <w:rPr>
                <w:b w:val="0"/>
                <w:vanish w:val="0"/>
                <w:sz w:val="20"/>
                <w:szCs w:val="20"/>
              </w:rPr>
            </w:pPr>
          </w:p>
        </w:tc>
        <w:tc>
          <w:tcPr>
            <w:tcW w:w="6565" w:type="dxa"/>
            <w:gridSpan w:val="3"/>
          </w:tcPr>
          <w:p w14:paraId="7A24B6C0" w14:textId="34C05E0E" w:rsidR="00733D69" w:rsidRPr="006D7ABC" w:rsidRDefault="00733D69" w:rsidP="00CB6A31">
            <w:pPr>
              <w:pStyle w:val="ACMAInstructions"/>
              <w:keepNext/>
              <w:keepLines/>
              <w:jc w:val="center"/>
              <w:rPr>
                <w:b w:val="0"/>
                <w:vanish w:val="0"/>
                <w:sz w:val="20"/>
                <w:szCs w:val="20"/>
              </w:rPr>
            </w:pPr>
            <w:r w:rsidRPr="006D7ABC">
              <w:rPr>
                <w:b w:val="0"/>
                <w:vanish w:val="0"/>
                <w:sz w:val="20"/>
                <w:szCs w:val="20"/>
              </w:rPr>
              <w:t xml:space="preserve">LIPD: Radiodetermination transmitters operated in radiofrequency-shielded enclosures (75 </w:t>
            </w:r>
            <w:proofErr w:type="spellStart"/>
            <w:r w:rsidRPr="006D7ABC">
              <w:rPr>
                <w:b w:val="0"/>
                <w:vanish w:val="0"/>
                <w:sz w:val="20"/>
                <w:szCs w:val="20"/>
              </w:rPr>
              <w:t>nW</w:t>
            </w:r>
            <w:proofErr w:type="spellEnd"/>
            <w:r w:rsidRPr="006D7ABC">
              <w:rPr>
                <w:b w:val="0"/>
                <w:vanish w:val="0"/>
                <w:sz w:val="20"/>
                <w:szCs w:val="20"/>
              </w:rPr>
              <w:t>)</w:t>
            </w:r>
          </w:p>
        </w:tc>
      </w:tr>
      <w:tr w:rsidR="00733D69" w14:paraId="72220844" w14:textId="77777777" w:rsidTr="00083AC3">
        <w:trPr>
          <w:cnfStyle w:val="000000100000" w:firstRow="0" w:lastRow="0" w:firstColumn="0" w:lastColumn="0" w:oddVBand="0" w:evenVBand="0" w:oddHBand="1" w:evenHBand="0" w:firstRowFirstColumn="0" w:firstRowLastColumn="0" w:lastRowFirstColumn="0" w:lastRowLastColumn="0"/>
          <w:hidden w:val="0"/>
        </w:trPr>
        <w:tc>
          <w:tcPr>
            <w:tcW w:w="2361" w:type="dxa"/>
            <w:vMerge/>
          </w:tcPr>
          <w:p w14:paraId="7FCDC0E3" w14:textId="77777777" w:rsidR="00733D69" w:rsidRDefault="00733D69" w:rsidP="00CB6A31">
            <w:pPr>
              <w:pStyle w:val="ACMAInstructions"/>
              <w:keepNext/>
              <w:keepLines/>
              <w:rPr>
                <w:b w:val="0"/>
                <w:vanish w:val="0"/>
                <w:sz w:val="20"/>
                <w:szCs w:val="20"/>
              </w:rPr>
            </w:pPr>
          </w:p>
        </w:tc>
        <w:tc>
          <w:tcPr>
            <w:tcW w:w="6565" w:type="dxa"/>
            <w:gridSpan w:val="3"/>
            <w:shd w:val="clear" w:color="auto" w:fill="FFFFFF" w:themeFill="background1"/>
          </w:tcPr>
          <w:p w14:paraId="136DB0BD" w14:textId="34105383" w:rsidR="00733D69" w:rsidRPr="00083AC3" w:rsidRDefault="00733D69" w:rsidP="00CB6A31">
            <w:pPr>
              <w:pStyle w:val="ACMAInstructions"/>
              <w:keepNext/>
              <w:keepLines/>
              <w:jc w:val="center"/>
              <w:rPr>
                <w:b w:val="0"/>
                <w:vanish w:val="0"/>
                <w:sz w:val="20"/>
                <w:szCs w:val="20"/>
              </w:rPr>
            </w:pPr>
            <w:r w:rsidRPr="00083AC3">
              <w:rPr>
                <w:b w:val="0"/>
                <w:vanish w:val="0"/>
                <w:sz w:val="20"/>
                <w:szCs w:val="20"/>
              </w:rPr>
              <w:t>Radiocommunications (Overseas Amateurs Visiting Australia) Class Licence 2015</w:t>
            </w:r>
          </w:p>
        </w:tc>
      </w:tr>
    </w:tbl>
    <w:p w14:paraId="2A176ECC" w14:textId="2CA32FB7" w:rsidR="00706FE9" w:rsidRDefault="00706FE9" w:rsidP="00513038">
      <w:pPr>
        <w:pStyle w:val="ACMAInstructions"/>
        <w:rPr>
          <w:b w:val="0"/>
          <w:vanish w:val="0"/>
          <w:sz w:val="20"/>
          <w:szCs w:val="20"/>
        </w:rPr>
      </w:pPr>
    </w:p>
    <w:p w14:paraId="6F1386E8" w14:textId="192F3F48" w:rsidR="00BF5A5A" w:rsidRPr="00513038" w:rsidRDefault="00BF5A5A" w:rsidP="00513038">
      <w:pPr>
        <w:pStyle w:val="Heading2"/>
      </w:pPr>
      <w:bookmarkStart w:id="30" w:name="_Toc50732094"/>
      <w:r w:rsidRPr="00513038">
        <w:lastRenderedPageBreak/>
        <w:t>Minor updates</w:t>
      </w:r>
      <w:bookmarkEnd w:id="30"/>
    </w:p>
    <w:p w14:paraId="33104245" w14:textId="2CE555A8" w:rsidR="005E250B" w:rsidRPr="00C35CCE" w:rsidRDefault="00364391" w:rsidP="005E250B">
      <w:pPr>
        <w:pStyle w:val="Heading3"/>
      </w:pPr>
      <w:r>
        <w:t>Item 30</w:t>
      </w:r>
      <w:r w:rsidR="006D7ABC">
        <w:t>:</w:t>
      </w:r>
      <w:r>
        <w:t xml:space="preserve"> Wireless audio transmitter</w:t>
      </w:r>
    </w:p>
    <w:p w14:paraId="11CB1867" w14:textId="4D1EEDB3" w:rsidR="00C87E8A" w:rsidRDefault="00364391" w:rsidP="00C87E8A">
      <w:pPr>
        <w:pStyle w:val="Paragraph"/>
      </w:pPr>
      <w:r>
        <w:t>Currently</w:t>
      </w:r>
      <w:r w:rsidR="009040B3">
        <w:t>,</w:t>
      </w:r>
      <w:r>
        <w:t xml:space="preserve"> item 30 for wireless audio transmitters includes a restriction that transmitters must comply with ETSI Standard EN 300 422. </w:t>
      </w:r>
      <w:r w:rsidR="0074285E">
        <w:t xml:space="preserve">The current version of </w:t>
      </w:r>
      <w:r>
        <w:t xml:space="preserve">AS/NZS 4268 also provides the option of compliance with ETSI Standard EN 301 840. Therefore, it is proposed to </w:t>
      </w:r>
      <w:r w:rsidR="009B005E">
        <w:t>add</w:t>
      </w:r>
      <w:r>
        <w:t xml:space="preserve"> this standard </w:t>
      </w:r>
      <w:r w:rsidR="009B005E">
        <w:t>to item 30</w:t>
      </w:r>
      <w:r>
        <w:t xml:space="preserve">in the LIPD. </w:t>
      </w:r>
    </w:p>
    <w:p w14:paraId="51C7B87D" w14:textId="7513CB8B" w:rsidR="00A8260F" w:rsidRPr="00C35CCE" w:rsidRDefault="00A8260F" w:rsidP="00A8260F">
      <w:pPr>
        <w:pStyle w:val="Heading3"/>
      </w:pPr>
      <w:r>
        <w:t>Item 45</w:t>
      </w:r>
      <w:r w:rsidR="006D7ABC">
        <w:t>:</w:t>
      </w:r>
      <w:r>
        <w:t xml:space="preserve"> Radio</w:t>
      </w:r>
      <w:r w:rsidR="002C5DE8">
        <w:t>frequency</w:t>
      </w:r>
      <w:r>
        <w:t xml:space="preserve"> identification transmitters</w:t>
      </w:r>
    </w:p>
    <w:p w14:paraId="51AD3DBA" w14:textId="11EDF66C" w:rsidR="00FA6653" w:rsidRDefault="00A8260F" w:rsidP="00E57904">
      <w:r>
        <w:t>Currently</w:t>
      </w:r>
      <w:r w:rsidR="009040B3">
        <w:t>,</w:t>
      </w:r>
      <w:r>
        <w:t xml:space="preserve"> item 45 for </w:t>
      </w:r>
      <w:r w:rsidR="00FA6653">
        <w:t>r</w:t>
      </w:r>
      <w:r w:rsidRPr="00A8260F">
        <w:t>adiofrequency identification</w:t>
      </w:r>
      <w:r w:rsidR="00FA6653">
        <w:t xml:space="preserve"> (RFID)</w:t>
      </w:r>
      <w:r w:rsidRPr="00A8260F">
        <w:t xml:space="preserve"> transmitters</w:t>
      </w:r>
      <w:r>
        <w:t xml:space="preserve"> in the </w:t>
      </w:r>
      <w:r w:rsidR="009040B3">
        <w:br/>
      </w:r>
      <w:r>
        <w:t>920</w:t>
      </w:r>
      <w:r w:rsidR="009040B3">
        <w:t>–</w:t>
      </w:r>
      <w:r>
        <w:t xml:space="preserve">926 MHz band includes a limitation that </w:t>
      </w:r>
      <w:r w:rsidRPr="00A8260F">
        <w:t>transmitter</w:t>
      </w:r>
      <w:r>
        <w:t>s</w:t>
      </w:r>
      <w:r w:rsidRPr="00A8260F">
        <w:t xml:space="preserve"> must comply with the instrument known as</w:t>
      </w:r>
      <w:r w:rsidR="00FA6653">
        <w:t xml:space="preserve"> </w:t>
      </w:r>
      <w:r w:rsidRPr="00A8260F">
        <w:t>ISO/IEC 18000-6c.</w:t>
      </w:r>
      <w:r>
        <w:t xml:space="preserve"> This standard has been renamed</w:t>
      </w:r>
      <w:r w:rsidR="009B005E">
        <w:t xml:space="preserve"> and will no</w:t>
      </w:r>
      <w:r w:rsidR="00083AC3">
        <w:t>w</w:t>
      </w:r>
      <w:r w:rsidR="009040B3">
        <w:t> </w:t>
      </w:r>
      <w:r w:rsidR="009B005E">
        <w:t>be referenced under its current name.</w:t>
      </w:r>
      <w:r w:rsidR="00E57904">
        <w:t xml:space="preserve"> </w:t>
      </w:r>
    </w:p>
    <w:p w14:paraId="0FD479F8" w14:textId="71134F2B" w:rsidR="00FA6653" w:rsidRDefault="009D311A" w:rsidP="00E57904">
      <w:r>
        <w:t>In addition, t</w:t>
      </w:r>
      <w:r w:rsidR="00FA6653">
        <w:t xml:space="preserve">he LIPD </w:t>
      </w:r>
      <w:r w:rsidR="007E66A1">
        <w:t>C</w:t>
      </w:r>
      <w:r w:rsidR="00FA6653">
        <w:t xml:space="preserve">lass </w:t>
      </w:r>
      <w:r w:rsidR="007E66A1">
        <w:t>L</w:t>
      </w:r>
      <w:r w:rsidR="00FA6653">
        <w:t>icence previously limited RFID in the 920</w:t>
      </w:r>
      <w:r w:rsidR="007E66A1">
        <w:t>–</w:t>
      </w:r>
      <w:r w:rsidR="00FA6653">
        <w:t xml:space="preserve">926 MHz band to what are known as </w:t>
      </w:r>
      <w:r w:rsidR="007E66A1">
        <w:t>‘</w:t>
      </w:r>
      <w:r w:rsidR="00FA6653">
        <w:t>Type C</w:t>
      </w:r>
      <w:r w:rsidR="007E66A1">
        <w:t>’</w:t>
      </w:r>
      <w:r w:rsidR="00FA6653">
        <w:t xml:space="preserve"> devices. While devices of </w:t>
      </w:r>
      <w:r w:rsidR="002C5DE8">
        <w:t xml:space="preserve">different </w:t>
      </w:r>
      <w:r w:rsidR="00FA6653">
        <w:t xml:space="preserve">types do not interoperate, there is no technical reason to suggest they cannot coexist. Further, there is anecdotal evidence to suggest that RFID transmitters of other types (Types A, B and D) are already in use. </w:t>
      </w:r>
    </w:p>
    <w:p w14:paraId="50F7E98D" w14:textId="40CB6919" w:rsidR="00A8260F" w:rsidRDefault="00E57904" w:rsidP="00FA6653">
      <w:pPr>
        <w:rPr>
          <w:lang w:val="en-GB"/>
        </w:rPr>
      </w:pPr>
      <w:r>
        <w:t xml:space="preserve">Therefore, it is proposed to replace the reference to </w:t>
      </w:r>
      <w:r w:rsidRPr="00A8260F">
        <w:t>ISO/IEC 18000-6c</w:t>
      </w:r>
      <w:r>
        <w:t xml:space="preserve"> to the full family of </w:t>
      </w:r>
      <w:r w:rsidR="00FA6653">
        <w:rPr>
          <w:lang w:val="en-GB"/>
        </w:rPr>
        <w:t xml:space="preserve">ISO/IEC </w:t>
      </w:r>
      <w:r>
        <w:t xml:space="preserve">standards for RFID being </w:t>
      </w:r>
      <w:r>
        <w:rPr>
          <w:lang w:val="en-GB"/>
        </w:rPr>
        <w:t>ISO</w:t>
      </w:r>
      <w:r w:rsidR="00FA6653">
        <w:rPr>
          <w:lang w:val="en-GB"/>
        </w:rPr>
        <w:t>/</w:t>
      </w:r>
      <w:r>
        <w:rPr>
          <w:lang w:val="en-GB"/>
        </w:rPr>
        <w:t xml:space="preserve">IEC </w:t>
      </w:r>
      <w:bookmarkStart w:id="31" w:name="_Hlk48550010"/>
      <w:r>
        <w:rPr>
          <w:lang w:val="en-GB"/>
        </w:rPr>
        <w:t>18000-6, 18000-61, 18000-62, 18000-63 and 18000-64</w:t>
      </w:r>
      <w:bookmarkEnd w:id="31"/>
      <w:r>
        <w:rPr>
          <w:lang w:val="en-GB"/>
        </w:rPr>
        <w:t>.</w:t>
      </w:r>
    </w:p>
    <w:p w14:paraId="17FDB0B6" w14:textId="77777777" w:rsidR="006C1631" w:rsidRDefault="006C1631" w:rsidP="006C1631">
      <w:pPr>
        <w:pStyle w:val="Heading1"/>
      </w:pPr>
      <w:bookmarkStart w:id="32" w:name="_Invitation_to_comment"/>
      <w:bookmarkStart w:id="33" w:name="_Toc50732095"/>
      <w:bookmarkEnd w:id="32"/>
      <w:r>
        <w:lastRenderedPageBreak/>
        <w:t>Invitation to comment</w:t>
      </w:r>
      <w:bookmarkEnd w:id="33"/>
    </w:p>
    <w:p w14:paraId="7A70FDBF" w14:textId="77777777" w:rsidR="006C1631" w:rsidRDefault="006C1631" w:rsidP="006C1631">
      <w:pPr>
        <w:pStyle w:val="Heading2"/>
      </w:pPr>
      <w:bookmarkStart w:id="34" w:name="_Toc433122131"/>
      <w:bookmarkStart w:id="35" w:name="_Toc348105637"/>
      <w:bookmarkStart w:id="36" w:name="_Toc300909556"/>
      <w:bookmarkStart w:id="37" w:name="_Toc298924673"/>
      <w:bookmarkStart w:id="38" w:name="_Toc348105638"/>
      <w:bookmarkStart w:id="39" w:name="_Toc300909557"/>
      <w:bookmarkStart w:id="40" w:name="_Toc298924674"/>
      <w:bookmarkStart w:id="41" w:name="_Toc274296357"/>
      <w:bookmarkStart w:id="42" w:name="_Toc50732096"/>
      <w:r>
        <w:t>Making a submission</w:t>
      </w:r>
      <w:bookmarkEnd w:id="34"/>
      <w:bookmarkEnd w:id="35"/>
      <w:bookmarkEnd w:id="36"/>
      <w:bookmarkEnd w:id="37"/>
      <w:bookmarkEnd w:id="42"/>
    </w:p>
    <w:p w14:paraId="5BC37B1A" w14:textId="70A90628" w:rsidR="006C1631" w:rsidRDefault="006C1631" w:rsidP="006C1631">
      <w:r>
        <w:t xml:space="preserve">The ACMA invites comments on the </w:t>
      </w:r>
      <w:r w:rsidR="009D311A">
        <w:t xml:space="preserve">proposed changes contained in the </w:t>
      </w:r>
      <w:r w:rsidR="003322F7">
        <w:t xml:space="preserve">draft </w:t>
      </w:r>
      <w:r w:rsidR="003322F7" w:rsidRPr="00083AC3">
        <w:rPr>
          <w:szCs w:val="20"/>
        </w:rPr>
        <w:t>Radiocommunications (Low Interference Potential Devices) Class Licence Variation 20</w:t>
      </w:r>
      <w:r w:rsidR="003322F7" w:rsidRPr="00083AC3">
        <w:rPr>
          <w:vanish/>
          <w:szCs w:val="20"/>
        </w:rPr>
        <w:t>20</w:t>
      </w:r>
      <w:r w:rsidR="003322F7" w:rsidRPr="00083AC3">
        <w:rPr>
          <w:szCs w:val="20"/>
        </w:rPr>
        <w:t xml:space="preserve"> (No.1)</w:t>
      </w:r>
      <w:r w:rsidR="00332847">
        <w:rPr>
          <w:b/>
          <w:vanish/>
          <w:szCs w:val="20"/>
        </w:rPr>
        <w:t xml:space="preserve">, </w:t>
      </w:r>
      <w:r w:rsidR="009D311A" w:rsidRPr="009D311A">
        <w:rPr>
          <w:bCs/>
          <w:vanish/>
          <w:szCs w:val="20"/>
        </w:rPr>
        <w:t>as outlined in this paper</w:t>
      </w:r>
      <w:r w:rsidR="00332847">
        <w:rPr>
          <w:bCs/>
          <w:vanish/>
          <w:szCs w:val="20"/>
        </w:rPr>
        <w:t>. We also welcome feedback on</w:t>
      </w:r>
      <w:r w:rsidR="003322F7" w:rsidRPr="003322F7">
        <w:t xml:space="preserve"> any other relevant </w:t>
      </w:r>
      <w:r w:rsidR="003322F7">
        <w:t xml:space="preserve">issues. </w:t>
      </w:r>
    </w:p>
    <w:p w14:paraId="755671E1" w14:textId="77777777" w:rsidR="0070133D" w:rsidRDefault="00766813" w:rsidP="0070133D">
      <w:pPr>
        <w:pStyle w:val="Bulletlevel1"/>
      </w:pPr>
      <w:hyperlink r:id="rId32"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105BB1FD" w14:textId="77777777" w:rsidR="006C1631" w:rsidRDefault="006C1631" w:rsidP="0070133D">
      <w:pPr>
        <w:pStyle w:val="Bulletlevel1"/>
      </w:pPr>
      <w:r>
        <w:t xml:space="preserve">Submissions by post can be sent to: </w:t>
      </w:r>
    </w:p>
    <w:p w14:paraId="28C7E418" w14:textId="77777777" w:rsidR="006C1631" w:rsidRPr="003322F7" w:rsidRDefault="006C1631" w:rsidP="006C1631">
      <w:pPr>
        <w:tabs>
          <w:tab w:val="num" w:pos="295"/>
        </w:tabs>
        <w:spacing w:after="0"/>
        <w:ind w:left="295"/>
        <w:rPr>
          <w:szCs w:val="20"/>
        </w:rPr>
      </w:pPr>
      <w:r w:rsidRPr="003322F7">
        <w:rPr>
          <w:szCs w:val="20"/>
        </w:rPr>
        <w:t>The Manager</w:t>
      </w:r>
    </w:p>
    <w:p w14:paraId="17863481" w14:textId="74C45295" w:rsidR="006C1631" w:rsidRPr="003322F7" w:rsidRDefault="003322F7" w:rsidP="006C1631">
      <w:pPr>
        <w:spacing w:after="0"/>
        <w:ind w:left="295"/>
        <w:rPr>
          <w:szCs w:val="20"/>
        </w:rPr>
      </w:pPr>
      <w:r w:rsidRPr="003322F7">
        <w:rPr>
          <w:szCs w:val="20"/>
        </w:rPr>
        <w:t>Spectrum Planning Section</w:t>
      </w:r>
    </w:p>
    <w:p w14:paraId="1298ECCB" w14:textId="77777777" w:rsidR="006C1631" w:rsidRPr="003322F7" w:rsidRDefault="006C1631" w:rsidP="006C1631">
      <w:pPr>
        <w:spacing w:after="0"/>
        <w:ind w:left="295"/>
        <w:rPr>
          <w:szCs w:val="20"/>
        </w:rPr>
      </w:pPr>
      <w:r w:rsidRPr="003322F7">
        <w:rPr>
          <w:szCs w:val="20"/>
        </w:rPr>
        <w:t>Australian Communications and Media Authority</w:t>
      </w:r>
    </w:p>
    <w:p w14:paraId="0FC0D681" w14:textId="77777777" w:rsidR="006C1631" w:rsidRPr="003322F7" w:rsidRDefault="006C1631" w:rsidP="006C1631">
      <w:pPr>
        <w:spacing w:after="0"/>
        <w:ind w:left="295"/>
        <w:rPr>
          <w:szCs w:val="20"/>
        </w:rPr>
      </w:pPr>
      <w:r w:rsidRPr="003322F7">
        <w:rPr>
          <w:szCs w:val="20"/>
        </w:rPr>
        <w:t>PO Box 78</w:t>
      </w:r>
    </w:p>
    <w:p w14:paraId="73F1D386" w14:textId="77777777" w:rsidR="006C1631" w:rsidRDefault="006C1631" w:rsidP="006C1631">
      <w:pPr>
        <w:ind w:left="295"/>
        <w:rPr>
          <w:szCs w:val="20"/>
        </w:rPr>
      </w:pPr>
      <w:r w:rsidRPr="003322F7">
        <w:rPr>
          <w:szCs w:val="20"/>
        </w:rPr>
        <w:t>Belconnen ACT 2616</w:t>
      </w:r>
    </w:p>
    <w:p w14:paraId="1F4CB285" w14:textId="2001B935" w:rsidR="006C1631" w:rsidRDefault="006C1631" w:rsidP="006C1631">
      <w:r>
        <w:t xml:space="preserve">The closing date for submissions is </w:t>
      </w:r>
      <w:r w:rsidRPr="005D4FF8">
        <w:rPr>
          <w:b/>
          <w:bCs/>
        </w:rPr>
        <w:t xml:space="preserve">COB, </w:t>
      </w:r>
      <w:r w:rsidR="003322F7" w:rsidRPr="005D4FF8">
        <w:rPr>
          <w:b/>
          <w:bCs/>
        </w:rPr>
        <w:t>Monday 2</w:t>
      </w:r>
      <w:r w:rsidR="004251C7">
        <w:rPr>
          <w:b/>
          <w:bCs/>
        </w:rPr>
        <w:t>6</w:t>
      </w:r>
      <w:r w:rsidR="003322F7" w:rsidRPr="005D4FF8">
        <w:rPr>
          <w:b/>
          <w:bCs/>
        </w:rPr>
        <w:t xml:space="preserve"> October 2020</w:t>
      </w:r>
      <w:r>
        <w:t>.</w:t>
      </w:r>
    </w:p>
    <w:p w14:paraId="5C694F16" w14:textId="1754C7D6" w:rsidR="006C1631" w:rsidRDefault="006C1631" w:rsidP="006C1631">
      <w:pPr>
        <w:rPr>
          <w:szCs w:val="20"/>
        </w:rPr>
      </w:pPr>
      <w:r>
        <w:t xml:space="preserve">Consultation enquiries can be emailed </w:t>
      </w:r>
      <w:r>
        <w:rPr>
          <w:szCs w:val="20"/>
        </w:rPr>
        <w:t>to</w:t>
      </w:r>
      <w:r w:rsidR="003322F7">
        <w:rPr>
          <w:szCs w:val="20"/>
        </w:rPr>
        <w:t xml:space="preserve"> </w:t>
      </w:r>
      <w:hyperlink r:id="rId33" w:history="1">
        <w:r w:rsidR="003322F7" w:rsidRPr="008B56E1">
          <w:rPr>
            <w:rStyle w:val="Hyperlink"/>
            <w:szCs w:val="20"/>
          </w:rPr>
          <w:t>freqplan@acma.gov.au</w:t>
        </w:r>
      </w:hyperlink>
      <w:r w:rsidR="003322F7">
        <w:rPr>
          <w:szCs w:val="20"/>
        </w:rPr>
        <w:t>.</w:t>
      </w:r>
    </w:p>
    <w:p w14:paraId="4F0BF6BA" w14:textId="77777777" w:rsidR="006C1631" w:rsidRDefault="006C1631" w:rsidP="005B2F0D">
      <w:pPr>
        <w:pStyle w:val="Heading4"/>
      </w:pPr>
      <w:bookmarkStart w:id="43" w:name="_Toc348105639"/>
      <w:bookmarkStart w:id="44" w:name="_Toc300909558"/>
      <w:bookmarkEnd w:id="38"/>
      <w:bookmarkEnd w:id="39"/>
      <w:r>
        <w:t xml:space="preserve">Publication of </w:t>
      </w:r>
      <w:r w:rsidRPr="005B2F0D">
        <w:t>submissions</w:t>
      </w:r>
      <w:bookmarkEnd w:id="40"/>
      <w:bookmarkEnd w:id="41"/>
      <w:bookmarkEnd w:id="43"/>
      <w:bookmarkEnd w:id="44"/>
    </w:p>
    <w:p w14:paraId="19052174" w14:textId="77777777" w:rsidR="006C1631" w:rsidRDefault="006C1631" w:rsidP="006C1631">
      <w:bookmarkStart w:id="45" w:name="_Toc348105640"/>
      <w:bookmarkStart w:id="46" w:name="_Toc300909559"/>
      <w:bookmarkStart w:id="47"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74E1177C" w14:textId="77777777" w:rsidR="006C1631" w:rsidRDefault="006C1631" w:rsidP="006C1631">
      <w:r>
        <w:t>Confidential information will not be published or otherwise released unless required or authorised by law.</w:t>
      </w:r>
    </w:p>
    <w:p w14:paraId="7A4EE0A9" w14:textId="77777777" w:rsidR="006C1631" w:rsidRDefault="006C1631" w:rsidP="005B2F0D">
      <w:pPr>
        <w:pStyle w:val="Heading4"/>
      </w:pPr>
      <w:r>
        <w:t>Privacy</w:t>
      </w:r>
    </w:p>
    <w:p w14:paraId="3F0DB3E6" w14:textId="77777777" w:rsidR="006C1631" w:rsidRDefault="00E21056" w:rsidP="005B2F0D">
      <w:pPr>
        <w:pStyle w:val="Paragraph"/>
      </w:pPr>
      <w:r>
        <w:t>View</w:t>
      </w:r>
      <w:r w:rsidR="006C1631">
        <w:t xml:space="preserve"> information about </w:t>
      </w:r>
      <w:r>
        <w:t xml:space="preserve">our policy on the </w:t>
      </w:r>
      <w:hyperlink r:id="rId34"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45"/>
    <w:bookmarkEnd w:id="46"/>
    <w:bookmarkEnd w:id="47"/>
    <w:p w14:paraId="0BBB45D1" w14:textId="77777777" w:rsidR="00A4193E" w:rsidRPr="0041233F" w:rsidRDefault="006C1631" w:rsidP="005B2F0D">
      <w:pPr>
        <w:pStyle w:val="Paragraph"/>
      </w:pPr>
      <w:r>
        <w:t xml:space="preserve">Information on the </w:t>
      </w:r>
      <w:r>
        <w:rPr>
          <w:i/>
        </w:rPr>
        <w:t>Privacy Act 1988</w:t>
      </w:r>
      <w:r w:rsidR="006A4CCA">
        <w:rPr>
          <w:i/>
        </w:rPr>
        <w:t xml:space="preserve">, </w:t>
      </w:r>
      <w:r>
        <w:t>how to access or correct personal information, how to make a privacy complaint and how we will deal with the complaint</w:t>
      </w:r>
      <w:r w:rsidR="00BB6335">
        <w:t>,</w:t>
      </w:r>
      <w:r w:rsidR="00CF0BFE">
        <w:t xml:space="preserve"> </w:t>
      </w:r>
      <w:r>
        <w:t xml:space="preserve">is available </w:t>
      </w:r>
      <w:r w:rsidR="00E21056">
        <w:t xml:space="preserve">in our </w:t>
      </w:r>
      <w:hyperlink r:id="rId35" w:history="1">
        <w:r w:rsidR="00E21056" w:rsidRPr="00E21056">
          <w:rPr>
            <w:rStyle w:val="Hyperlink"/>
          </w:rPr>
          <w:t>privacy policy</w:t>
        </w:r>
      </w:hyperlink>
      <w:r>
        <w:t>.</w:t>
      </w:r>
      <w:r w:rsidR="00A4193E">
        <w:t xml:space="preserve"> </w:t>
      </w:r>
    </w:p>
    <w:sectPr w:rsidR="00A4193E" w:rsidRPr="0041233F"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20BB9" w14:textId="77777777" w:rsidR="00DC3AD7" w:rsidRDefault="00DC3AD7">
      <w:r>
        <w:separator/>
      </w:r>
    </w:p>
  </w:endnote>
  <w:endnote w:type="continuationSeparator" w:id="0">
    <w:p w14:paraId="6F35FB3B" w14:textId="77777777" w:rsidR="00DC3AD7" w:rsidRDefault="00DC3AD7">
      <w:r>
        <w:continuationSeparator/>
      </w:r>
    </w:p>
  </w:endnote>
  <w:endnote w:type="continuationNotice" w:id="1">
    <w:p w14:paraId="1D739236" w14:textId="77777777" w:rsidR="00DC3AD7" w:rsidRDefault="00DC3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FF7F9" w14:textId="77777777" w:rsidR="00DC3AD7" w:rsidRDefault="00DC3AD7" w:rsidP="005E250B">
    <w:pPr>
      <w:pStyle w:val="Footer"/>
      <w:jc w:val="right"/>
    </w:pPr>
    <w:r w:rsidRPr="005E250B">
      <w:rPr>
        <w:noProof/>
        <w:vertAlign w:val="subscript"/>
      </w:rPr>
      <w:drawing>
        <wp:inline distT="0" distB="0" distL="0" distR="0" wp14:anchorId="12A6E9E7" wp14:editId="28680442">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679D" w14:textId="77777777" w:rsidR="00DC3AD7" w:rsidRDefault="00DC3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78F5" w14:textId="77777777" w:rsidR="00DC3AD7" w:rsidRDefault="00DC3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AF47" w14:textId="77777777" w:rsidR="00DC3AD7" w:rsidRPr="00622A3B" w:rsidRDefault="00DC3AD7"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78C32A7" w14:textId="77777777" w:rsidR="00DC3AD7" w:rsidRPr="00A5474E" w:rsidRDefault="00DC3AD7"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E04D" w14:textId="77777777" w:rsidR="00DC3AD7" w:rsidRPr="00622A3B" w:rsidRDefault="00DC3AD7"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4E0AC4B6" w14:textId="77777777" w:rsidR="00DC3AD7" w:rsidRPr="00A5474E" w:rsidRDefault="00DC3AD7"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D1DF" w14:textId="77777777" w:rsidR="00DC3AD7" w:rsidRPr="00622A3B" w:rsidRDefault="00DC3AD7"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1615119" w14:textId="77777777" w:rsidR="00DC3AD7" w:rsidRPr="00A5474E" w:rsidRDefault="00DC3AD7"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106F1" w14:textId="77777777" w:rsidR="00DC3AD7" w:rsidRPr="00622A3B" w:rsidRDefault="00DC3AD7"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0D4375F" w14:textId="77777777" w:rsidR="00DC3AD7" w:rsidRPr="00A5474E" w:rsidRDefault="00DC3AD7"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2E205" w14:textId="77777777" w:rsidR="00DC3AD7" w:rsidRPr="00622A3B" w:rsidRDefault="00DC3AD7"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7EC5B11B" w14:textId="77777777" w:rsidR="00DC3AD7" w:rsidRPr="00A5474E" w:rsidRDefault="00DC3AD7"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C10DB" w14:textId="77777777" w:rsidR="00DC3AD7" w:rsidRDefault="00DC3AD7">
      <w:r>
        <w:separator/>
      </w:r>
    </w:p>
  </w:footnote>
  <w:footnote w:type="continuationSeparator" w:id="0">
    <w:p w14:paraId="3E5D21D7" w14:textId="77777777" w:rsidR="00DC3AD7" w:rsidRDefault="00DC3AD7">
      <w:r>
        <w:continuationSeparator/>
      </w:r>
    </w:p>
  </w:footnote>
  <w:footnote w:type="continuationNotice" w:id="1">
    <w:p w14:paraId="7F5370F5" w14:textId="77777777" w:rsidR="00DC3AD7" w:rsidRDefault="00DC3AD7">
      <w:pPr>
        <w:spacing w:after="0" w:line="240" w:lineRule="auto"/>
      </w:pPr>
    </w:p>
  </w:footnote>
  <w:footnote w:id="2">
    <w:p w14:paraId="60970ACF" w14:textId="2F918B96" w:rsidR="00DC3AD7" w:rsidRPr="006B12D2" w:rsidRDefault="00DC3AD7" w:rsidP="009B7397">
      <w:pPr>
        <w:pStyle w:val="FootnoteText"/>
        <w:spacing w:line="200" w:lineRule="atLeast"/>
        <w:rPr>
          <w:rFonts w:cs="Arial"/>
        </w:rPr>
      </w:pPr>
      <w:r w:rsidRPr="006B12D2">
        <w:rPr>
          <w:rStyle w:val="FootnoteReference"/>
          <w:rFonts w:cs="Arial"/>
        </w:rPr>
        <w:footnoteRef/>
      </w:r>
      <w:r w:rsidRPr="006B12D2">
        <w:rPr>
          <w:rFonts w:cs="Arial"/>
        </w:rPr>
        <w:t xml:space="preserve"> </w:t>
      </w:r>
      <w:r>
        <w:rPr>
          <w:rFonts w:cs="Arial"/>
        </w:rPr>
        <w:t>T</w:t>
      </w:r>
      <w:r w:rsidRPr="006B12D2">
        <w:rPr>
          <w:rFonts w:cs="Arial"/>
        </w:rPr>
        <w:t xml:space="preserve">he </w:t>
      </w:r>
      <w:r>
        <w:rPr>
          <w:rFonts w:cs="Arial"/>
        </w:rPr>
        <w:t>current version of the LIPD C</w:t>
      </w:r>
      <w:r w:rsidRPr="006B12D2">
        <w:rPr>
          <w:rFonts w:cs="Arial"/>
        </w:rPr>
        <w:t xml:space="preserve">lass </w:t>
      </w:r>
      <w:r>
        <w:rPr>
          <w:rFonts w:cs="Arial"/>
        </w:rPr>
        <w:t>L</w:t>
      </w:r>
      <w:r w:rsidRPr="006B12D2">
        <w:rPr>
          <w:rFonts w:cs="Arial"/>
        </w:rPr>
        <w:t xml:space="preserve">icence is available </w:t>
      </w:r>
      <w:r w:rsidR="003F78E4">
        <w:rPr>
          <w:rFonts w:cs="Arial"/>
        </w:rPr>
        <w:t xml:space="preserve">on the </w:t>
      </w:r>
      <w:hyperlink r:id="rId1" w:history="1">
        <w:r w:rsidR="003F78E4" w:rsidRPr="003F78E4">
          <w:rPr>
            <w:rStyle w:val="Hyperlink"/>
            <w:rFonts w:cs="Arial"/>
          </w:rPr>
          <w:t>Federal Register of Legislation website</w:t>
        </w:r>
      </w:hyperlink>
      <w:r w:rsidR="003F78E4">
        <w:rPr>
          <w:rFonts w:cs="Arial"/>
        </w:rPr>
        <w:t xml:space="preserve">. </w:t>
      </w:r>
    </w:p>
  </w:footnote>
  <w:footnote w:id="3">
    <w:p w14:paraId="1D86A468" w14:textId="695E3EE0" w:rsidR="00DC3AD7" w:rsidRDefault="00DC3AD7" w:rsidP="009B7397">
      <w:pPr>
        <w:pStyle w:val="FootnoteText"/>
        <w:spacing w:line="200" w:lineRule="atLeast"/>
      </w:pPr>
      <w:r>
        <w:rPr>
          <w:rStyle w:val="FootnoteReference"/>
        </w:rPr>
        <w:footnoteRef/>
      </w:r>
      <w:r>
        <w:t xml:space="preserve"> The current version of the Spectrum Plan is </w:t>
      </w:r>
      <w:r w:rsidRPr="006B12D2">
        <w:rPr>
          <w:rFonts w:cs="Arial"/>
        </w:rPr>
        <w:t xml:space="preserve">available </w:t>
      </w:r>
      <w:r w:rsidR="003F78E4">
        <w:rPr>
          <w:rFonts w:cs="Arial"/>
        </w:rPr>
        <w:t xml:space="preserve">on the </w:t>
      </w:r>
      <w:hyperlink r:id="rId2" w:history="1">
        <w:r w:rsidR="003F78E4" w:rsidRPr="003F78E4">
          <w:rPr>
            <w:rStyle w:val="Hyperlink"/>
            <w:rFonts w:cs="Arial"/>
          </w:rPr>
          <w:t>Federal Register of Legislation website</w:t>
        </w:r>
      </w:hyperlink>
      <w:r w:rsidR="003F78E4">
        <w:rPr>
          <w:rFonts w:cs="Arial"/>
        </w:rPr>
        <w:t xml:space="preserve">. </w:t>
      </w:r>
    </w:p>
  </w:footnote>
  <w:footnote w:id="4">
    <w:p w14:paraId="37BAF98C" w14:textId="1ED7211D" w:rsidR="00DC3AD7" w:rsidRDefault="00DC3AD7" w:rsidP="006C6840">
      <w:pPr>
        <w:pStyle w:val="FootnoteText"/>
        <w:spacing w:line="240" w:lineRule="auto"/>
      </w:pPr>
      <w:r>
        <w:rPr>
          <w:rStyle w:val="FootnoteReference"/>
        </w:rPr>
        <w:footnoteRef/>
      </w:r>
      <w:r>
        <w:t xml:space="preserve"> </w:t>
      </w:r>
      <w:proofErr w:type="spellStart"/>
      <w:r w:rsidR="001166AE">
        <w:t>m</w:t>
      </w:r>
      <w:r w:rsidR="00A9552E">
        <w:t>mW</w:t>
      </w:r>
      <w:r w:rsidR="001166AE">
        <w:t>ave</w:t>
      </w:r>
      <w:proofErr w:type="spellEnd"/>
      <w:r>
        <w:t xml:space="preserve"> span</w:t>
      </w:r>
      <w:r w:rsidR="00A9552E">
        <w:t>s</w:t>
      </w:r>
      <w:r>
        <w:t xml:space="preserve"> 30–300 GHz (i.e. a wavelength of 1 cm to 1 mm), however, in the current 5G context, </w:t>
      </w:r>
      <w:proofErr w:type="spellStart"/>
      <w:r>
        <w:t>mmWave</w:t>
      </w:r>
      <w:proofErr w:type="spellEnd"/>
      <w:r>
        <w:t xml:space="preserve"> bands in consideration span from around 24 GHz up to 86 GHz.</w:t>
      </w:r>
    </w:p>
  </w:footnote>
  <w:footnote w:id="5">
    <w:p w14:paraId="4ED0425B" w14:textId="3ABE0A9E" w:rsidR="00DC3AD7" w:rsidRPr="006D7AF0" w:rsidRDefault="00DC3AD7" w:rsidP="00083AC3">
      <w:pPr>
        <w:pStyle w:val="FootnoteText"/>
        <w:spacing w:line="240" w:lineRule="auto"/>
      </w:pPr>
      <w:r w:rsidRPr="006D7AF0">
        <w:rPr>
          <w:rStyle w:val="FootnoteReference"/>
        </w:rPr>
        <w:footnoteRef/>
      </w:r>
      <w:r w:rsidRPr="006D7AF0">
        <w:t xml:space="preserve"> The 3rd Generation Partnership Project (3GPP) is a standards organization which develops protocols for mobile telephony, including specifications for specific frequency bands.</w:t>
      </w:r>
    </w:p>
  </w:footnote>
  <w:footnote w:id="6">
    <w:p w14:paraId="39A26CF0" w14:textId="7380B232" w:rsidR="00DC3AD7" w:rsidRPr="006D7AF0" w:rsidRDefault="00DC3AD7" w:rsidP="00083AC3">
      <w:pPr>
        <w:pStyle w:val="FootnoteText"/>
        <w:spacing w:line="240" w:lineRule="auto"/>
      </w:pPr>
      <w:r w:rsidRPr="006D7AF0">
        <w:rPr>
          <w:rStyle w:val="FootnoteReference"/>
        </w:rPr>
        <w:footnoteRef/>
      </w:r>
      <w:r w:rsidRPr="006D7AF0">
        <w:t xml:space="preserve"> </w:t>
      </w:r>
      <w:hyperlink r:id="rId3" w:history="1">
        <w:r w:rsidRPr="006D7AF0">
          <w:rPr>
            <w:rStyle w:val="Hyperlink"/>
          </w:rPr>
          <w:t>3GPP TS 38.104</w:t>
        </w:r>
      </w:hyperlink>
      <w:r w:rsidRPr="006D7AF0">
        <w:rPr>
          <w:u w:color="0000FF"/>
        </w:rPr>
        <w:t>: 3</w:t>
      </w:r>
      <w:r w:rsidRPr="006D7AF0">
        <w:rPr>
          <w:u w:color="0000FF"/>
          <w:vertAlign w:val="superscript"/>
        </w:rPr>
        <w:t>rd</w:t>
      </w:r>
      <w:r w:rsidRPr="006D7AF0">
        <w:rPr>
          <w:u w:color="0000FF"/>
        </w:rPr>
        <w:t xml:space="preserve"> Generation Partnership Project; Technical Specification Group Radio Access Network; NR; Base Station (BS) radio transmission and reception</w:t>
      </w:r>
      <w:r>
        <w:rPr>
          <w:u w:color="0000FF"/>
        </w:rPr>
        <w:t>.</w:t>
      </w:r>
    </w:p>
  </w:footnote>
  <w:footnote w:id="7">
    <w:p w14:paraId="20DDF52B" w14:textId="2B4115B6" w:rsidR="00DC3AD7" w:rsidRPr="006D7AF0" w:rsidRDefault="00DC3AD7" w:rsidP="00083AC3">
      <w:pPr>
        <w:pStyle w:val="FootnoteText"/>
        <w:spacing w:line="240" w:lineRule="auto"/>
      </w:pPr>
      <w:r w:rsidRPr="006D7AF0">
        <w:rPr>
          <w:rStyle w:val="FootnoteReference"/>
        </w:rPr>
        <w:footnoteRef/>
      </w:r>
      <w:r w:rsidRPr="006D7AF0">
        <w:t xml:space="preserve"> </w:t>
      </w:r>
      <w:hyperlink r:id="rId4" w:history="1">
        <w:r w:rsidRPr="006D7AF0">
          <w:rPr>
            <w:rStyle w:val="Hyperlink"/>
          </w:rPr>
          <w:t>3GPP TS 38.101-2</w:t>
        </w:r>
      </w:hyperlink>
      <w:r w:rsidRPr="006D7AF0">
        <w:rPr>
          <w:u w:color="0000FF"/>
        </w:rPr>
        <w:t>: 3</w:t>
      </w:r>
      <w:r w:rsidRPr="006D7AF0">
        <w:rPr>
          <w:u w:color="0000FF"/>
          <w:vertAlign w:val="superscript"/>
        </w:rPr>
        <w:t>rd</w:t>
      </w:r>
      <w:r w:rsidRPr="006D7AF0">
        <w:rPr>
          <w:u w:color="0000FF"/>
        </w:rPr>
        <w:t xml:space="preserve"> Generation Partnership Project; Technical Specification Group Radio Access Network; NR; User Equipment (UE) radio transmission and reception; Part 2: Range 2 Standalone</w:t>
      </w:r>
      <w:r>
        <w:rPr>
          <w:u w:color="0000FF"/>
        </w:rPr>
        <w:t>.</w:t>
      </w:r>
    </w:p>
  </w:footnote>
  <w:footnote w:id="8">
    <w:p w14:paraId="4853C587" w14:textId="77777777" w:rsidR="00DC3AD7" w:rsidRDefault="00DC3AD7">
      <w:pPr>
        <w:pStyle w:val="FootnoteText"/>
        <w:spacing w:line="240" w:lineRule="auto"/>
      </w:pPr>
      <w:r w:rsidRPr="006D7AF0">
        <w:rPr>
          <w:rStyle w:val="FootnoteReference"/>
        </w:rPr>
        <w:footnoteRef/>
      </w:r>
      <w:r w:rsidRPr="006D7AF0">
        <w:t xml:space="preserve"> Building penetration loss (calculated using Recommendation ITU-R P.2109) is considered adequate to protect passive Earth-Exploration Satellite Service (EESS) from aggregate unwanted emissions from indoor wireless</w:t>
      </w:r>
      <w:r w:rsidRPr="001C3BD1">
        <w:t xml:space="preserve"> broadband services within the EESS footprint.</w:t>
      </w:r>
    </w:p>
  </w:footnote>
  <w:footnote w:id="9">
    <w:p w14:paraId="3526C117" w14:textId="2F70563A" w:rsidR="00DC3AD7" w:rsidRDefault="00DC3AD7">
      <w:pPr>
        <w:pStyle w:val="FootnoteText"/>
        <w:spacing w:line="240" w:lineRule="auto"/>
      </w:pPr>
      <w:r>
        <w:rPr>
          <w:rStyle w:val="FootnoteReference"/>
        </w:rPr>
        <w:footnoteRef/>
      </w:r>
      <w:r>
        <w:t xml:space="preserve"> </w:t>
      </w:r>
      <w:r w:rsidRPr="00E57888">
        <w:rPr>
          <w:rStyle w:val="Hyperlink"/>
          <w:color w:val="auto"/>
          <w:u w:val="none"/>
        </w:rPr>
        <w:t xml:space="preserve">This aggregate </w:t>
      </w:r>
      <w:r>
        <w:rPr>
          <w:rStyle w:val="Hyperlink"/>
          <w:color w:val="auto"/>
          <w:u w:val="none"/>
        </w:rPr>
        <w:t>PFD</w:t>
      </w:r>
      <w:r w:rsidRPr="00E57888">
        <w:rPr>
          <w:rStyle w:val="Hyperlink"/>
          <w:color w:val="auto"/>
          <w:u w:val="none"/>
        </w:rPr>
        <w:t xml:space="preserve"> limit is based on</w:t>
      </w:r>
      <w:r>
        <w:rPr>
          <w:rStyle w:val="Hyperlink"/>
          <w:color w:val="auto"/>
          <w:u w:val="none"/>
        </w:rPr>
        <w:t xml:space="preserve"> providing a</w:t>
      </w:r>
      <w:r w:rsidRPr="00E57888">
        <w:rPr>
          <w:rStyle w:val="Hyperlink"/>
          <w:color w:val="auto"/>
          <w:u w:val="none"/>
        </w:rPr>
        <w:t xml:space="preserve"> co-frequency apparatus-licensed service providing coverage up to the (other side of the) pr</w:t>
      </w:r>
      <w:r>
        <w:rPr>
          <w:rStyle w:val="Hyperlink"/>
          <w:color w:val="auto"/>
          <w:u w:val="none"/>
        </w:rPr>
        <w:t>operty</w:t>
      </w:r>
      <w:r w:rsidRPr="00E57888">
        <w:rPr>
          <w:rStyle w:val="Hyperlink"/>
          <w:color w:val="auto"/>
          <w:u w:val="none"/>
        </w:rPr>
        <w:t xml:space="preserve"> boundary with an expectation of at least a 99% probability that the I/N from the class licen</w:t>
      </w:r>
      <w:r>
        <w:rPr>
          <w:rStyle w:val="Hyperlink"/>
          <w:color w:val="auto"/>
          <w:u w:val="none"/>
        </w:rPr>
        <w:t>s</w:t>
      </w:r>
      <w:r w:rsidRPr="00E57888">
        <w:rPr>
          <w:rStyle w:val="Hyperlink"/>
          <w:color w:val="auto"/>
          <w:u w:val="none"/>
        </w:rPr>
        <w:t xml:space="preserve">ed device(s) into their service will not exceed -6 </w:t>
      </w:r>
      <w:proofErr w:type="spellStart"/>
      <w:r w:rsidRPr="00E57888">
        <w:rPr>
          <w:rStyle w:val="Hyperlink"/>
          <w:color w:val="auto"/>
          <w:u w:val="none"/>
        </w:rPr>
        <w:t>d</w:t>
      </w:r>
      <w:r>
        <w:rPr>
          <w:rStyle w:val="Hyperlink"/>
          <w:color w:val="auto"/>
          <w:u w:val="none"/>
        </w:rPr>
        <w:t>B.</w:t>
      </w:r>
      <w:proofErr w:type="spellEnd"/>
      <w:r>
        <w:rPr>
          <w:rStyle w:val="Hyperlink"/>
          <w:color w:val="auto"/>
          <w:u w:val="none"/>
        </w:rPr>
        <w:t xml:space="preserve"> It was derived via a s</w:t>
      </w:r>
      <w:r w:rsidRPr="00E57888">
        <w:rPr>
          <w:rStyle w:val="Hyperlink"/>
          <w:color w:val="auto"/>
          <w:u w:val="none"/>
        </w:rPr>
        <w:t>tatistical simulation using parameters from ITU-R Working Group TG 5/1</w:t>
      </w:r>
      <w:r>
        <w:rPr>
          <w:rStyle w:val="Hyperlink"/>
          <w:color w:val="auto"/>
          <w:u w:val="none"/>
        </w:rPr>
        <w:t xml:space="preserve"> and no TDD-synchronisation between class and apparatus licensed services.</w:t>
      </w:r>
      <w:r w:rsidRPr="00BA5732">
        <w:rPr>
          <w:rStyle w:val="Hyperlink"/>
          <w:color w:val="auto"/>
          <w:u w:val="none"/>
        </w:rPr>
        <w:t xml:space="preserve"> </w:t>
      </w:r>
      <w:r w:rsidRPr="00E57888">
        <w:rPr>
          <w:rStyle w:val="Hyperlink"/>
          <w:color w:val="auto"/>
          <w:u w:val="none"/>
        </w:rPr>
        <w:t xml:space="preserve">Worst-case orientation of both class-licensed and adjacent area apparatus-licensed </w:t>
      </w:r>
      <w:r>
        <w:rPr>
          <w:rStyle w:val="Hyperlink"/>
          <w:color w:val="auto"/>
          <w:u w:val="none"/>
        </w:rPr>
        <w:t xml:space="preserve">base station </w:t>
      </w:r>
      <w:r w:rsidRPr="00E57888">
        <w:rPr>
          <w:rStyle w:val="Hyperlink"/>
          <w:color w:val="auto"/>
          <w:u w:val="none"/>
        </w:rPr>
        <w:t>antenna arrays relative to one another</w:t>
      </w:r>
      <w:r>
        <w:rPr>
          <w:rStyle w:val="Hyperlink"/>
          <w:color w:val="auto"/>
          <w:u w:val="none"/>
        </w:rPr>
        <w:t xml:space="preserve"> was assumed</w:t>
      </w:r>
      <w:r w:rsidRPr="00E57888">
        <w:rPr>
          <w:rStyle w:val="Hyperlink"/>
          <w:color w:val="auto"/>
          <w:u w:val="none"/>
        </w:rPr>
        <w:t>.</w:t>
      </w:r>
      <w:r>
        <w:t xml:space="preserve"> </w:t>
      </w:r>
    </w:p>
  </w:footnote>
  <w:footnote w:id="10">
    <w:p w14:paraId="4A86DEAE" w14:textId="77777777" w:rsidR="00DC3AD7" w:rsidRDefault="00DC3AD7" w:rsidP="00083AC3">
      <w:pPr>
        <w:pStyle w:val="FootnoteText"/>
        <w:spacing w:line="240" w:lineRule="auto"/>
      </w:pPr>
      <w:r>
        <w:rPr>
          <w:rStyle w:val="FootnoteReference"/>
        </w:rPr>
        <w:footnoteRef/>
      </w:r>
      <w:r>
        <w:t xml:space="preserve"> These decisions are outlines in the </w:t>
      </w:r>
      <w:hyperlink r:id="rId5" w:history="1">
        <w:r w:rsidRPr="00CA20DA">
          <w:rPr>
            <w:rStyle w:val="Hyperlink"/>
          </w:rPr>
          <w:t>Final Acts WRC-19</w:t>
        </w:r>
      </w:hyperlink>
      <w:r>
        <w:t>.</w:t>
      </w:r>
    </w:p>
  </w:footnote>
  <w:footnote w:id="11">
    <w:p w14:paraId="7AC6B4DF" w14:textId="4D6EAD1D" w:rsidR="00DC3AD7" w:rsidRDefault="00DC3AD7">
      <w:pPr>
        <w:pStyle w:val="FootnoteText"/>
      </w:pPr>
      <w:r w:rsidRPr="006D7AF0">
        <w:rPr>
          <w:rStyle w:val="FootnoteReference"/>
        </w:rPr>
        <w:footnoteRef/>
      </w:r>
      <w:r w:rsidRPr="006D7AF0">
        <w:t xml:space="preserve"> More information is available on the </w:t>
      </w:r>
      <w:hyperlink r:id="rId6" w:history="1">
        <w:r w:rsidRPr="006D7AF0">
          <w:rPr>
            <w:rStyle w:val="Hyperlink"/>
          </w:rPr>
          <w:t>IoT Alliance Australia website</w:t>
        </w:r>
      </w:hyperlink>
      <w:r w:rsidRPr="006D7AF0">
        <w:t>.</w:t>
      </w:r>
      <w:r>
        <w:t xml:space="preserve"> </w:t>
      </w:r>
    </w:p>
  </w:footnote>
  <w:footnote w:id="12">
    <w:p w14:paraId="11988184" w14:textId="77777777" w:rsidR="00DC3AD7" w:rsidRPr="006D7AF0" w:rsidRDefault="00DC3AD7" w:rsidP="00C952F1">
      <w:pPr>
        <w:pStyle w:val="FootnoteText"/>
      </w:pPr>
      <w:r w:rsidRPr="006D7AF0">
        <w:rPr>
          <w:rStyle w:val="FootnoteReference"/>
        </w:rPr>
        <w:footnoteRef/>
      </w:r>
      <w:r w:rsidRPr="006D7AF0">
        <w:t xml:space="preserve"> ERC Recommendation 70-03 is available at </w:t>
      </w:r>
      <w:hyperlink r:id="rId7" w:history="1">
        <w:r w:rsidRPr="006D7AF0">
          <w:rPr>
            <w:color w:val="0000FF"/>
            <w:u w:val="single"/>
          </w:rPr>
          <w:t>https://www.cept.org/ecc/topics/srd-regulations-and-indicative-list-of-equipment-sub-classes</w:t>
        </w:r>
      </w:hyperlink>
      <w:r w:rsidRPr="006D7AF0">
        <w:t>.</w:t>
      </w:r>
      <w:r w:rsidRPr="006D7AF0">
        <w:rPr>
          <w:sz w:val="20"/>
          <w:szCs w:val="24"/>
        </w:rPr>
        <w:t xml:space="preserve"> </w:t>
      </w:r>
    </w:p>
  </w:footnote>
  <w:footnote w:id="13">
    <w:p w14:paraId="42A2280D" w14:textId="787EDA5F" w:rsidR="00DC3AD7" w:rsidRDefault="00DC3AD7">
      <w:pPr>
        <w:pStyle w:val="FootnoteText"/>
      </w:pPr>
      <w:r w:rsidRPr="006D7AF0">
        <w:rPr>
          <w:rStyle w:val="FootnoteReference"/>
        </w:rPr>
        <w:footnoteRef/>
      </w:r>
      <w:r w:rsidRPr="006D7AF0">
        <w:t xml:space="preserve"> </w:t>
      </w:r>
      <w:r w:rsidRPr="009B005E">
        <w:t xml:space="preserve">The current version of the Spectrum Plan is available </w:t>
      </w:r>
      <w:r w:rsidR="00083AC3">
        <w:rPr>
          <w:rFonts w:cs="Arial"/>
        </w:rPr>
        <w:t xml:space="preserve">on the </w:t>
      </w:r>
      <w:hyperlink r:id="rId8" w:history="1">
        <w:r w:rsidR="00083AC3" w:rsidRPr="003F78E4">
          <w:rPr>
            <w:rStyle w:val="Hyperlink"/>
            <w:rFonts w:cs="Arial"/>
          </w:rPr>
          <w:t>Federal Register of Legislation website</w:t>
        </w:r>
      </w:hyperlink>
      <w:r w:rsidR="00083AC3">
        <w:rPr>
          <w:rFonts w:cs="Arial"/>
        </w:rPr>
        <w:t>.</w:t>
      </w:r>
      <w:r>
        <w:t xml:space="preserve"> </w:t>
      </w:r>
      <w:r w:rsidRPr="006D7AF0">
        <w:rPr>
          <w:szCs w:val="20"/>
        </w:rPr>
        <w:t>The Spectrum Plan is</w:t>
      </w:r>
      <w:r w:rsidR="001C07AA">
        <w:rPr>
          <w:szCs w:val="20"/>
        </w:rPr>
        <w:t> </w:t>
      </w:r>
      <w:r w:rsidRPr="006D7AF0">
        <w:rPr>
          <w:szCs w:val="20"/>
        </w:rPr>
        <w:t xml:space="preserve">proposed to be remade in the consultation process </w:t>
      </w:r>
      <w:hyperlink r:id="rId9" w:history="1">
        <w:r w:rsidRPr="006D7AF0">
          <w:rPr>
            <w:rStyle w:val="Hyperlink"/>
            <w:szCs w:val="20"/>
          </w:rPr>
          <w:t>IFC 27/2020</w:t>
        </w:r>
      </w:hyperlink>
      <w:r w:rsidRPr="006D7AF0">
        <w:rPr>
          <w:szCs w:val="20"/>
        </w:rPr>
        <w:t>. If remade, the arrangements in the 10.45</w:t>
      </w:r>
      <w:r w:rsidR="001C07AA">
        <w:rPr>
          <w:szCs w:val="20"/>
        </w:rPr>
        <w:t>-</w:t>
      </w:r>
      <w:r w:rsidRPr="006D7AF0">
        <w:rPr>
          <w:szCs w:val="20"/>
        </w:rPr>
        <w:t>10.6 GHz will be unchanged.</w:t>
      </w:r>
      <w:r>
        <w:rPr>
          <w:szCs w:val="20"/>
        </w:rPr>
        <w:t xml:space="preserve">  </w:t>
      </w:r>
    </w:p>
  </w:footnote>
  <w:footnote w:id="14">
    <w:p w14:paraId="6C8795ED" w14:textId="358C6A85" w:rsidR="00DC3AD7" w:rsidRDefault="00DC3AD7" w:rsidP="00CB6A31">
      <w:pPr>
        <w:pStyle w:val="FootnoteText"/>
      </w:pPr>
      <w:r>
        <w:rPr>
          <w:rStyle w:val="FootnoteReference"/>
        </w:rPr>
        <w:footnoteRef/>
      </w:r>
      <w:r>
        <w:t xml:space="preserve"> A copy of the </w:t>
      </w:r>
      <w:r w:rsidR="006D7ABC">
        <w:t>c</w:t>
      </w:r>
      <w:r>
        <w:t xml:space="preserve">ode is available from the </w:t>
      </w:r>
      <w:hyperlink r:id="rId10" w:anchor="se47.1.15_1245" w:history="1">
        <w:r w:rsidRPr="00FE4E01">
          <w:rPr>
            <w:rStyle w:val="Hyperlink"/>
          </w:rPr>
          <w:t>Electronic Code of Federal Regulations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C5BD" w14:textId="77777777" w:rsidR="00DC3AD7" w:rsidRPr="00A5474E" w:rsidRDefault="00DC3AD7" w:rsidP="00A5474E">
    <w:pPr>
      <w:pStyle w:val="Header"/>
    </w:pPr>
    <w:r>
      <w:rPr>
        <w:noProof/>
      </w:rPr>
      <w:drawing>
        <wp:inline distT="0" distB="0" distL="0" distR="0" wp14:anchorId="47BA56FD" wp14:editId="52A803CE">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9A12" w14:textId="77777777" w:rsidR="00DC3AD7" w:rsidRPr="00A5474E" w:rsidRDefault="00DC3AD7"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270F" w14:textId="77777777" w:rsidR="00DC3AD7" w:rsidRDefault="00DC3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8EF8D" w14:textId="77777777" w:rsidR="00DC3AD7" w:rsidRDefault="00DC3A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DC3AD7" w14:paraId="39DE889C" w14:textId="77777777" w:rsidTr="00BD5650">
      <w:trPr>
        <w:trHeight w:hRule="exact" w:val="988"/>
      </w:trPr>
      <w:tc>
        <w:tcPr>
          <w:tcW w:w="7678" w:type="dxa"/>
          <w:shd w:val="clear" w:color="auto" w:fill="auto"/>
        </w:tcPr>
        <w:p w14:paraId="26FFAEB8" w14:textId="77777777" w:rsidR="00DC3AD7" w:rsidRDefault="00DC3AD7" w:rsidP="00971914">
          <w:pPr>
            <w:pStyle w:val="Header"/>
          </w:pPr>
        </w:p>
      </w:tc>
    </w:tr>
    <w:tr w:rsidR="00DC3AD7" w14:paraId="07968954" w14:textId="77777777" w:rsidTr="00BD5650">
      <w:tc>
        <w:tcPr>
          <w:tcW w:w="7678" w:type="dxa"/>
          <w:shd w:val="clear" w:color="auto" w:fill="auto"/>
        </w:tcPr>
        <w:p w14:paraId="292B9241" w14:textId="77777777" w:rsidR="00DC3AD7" w:rsidRDefault="00DC3AD7" w:rsidP="00971914">
          <w:pPr>
            <w:pStyle w:val="GridTable31"/>
          </w:pPr>
          <w:r>
            <w:t xml:space="preserve">Contents </w:t>
          </w:r>
          <w:r w:rsidRPr="00915B1C">
            <w:rPr>
              <w:b w:val="0"/>
              <w:spacing w:val="0"/>
              <w:sz w:val="28"/>
              <w:szCs w:val="28"/>
            </w:rPr>
            <w:t>(Continued)</w:t>
          </w:r>
        </w:p>
      </w:tc>
    </w:tr>
    <w:tr w:rsidR="00DC3AD7" w14:paraId="0546C42A" w14:textId="77777777" w:rsidTr="00BD5650">
      <w:trPr>
        <w:trHeight w:val="1220"/>
      </w:trPr>
      <w:tc>
        <w:tcPr>
          <w:tcW w:w="7678" w:type="dxa"/>
          <w:shd w:val="clear" w:color="auto" w:fill="auto"/>
        </w:tcPr>
        <w:p w14:paraId="351F1A75" w14:textId="77777777" w:rsidR="00DC3AD7" w:rsidRDefault="00DC3AD7" w:rsidP="00971914"/>
      </w:tc>
    </w:tr>
  </w:tbl>
  <w:p w14:paraId="06E02194" w14:textId="77777777" w:rsidR="00DC3AD7" w:rsidRDefault="00DC3AD7"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DC3AD7" w14:paraId="4DE15AD7" w14:textId="77777777" w:rsidTr="00BD5650">
      <w:trPr>
        <w:trHeight w:hRule="exact" w:val="988"/>
      </w:trPr>
      <w:tc>
        <w:tcPr>
          <w:tcW w:w="7678" w:type="dxa"/>
          <w:shd w:val="clear" w:color="auto" w:fill="auto"/>
        </w:tcPr>
        <w:p w14:paraId="22987586" w14:textId="77777777" w:rsidR="00DC3AD7" w:rsidRDefault="00DC3AD7" w:rsidP="00971914">
          <w:pPr>
            <w:pStyle w:val="Header"/>
          </w:pPr>
        </w:p>
      </w:tc>
    </w:tr>
    <w:tr w:rsidR="00DC3AD7" w14:paraId="547B237A" w14:textId="77777777" w:rsidTr="00BD5650">
      <w:tc>
        <w:tcPr>
          <w:tcW w:w="7678" w:type="dxa"/>
          <w:shd w:val="clear" w:color="auto" w:fill="auto"/>
        </w:tcPr>
        <w:p w14:paraId="5966B6AE" w14:textId="77777777" w:rsidR="00DC3AD7" w:rsidRDefault="00DC3AD7" w:rsidP="00971914">
          <w:pPr>
            <w:pStyle w:val="GridTable31"/>
          </w:pPr>
          <w:r>
            <w:t xml:space="preserve">Contents </w:t>
          </w:r>
          <w:r w:rsidRPr="00915B1C">
            <w:rPr>
              <w:b w:val="0"/>
              <w:spacing w:val="0"/>
              <w:sz w:val="28"/>
              <w:szCs w:val="28"/>
            </w:rPr>
            <w:t>(Continued)</w:t>
          </w:r>
        </w:p>
      </w:tc>
    </w:tr>
    <w:tr w:rsidR="00DC3AD7" w14:paraId="6EF6AB6F" w14:textId="77777777" w:rsidTr="00BD5650">
      <w:trPr>
        <w:trHeight w:val="1220"/>
      </w:trPr>
      <w:tc>
        <w:tcPr>
          <w:tcW w:w="7678" w:type="dxa"/>
          <w:shd w:val="clear" w:color="auto" w:fill="auto"/>
        </w:tcPr>
        <w:p w14:paraId="130CD93D" w14:textId="77777777" w:rsidR="00DC3AD7" w:rsidRDefault="00DC3AD7" w:rsidP="00971914"/>
      </w:tc>
    </w:tr>
  </w:tbl>
  <w:p w14:paraId="081BBCF6" w14:textId="77777777" w:rsidR="00DC3AD7" w:rsidRPr="00A5474E" w:rsidRDefault="00DC3AD7"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B1F72" w14:textId="77777777" w:rsidR="00DC3AD7" w:rsidRDefault="00DC3A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888C" w14:textId="77777777" w:rsidR="00DC3AD7" w:rsidRDefault="00DC3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41A0249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C5BD7"/>
    <w:multiLevelType w:val="hybridMultilevel"/>
    <w:tmpl w:val="04B298EC"/>
    <w:lvl w:ilvl="0" w:tplc="D1C86270">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5768EA"/>
    <w:multiLevelType w:val="hybridMultilevel"/>
    <w:tmpl w:val="5A4EE660"/>
    <w:lvl w:ilvl="0" w:tplc="33BE7B9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7020905"/>
    <w:multiLevelType w:val="hybridMultilevel"/>
    <w:tmpl w:val="BF768CEC"/>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70402"/>
    <w:multiLevelType w:val="hybridMultilevel"/>
    <w:tmpl w:val="FA0053FE"/>
    <w:lvl w:ilvl="0" w:tplc="ADEEFA2E">
      <w:start w:val="1"/>
      <w:numFmt w:val="decimal"/>
      <w:lvlText w:val="%1."/>
      <w:lvlJc w:val="left"/>
      <w:pPr>
        <w:ind w:left="720" w:hanging="360"/>
      </w:pPr>
      <w:rPr>
        <w:rFonts w:ascii="Arial" w:hAnsi="Arial" w:cs="Arial"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D7351"/>
    <w:multiLevelType w:val="hybridMultilevel"/>
    <w:tmpl w:val="8856E7E6"/>
    <w:lvl w:ilvl="0" w:tplc="3146C8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14"/>
  </w:num>
  <w:num w:numId="7">
    <w:abstractNumId w:val="11"/>
  </w:num>
  <w:num w:numId="8">
    <w:abstractNumId w:val="13"/>
  </w:num>
  <w:num w:numId="9">
    <w:abstractNumId w:val="15"/>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9"/>
  </w:num>
  <w:num w:numId="17">
    <w:abstractNumId w:val="12"/>
  </w:num>
  <w:num w:numId="18">
    <w:abstractNumId w:val="1"/>
  </w:num>
  <w:num w:numId="19">
    <w:abstractNumId w:val="6"/>
  </w:num>
  <w:num w:numId="20">
    <w:abstractNumId w:val="3"/>
  </w:num>
  <w:num w:numId="21">
    <w:abstractNumId w:val="3"/>
  </w:num>
  <w:num w:numId="22">
    <w:abstractNumId w:val="16"/>
  </w:num>
  <w:num w:numId="23">
    <w:abstractNumId w:val="7"/>
  </w:num>
  <w:num w:numId="24">
    <w:abstractNumId w:val="3"/>
  </w:num>
  <w:num w:numId="25">
    <w:abstractNumId w:val="1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5734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15"/>
    <w:rsid w:val="000013C7"/>
    <w:rsid w:val="00010667"/>
    <w:rsid w:val="000129D5"/>
    <w:rsid w:val="00015AE7"/>
    <w:rsid w:val="00016E21"/>
    <w:rsid w:val="0001719C"/>
    <w:rsid w:val="0002081B"/>
    <w:rsid w:val="0002224E"/>
    <w:rsid w:val="000245E5"/>
    <w:rsid w:val="00026F91"/>
    <w:rsid w:val="00032621"/>
    <w:rsid w:val="0004764C"/>
    <w:rsid w:val="0005011A"/>
    <w:rsid w:val="0005045A"/>
    <w:rsid w:val="00051C1E"/>
    <w:rsid w:val="000539F9"/>
    <w:rsid w:val="00054433"/>
    <w:rsid w:val="00054C27"/>
    <w:rsid w:val="00055EC3"/>
    <w:rsid w:val="000563CE"/>
    <w:rsid w:val="000645A8"/>
    <w:rsid w:val="000659B6"/>
    <w:rsid w:val="0006686F"/>
    <w:rsid w:val="0006722A"/>
    <w:rsid w:val="000732CF"/>
    <w:rsid w:val="00075B96"/>
    <w:rsid w:val="0008196A"/>
    <w:rsid w:val="00083AC3"/>
    <w:rsid w:val="00084956"/>
    <w:rsid w:val="000915ED"/>
    <w:rsid w:val="0009209D"/>
    <w:rsid w:val="000923BB"/>
    <w:rsid w:val="0009463C"/>
    <w:rsid w:val="000969BD"/>
    <w:rsid w:val="000969BF"/>
    <w:rsid w:val="000A0C22"/>
    <w:rsid w:val="000A1400"/>
    <w:rsid w:val="000A3C43"/>
    <w:rsid w:val="000A4A51"/>
    <w:rsid w:val="000A4FD3"/>
    <w:rsid w:val="000A5D2B"/>
    <w:rsid w:val="000B14B3"/>
    <w:rsid w:val="000B4664"/>
    <w:rsid w:val="000B5DE3"/>
    <w:rsid w:val="000C0A57"/>
    <w:rsid w:val="000C230C"/>
    <w:rsid w:val="000C49A0"/>
    <w:rsid w:val="000C6AB4"/>
    <w:rsid w:val="000D61DD"/>
    <w:rsid w:val="000D71D9"/>
    <w:rsid w:val="000D76E0"/>
    <w:rsid w:val="000D7E8B"/>
    <w:rsid w:val="000E4449"/>
    <w:rsid w:val="000E6097"/>
    <w:rsid w:val="000F66F0"/>
    <w:rsid w:val="000F726F"/>
    <w:rsid w:val="00103829"/>
    <w:rsid w:val="00111FCE"/>
    <w:rsid w:val="00113515"/>
    <w:rsid w:val="001166AE"/>
    <w:rsid w:val="001229A5"/>
    <w:rsid w:val="0012489B"/>
    <w:rsid w:val="00130017"/>
    <w:rsid w:val="00130F91"/>
    <w:rsid w:val="001349ED"/>
    <w:rsid w:val="00137424"/>
    <w:rsid w:val="00140318"/>
    <w:rsid w:val="00141AD9"/>
    <w:rsid w:val="00144C50"/>
    <w:rsid w:val="00146CE6"/>
    <w:rsid w:val="00152903"/>
    <w:rsid w:val="00153FD5"/>
    <w:rsid w:val="0015614F"/>
    <w:rsid w:val="00156BEE"/>
    <w:rsid w:val="001577C2"/>
    <w:rsid w:val="001633C4"/>
    <w:rsid w:val="00166D1A"/>
    <w:rsid w:val="001704D5"/>
    <w:rsid w:val="00171591"/>
    <w:rsid w:val="00173981"/>
    <w:rsid w:val="00173AB9"/>
    <w:rsid w:val="0017719D"/>
    <w:rsid w:val="00183FD7"/>
    <w:rsid w:val="00185CAB"/>
    <w:rsid w:val="001875B7"/>
    <w:rsid w:val="00187CB3"/>
    <w:rsid w:val="0019050A"/>
    <w:rsid w:val="001910D4"/>
    <w:rsid w:val="001976E3"/>
    <w:rsid w:val="001A44EC"/>
    <w:rsid w:val="001A6F75"/>
    <w:rsid w:val="001B58AA"/>
    <w:rsid w:val="001B7E48"/>
    <w:rsid w:val="001C07AA"/>
    <w:rsid w:val="001C1757"/>
    <w:rsid w:val="001C17CE"/>
    <w:rsid w:val="001C36CA"/>
    <w:rsid w:val="001C44D1"/>
    <w:rsid w:val="001C6AEE"/>
    <w:rsid w:val="001C7630"/>
    <w:rsid w:val="001D0D21"/>
    <w:rsid w:val="001D24D5"/>
    <w:rsid w:val="001D6D15"/>
    <w:rsid w:val="001E1172"/>
    <w:rsid w:val="001E1706"/>
    <w:rsid w:val="001F50F7"/>
    <w:rsid w:val="001F7558"/>
    <w:rsid w:val="00201EE2"/>
    <w:rsid w:val="00205B57"/>
    <w:rsid w:val="0021426C"/>
    <w:rsid w:val="002157E0"/>
    <w:rsid w:val="00216A57"/>
    <w:rsid w:val="00217448"/>
    <w:rsid w:val="0022334F"/>
    <w:rsid w:val="00226819"/>
    <w:rsid w:val="00233101"/>
    <w:rsid w:val="00233817"/>
    <w:rsid w:val="002367FF"/>
    <w:rsid w:val="00240CE9"/>
    <w:rsid w:val="002434BA"/>
    <w:rsid w:val="00246089"/>
    <w:rsid w:val="00246093"/>
    <w:rsid w:val="00246702"/>
    <w:rsid w:val="002468BE"/>
    <w:rsid w:val="00247C59"/>
    <w:rsid w:val="00247F2E"/>
    <w:rsid w:val="00250ADC"/>
    <w:rsid w:val="00250B07"/>
    <w:rsid w:val="00257553"/>
    <w:rsid w:val="00260FB2"/>
    <w:rsid w:val="002616C0"/>
    <w:rsid w:val="00262128"/>
    <w:rsid w:val="00262434"/>
    <w:rsid w:val="0027165D"/>
    <w:rsid w:val="00271E1E"/>
    <w:rsid w:val="00273CEB"/>
    <w:rsid w:val="00274E71"/>
    <w:rsid w:val="00281C89"/>
    <w:rsid w:val="0028282F"/>
    <w:rsid w:val="0029593B"/>
    <w:rsid w:val="00297FC5"/>
    <w:rsid w:val="002A0417"/>
    <w:rsid w:val="002A16D8"/>
    <w:rsid w:val="002A1BC8"/>
    <w:rsid w:val="002A3E5A"/>
    <w:rsid w:val="002A3EF2"/>
    <w:rsid w:val="002B0DED"/>
    <w:rsid w:val="002B19A2"/>
    <w:rsid w:val="002B33C5"/>
    <w:rsid w:val="002B381A"/>
    <w:rsid w:val="002B4FCC"/>
    <w:rsid w:val="002B7408"/>
    <w:rsid w:val="002B7889"/>
    <w:rsid w:val="002B7CFD"/>
    <w:rsid w:val="002C0530"/>
    <w:rsid w:val="002C210F"/>
    <w:rsid w:val="002C5DE8"/>
    <w:rsid w:val="002D3600"/>
    <w:rsid w:val="002D765B"/>
    <w:rsid w:val="002E40B1"/>
    <w:rsid w:val="002E4DDC"/>
    <w:rsid w:val="002F1A2B"/>
    <w:rsid w:val="00302480"/>
    <w:rsid w:val="00302758"/>
    <w:rsid w:val="00307993"/>
    <w:rsid w:val="003165E6"/>
    <w:rsid w:val="003215B5"/>
    <w:rsid w:val="003221CF"/>
    <w:rsid w:val="003233ED"/>
    <w:rsid w:val="00324D9F"/>
    <w:rsid w:val="003268B0"/>
    <w:rsid w:val="00327948"/>
    <w:rsid w:val="0033000F"/>
    <w:rsid w:val="00332011"/>
    <w:rsid w:val="003322F7"/>
    <w:rsid w:val="00332518"/>
    <w:rsid w:val="00332847"/>
    <w:rsid w:val="00332925"/>
    <w:rsid w:val="00332E3F"/>
    <w:rsid w:val="003332ED"/>
    <w:rsid w:val="003368DC"/>
    <w:rsid w:val="00345927"/>
    <w:rsid w:val="00350584"/>
    <w:rsid w:val="00351857"/>
    <w:rsid w:val="003545E8"/>
    <w:rsid w:val="003610E1"/>
    <w:rsid w:val="00364391"/>
    <w:rsid w:val="003671BE"/>
    <w:rsid w:val="00372485"/>
    <w:rsid w:val="00373200"/>
    <w:rsid w:val="00375EF5"/>
    <w:rsid w:val="003767A5"/>
    <w:rsid w:val="00381D15"/>
    <w:rsid w:val="00385254"/>
    <w:rsid w:val="003933E8"/>
    <w:rsid w:val="00394031"/>
    <w:rsid w:val="00396DC2"/>
    <w:rsid w:val="003A04DB"/>
    <w:rsid w:val="003A5F5B"/>
    <w:rsid w:val="003A789A"/>
    <w:rsid w:val="003A7FF8"/>
    <w:rsid w:val="003B12EC"/>
    <w:rsid w:val="003C03B8"/>
    <w:rsid w:val="003C77E0"/>
    <w:rsid w:val="003D17D7"/>
    <w:rsid w:val="003D2678"/>
    <w:rsid w:val="003D71A3"/>
    <w:rsid w:val="003E2B8A"/>
    <w:rsid w:val="003F10EE"/>
    <w:rsid w:val="003F16F6"/>
    <w:rsid w:val="003F4DC7"/>
    <w:rsid w:val="003F5235"/>
    <w:rsid w:val="003F78E4"/>
    <w:rsid w:val="004018C7"/>
    <w:rsid w:val="004027E4"/>
    <w:rsid w:val="0041071D"/>
    <w:rsid w:val="00414AFC"/>
    <w:rsid w:val="004151A7"/>
    <w:rsid w:val="00415310"/>
    <w:rsid w:val="00421709"/>
    <w:rsid w:val="00423763"/>
    <w:rsid w:val="004251C7"/>
    <w:rsid w:val="0042762F"/>
    <w:rsid w:val="00427DC7"/>
    <w:rsid w:val="00431613"/>
    <w:rsid w:val="00431792"/>
    <w:rsid w:val="0043297A"/>
    <w:rsid w:val="00432EB2"/>
    <w:rsid w:val="0043714F"/>
    <w:rsid w:val="004438B5"/>
    <w:rsid w:val="00447037"/>
    <w:rsid w:val="0044754D"/>
    <w:rsid w:val="0045124D"/>
    <w:rsid w:val="00454596"/>
    <w:rsid w:val="0045605D"/>
    <w:rsid w:val="0046135B"/>
    <w:rsid w:val="00461D47"/>
    <w:rsid w:val="004718CC"/>
    <w:rsid w:val="00481695"/>
    <w:rsid w:val="00481E5B"/>
    <w:rsid w:val="004914DC"/>
    <w:rsid w:val="00495A96"/>
    <w:rsid w:val="00495BB3"/>
    <w:rsid w:val="004A5546"/>
    <w:rsid w:val="004A56BB"/>
    <w:rsid w:val="004A70D6"/>
    <w:rsid w:val="004B1751"/>
    <w:rsid w:val="004B5A94"/>
    <w:rsid w:val="004C0253"/>
    <w:rsid w:val="004C701B"/>
    <w:rsid w:val="004D56FF"/>
    <w:rsid w:val="004E39D3"/>
    <w:rsid w:val="004E508A"/>
    <w:rsid w:val="004E58E7"/>
    <w:rsid w:val="004E616D"/>
    <w:rsid w:val="004F1BDE"/>
    <w:rsid w:val="004F2CEE"/>
    <w:rsid w:val="004F556E"/>
    <w:rsid w:val="004F591C"/>
    <w:rsid w:val="004F59A0"/>
    <w:rsid w:val="004F7F44"/>
    <w:rsid w:val="005037B4"/>
    <w:rsid w:val="005079BF"/>
    <w:rsid w:val="0051269A"/>
    <w:rsid w:val="00513038"/>
    <w:rsid w:val="005219E7"/>
    <w:rsid w:val="00531B9A"/>
    <w:rsid w:val="00531D15"/>
    <w:rsid w:val="00532622"/>
    <w:rsid w:val="00537604"/>
    <w:rsid w:val="00542377"/>
    <w:rsid w:val="005476EB"/>
    <w:rsid w:val="00551782"/>
    <w:rsid w:val="005557DE"/>
    <w:rsid w:val="00563EF1"/>
    <w:rsid w:val="00566AB4"/>
    <w:rsid w:val="00571E6E"/>
    <w:rsid w:val="00573812"/>
    <w:rsid w:val="00575AC5"/>
    <w:rsid w:val="0057605D"/>
    <w:rsid w:val="00581347"/>
    <w:rsid w:val="00581AC9"/>
    <w:rsid w:val="005849F8"/>
    <w:rsid w:val="00587398"/>
    <w:rsid w:val="00592D21"/>
    <w:rsid w:val="005938DF"/>
    <w:rsid w:val="00594E9C"/>
    <w:rsid w:val="005A099B"/>
    <w:rsid w:val="005A2D9C"/>
    <w:rsid w:val="005A3446"/>
    <w:rsid w:val="005A55FE"/>
    <w:rsid w:val="005A6A11"/>
    <w:rsid w:val="005B2F0D"/>
    <w:rsid w:val="005B361A"/>
    <w:rsid w:val="005C34EF"/>
    <w:rsid w:val="005C73DD"/>
    <w:rsid w:val="005D0AF6"/>
    <w:rsid w:val="005D2502"/>
    <w:rsid w:val="005D40BB"/>
    <w:rsid w:val="005D47F3"/>
    <w:rsid w:val="005D49BF"/>
    <w:rsid w:val="005D4AA5"/>
    <w:rsid w:val="005D4FF8"/>
    <w:rsid w:val="005D6F4E"/>
    <w:rsid w:val="005D7C73"/>
    <w:rsid w:val="005E250B"/>
    <w:rsid w:val="005E3ACD"/>
    <w:rsid w:val="005E5321"/>
    <w:rsid w:val="005E7226"/>
    <w:rsid w:val="005E7A57"/>
    <w:rsid w:val="005F24B0"/>
    <w:rsid w:val="00600654"/>
    <w:rsid w:val="00604315"/>
    <w:rsid w:val="00604E26"/>
    <w:rsid w:val="0060523F"/>
    <w:rsid w:val="006052CF"/>
    <w:rsid w:val="00605E39"/>
    <w:rsid w:val="00607B8D"/>
    <w:rsid w:val="00611F5C"/>
    <w:rsid w:val="006128E5"/>
    <w:rsid w:val="00616E09"/>
    <w:rsid w:val="00622A3B"/>
    <w:rsid w:val="00622EEA"/>
    <w:rsid w:val="0062396C"/>
    <w:rsid w:val="00623FF9"/>
    <w:rsid w:val="00627D4E"/>
    <w:rsid w:val="00632B89"/>
    <w:rsid w:val="0063346D"/>
    <w:rsid w:val="00634478"/>
    <w:rsid w:val="00644373"/>
    <w:rsid w:val="00645915"/>
    <w:rsid w:val="00646CC4"/>
    <w:rsid w:val="006511C9"/>
    <w:rsid w:val="006519C3"/>
    <w:rsid w:val="00652B30"/>
    <w:rsid w:val="00656345"/>
    <w:rsid w:val="00656DC6"/>
    <w:rsid w:val="00660EC6"/>
    <w:rsid w:val="00664110"/>
    <w:rsid w:val="00664D17"/>
    <w:rsid w:val="00666520"/>
    <w:rsid w:val="00667C5B"/>
    <w:rsid w:val="00677E10"/>
    <w:rsid w:val="00691EB8"/>
    <w:rsid w:val="00692CDE"/>
    <w:rsid w:val="00693073"/>
    <w:rsid w:val="006977FF"/>
    <w:rsid w:val="006A01FA"/>
    <w:rsid w:val="006A0E9E"/>
    <w:rsid w:val="006A2585"/>
    <w:rsid w:val="006A25C7"/>
    <w:rsid w:val="006A4AAD"/>
    <w:rsid w:val="006A4CCA"/>
    <w:rsid w:val="006A6DA2"/>
    <w:rsid w:val="006A7AB2"/>
    <w:rsid w:val="006B52DE"/>
    <w:rsid w:val="006B5717"/>
    <w:rsid w:val="006B582F"/>
    <w:rsid w:val="006B5EB2"/>
    <w:rsid w:val="006C0CEB"/>
    <w:rsid w:val="006C1631"/>
    <w:rsid w:val="006C29C1"/>
    <w:rsid w:val="006C3B1E"/>
    <w:rsid w:val="006C47FD"/>
    <w:rsid w:val="006C5C19"/>
    <w:rsid w:val="006C6840"/>
    <w:rsid w:val="006C70A0"/>
    <w:rsid w:val="006D27CB"/>
    <w:rsid w:val="006D2F08"/>
    <w:rsid w:val="006D576C"/>
    <w:rsid w:val="006D5865"/>
    <w:rsid w:val="006D7ABC"/>
    <w:rsid w:val="006D7AF0"/>
    <w:rsid w:val="006E4B1B"/>
    <w:rsid w:val="006E5445"/>
    <w:rsid w:val="006E7D93"/>
    <w:rsid w:val="0070133D"/>
    <w:rsid w:val="007029A3"/>
    <w:rsid w:val="00706E4E"/>
    <w:rsid w:val="00706FE9"/>
    <w:rsid w:val="0070791C"/>
    <w:rsid w:val="0071383C"/>
    <w:rsid w:val="007141A7"/>
    <w:rsid w:val="00715722"/>
    <w:rsid w:val="00715BAF"/>
    <w:rsid w:val="00721032"/>
    <w:rsid w:val="00721B55"/>
    <w:rsid w:val="00726CE4"/>
    <w:rsid w:val="007325A6"/>
    <w:rsid w:val="00733D69"/>
    <w:rsid w:val="00734143"/>
    <w:rsid w:val="00737E47"/>
    <w:rsid w:val="007404AD"/>
    <w:rsid w:val="00740EAC"/>
    <w:rsid w:val="00741CD8"/>
    <w:rsid w:val="007425FB"/>
    <w:rsid w:val="0074285E"/>
    <w:rsid w:val="00744956"/>
    <w:rsid w:val="00745A5C"/>
    <w:rsid w:val="0074605F"/>
    <w:rsid w:val="00747E94"/>
    <w:rsid w:val="007518D6"/>
    <w:rsid w:val="007521F1"/>
    <w:rsid w:val="00752EF7"/>
    <w:rsid w:val="00754C83"/>
    <w:rsid w:val="007601EB"/>
    <w:rsid w:val="0076138C"/>
    <w:rsid w:val="00761E5C"/>
    <w:rsid w:val="00765DF8"/>
    <w:rsid w:val="00766749"/>
    <w:rsid w:val="00766813"/>
    <w:rsid w:val="00767C1B"/>
    <w:rsid w:val="00770B3F"/>
    <w:rsid w:val="007714A9"/>
    <w:rsid w:val="007715E7"/>
    <w:rsid w:val="00774F88"/>
    <w:rsid w:val="00774FDB"/>
    <w:rsid w:val="00775591"/>
    <w:rsid w:val="00777BA2"/>
    <w:rsid w:val="00781408"/>
    <w:rsid w:val="00784F7F"/>
    <w:rsid w:val="00785767"/>
    <w:rsid w:val="007878BD"/>
    <w:rsid w:val="00795EB9"/>
    <w:rsid w:val="00796F25"/>
    <w:rsid w:val="007A2E98"/>
    <w:rsid w:val="007A3BA3"/>
    <w:rsid w:val="007A6CC0"/>
    <w:rsid w:val="007A7FEC"/>
    <w:rsid w:val="007B1499"/>
    <w:rsid w:val="007B1BBF"/>
    <w:rsid w:val="007B2960"/>
    <w:rsid w:val="007B355D"/>
    <w:rsid w:val="007B7980"/>
    <w:rsid w:val="007C0DEF"/>
    <w:rsid w:val="007C0E96"/>
    <w:rsid w:val="007C5D5A"/>
    <w:rsid w:val="007C607F"/>
    <w:rsid w:val="007C610E"/>
    <w:rsid w:val="007C79DD"/>
    <w:rsid w:val="007D1A97"/>
    <w:rsid w:val="007D2CD6"/>
    <w:rsid w:val="007D3063"/>
    <w:rsid w:val="007D3CEB"/>
    <w:rsid w:val="007E66A1"/>
    <w:rsid w:val="007E7683"/>
    <w:rsid w:val="007F49FA"/>
    <w:rsid w:val="007F54C4"/>
    <w:rsid w:val="007F6E9A"/>
    <w:rsid w:val="00800CCD"/>
    <w:rsid w:val="00802A4A"/>
    <w:rsid w:val="008044D4"/>
    <w:rsid w:val="00810AB4"/>
    <w:rsid w:val="00817B56"/>
    <w:rsid w:val="00821A88"/>
    <w:rsid w:val="0082322E"/>
    <w:rsid w:val="0082495D"/>
    <w:rsid w:val="008250C7"/>
    <w:rsid w:val="00826B6F"/>
    <w:rsid w:val="00831AC3"/>
    <w:rsid w:val="00836FCE"/>
    <w:rsid w:val="008408FF"/>
    <w:rsid w:val="00843FDF"/>
    <w:rsid w:val="00847B7A"/>
    <w:rsid w:val="00851F3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D4B76"/>
    <w:rsid w:val="008E0428"/>
    <w:rsid w:val="008E4767"/>
    <w:rsid w:val="008E7A8C"/>
    <w:rsid w:val="008F3D38"/>
    <w:rsid w:val="0090203B"/>
    <w:rsid w:val="00903285"/>
    <w:rsid w:val="009040B3"/>
    <w:rsid w:val="00906F40"/>
    <w:rsid w:val="0090731E"/>
    <w:rsid w:val="00915B1C"/>
    <w:rsid w:val="009174F3"/>
    <w:rsid w:val="0091797D"/>
    <w:rsid w:val="00923CBA"/>
    <w:rsid w:val="00926703"/>
    <w:rsid w:val="00927691"/>
    <w:rsid w:val="00927A5F"/>
    <w:rsid w:val="00930510"/>
    <w:rsid w:val="00934DFB"/>
    <w:rsid w:val="00935B63"/>
    <w:rsid w:val="00936E95"/>
    <w:rsid w:val="0094078F"/>
    <w:rsid w:val="00940FA3"/>
    <w:rsid w:val="00941FB0"/>
    <w:rsid w:val="009426D4"/>
    <w:rsid w:val="00944F2B"/>
    <w:rsid w:val="00947F25"/>
    <w:rsid w:val="00950159"/>
    <w:rsid w:val="0095490B"/>
    <w:rsid w:val="00960A33"/>
    <w:rsid w:val="00971914"/>
    <w:rsid w:val="00974363"/>
    <w:rsid w:val="00981898"/>
    <w:rsid w:val="0099577C"/>
    <w:rsid w:val="009A021C"/>
    <w:rsid w:val="009A25CC"/>
    <w:rsid w:val="009A64AE"/>
    <w:rsid w:val="009B005E"/>
    <w:rsid w:val="009B1D2E"/>
    <w:rsid w:val="009B24A5"/>
    <w:rsid w:val="009B2601"/>
    <w:rsid w:val="009B4E9E"/>
    <w:rsid w:val="009B7397"/>
    <w:rsid w:val="009C1690"/>
    <w:rsid w:val="009C6881"/>
    <w:rsid w:val="009C7759"/>
    <w:rsid w:val="009D043D"/>
    <w:rsid w:val="009D07C8"/>
    <w:rsid w:val="009D311A"/>
    <w:rsid w:val="009D4834"/>
    <w:rsid w:val="009D4C85"/>
    <w:rsid w:val="009D6C71"/>
    <w:rsid w:val="009E0631"/>
    <w:rsid w:val="009E16D0"/>
    <w:rsid w:val="009E2051"/>
    <w:rsid w:val="009E38FD"/>
    <w:rsid w:val="009E4966"/>
    <w:rsid w:val="009F13D6"/>
    <w:rsid w:val="009F4C6B"/>
    <w:rsid w:val="009F78A8"/>
    <w:rsid w:val="00A02AD6"/>
    <w:rsid w:val="00A06C51"/>
    <w:rsid w:val="00A07096"/>
    <w:rsid w:val="00A07318"/>
    <w:rsid w:val="00A11370"/>
    <w:rsid w:val="00A1608F"/>
    <w:rsid w:val="00A2230C"/>
    <w:rsid w:val="00A224CE"/>
    <w:rsid w:val="00A22522"/>
    <w:rsid w:val="00A22AC2"/>
    <w:rsid w:val="00A24AFD"/>
    <w:rsid w:val="00A24F5C"/>
    <w:rsid w:val="00A32F96"/>
    <w:rsid w:val="00A40871"/>
    <w:rsid w:val="00A412AB"/>
    <w:rsid w:val="00A4193E"/>
    <w:rsid w:val="00A440E0"/>
    <w:rsid w:val="00A442EF"/>
    <w:rsid w:val="00A51D1A"/>
    <w:rsid w:val="00A5418D"/>
    <w:rsid w:val="00A5474E"/>
    <w:rsid w:val="00A64234"/>
    <w:rsid w:val="00A676FA"/>
    <w:rsid w:val="00A70ADF"/>
    <w:rsid w:val="00A71466"/>
    <w:rsid w:val="00A71762"/>
    <w:rsid w:val="00A74B5E"/>
    <w:rsid w:val="00A81BED"/>
    <w:rsid w:val="00A81EC4"/>
    <w:rsid w:val="00A824E8"/>
    <w:rsid w:val="00A8260F"/>
    <w:rsid w:val="00A82661"/>
    <w:rsid w:val="00A9552E"/>
    <w:rsid w:val="00A967FD"/>
    <w:rsid w:val="00AA0DD5"/>
    <w:rsid w:val="00AA2DE5"/>
    <w:rsid w:val="00AB156C"/>
    <w:rsid w:val="00AB6814"/>
    <w:rsid w:val="00AC04BA"/>
    <w:rsid w:val="00AC0E39"/>
    <w:rsid w:val="00AC2E9E"/>
    <w:rsid w:val="00AC4219"/>
    <w:rsid w:val="00AD3082"/>
    <w:rsid w:val="00AD32B4"/>
    <w:rsid w:val="00AD3851"/>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16F7C"/>
    <w:rsid w:val="00B20E9D"/>
    <w:rsid w:val="00B22EB2"/>
    <w:rsid w:val="00B27442"/>
    <w:rsid w:val="00B31167"/>
    <w:rsid w:val="00B329D8"/>
    <w:rsid w:val="00B32BB9"/>
    <w:rsid w:val="00B33AE1"/>
    <w:rsid w:val="00B37C38"/>
    <w:rsid w:val="00B4288C"/>
    <w:rsid w:val="00B43262"/>
    <w:rsid w:val="00B44100"/>
    <w:rsid w:val="00B46CBA"/>
    <w:rsid w:val="00B46F94"/>
    <w:rsid w:val="00B51C03"/>
    <w:rsid w:val="00B54D2B"/>
    <w:rsid w:val="00B6003C"/>
    <w:rsid w:val="00B61F03"/>
    <w:rsid w:val="00B626E4"/>
    <w:rsid w:val="00B70B10"/>
    <w:rsid w:val="00B72F4A"/>
    <w:rsid w:val="00B76329"/>
    <w:rsid w:val="00B83C27"/>
    <w:rsid w:val="00B84BC3"/>
    <w:rsid w:val="00B84BDD"/>
    <w:rsid w:val="00B92812"/>
    <w:rsid w:val="00BB45A1"/>
    <w:rsid w:val="00BB6335"/>
    <w:rsid w:val="00BB7686"/>
    <w:rsid w:val="00BB7802"/>
    <w:rsid w:val="00BC23F9"/>
    <w:rsid w:val="00BC3421"/>
    <w:rsid w:val="00BC732C"/>
    <w:rsid w:val="00BD4421"/>
    <w:rsid w:val="00BD5650"/>
    <w:rsid w:val="00BE2580"/>
    <w:rsid w:val="00BE266D"/>
    <w:rsid w:val="00BE3938"/>
    <w:rsid w:val="00BE4C11"/>
    <w:rsid w:val="00BE71C0"/>
    <w:rsid w:val="00BF45A0"/>
    <w:rsid w:val="00BF5A5A"/>
    <w:rsid w:val="00BF610C"/>
    <w:rsid w:val="00BF7950"/>
    <w:rsid w:val="00C0060B"/>
    <w:rsid w:val="00C01A6C"/>
    <w:rsid w:val="00C0277D"/>
    <w:rsid w:val="00C02F26"/>
    <w:rsid w:val="00C053A1"/>
    <w:rsid w:val="00C16198"/>
    <w:rsid w:val="00C2083D"/>
    <w:rsid w:val="00C20B81"/>
    <w:rsid w:val="00C24A53"/>
    <w:rsid w:val="00C310EB"/>
    <w:rsid w:val="00C34A05"/>
    <w:rsid w:val="00C35CCE"/>
    <w:rsid w:val="00C4032F"/>
    <w:rsid w:val="00C41F21"/>
    <w:rsid w:val="00C43971"/>
    <w:rsid w:val="00C44047"/>
    <w:rsid w:val="00C45155"/>
    <w:rsid w:val="00C5498F"/>
    <w:rsid w:val="00C55235"/>
    <w:rsid w:val="00C64CD0"/>
    <w:rsid w:val="00C65F61"/>
    <w:rsid w:val="00C6684F"/>
    <w:rsid w:val="00C70E70"/>
    <w:rsid w:val="00C72C2C"/>
    <w:rsid w:val="00C75F8D"/>
    <w:rsid w:val="00C77380"/>
    <w:rsid w:val="00C8472B"/>
    <w:rsid w:val="00C864EC"/>
    <w:rsid w:val="00C87E8A"/>
    <w:rsid w:val="00C913D6"/>
    <w:rsid w:val="00C952F1"/>
    <w:rsid w:val="00C97736"/>
    <w:rsid w:val="00CA20DA"/>
    <w:rsid w:val="00CA345A"/>
    <w:rsid w:val="00CB1E82"/>
    <w:rsid w:val="00CB2531"/>
    <w:rsid w:val="00CB4BA8"/>
    <w:rsid w:val="00CB52D7"/>
    <w:rsid w:val="00CB6A31"/>
    <w:rsid w:val="00CC2097"/>
    <w:rsid w:val="00CC6732"/>
    <w:rsid w:val="00CD6ACF"/>
    <w:rsid w:val="00CE3C96"/>
    <w:rsid w:val="00CE51A8"/>
    <w:rsid w:val="00CF0BFE"/>
    <w:rsid w:val="00CF369B"/>
    <w:rsid w:val="00CF52CE"/>
    <w:rsid w:val="00D006B5"/>
    <w:rsid w:val="00D00E28"/>
    <w:rsid w:val="00D0269E"/>
    <w:rsid w:val="00D05D6C"/>
    <w:rsid w:val="00D15810"/>
    <w:rsid w:val="00D16D4E"/>
    <w:rsid w:val="00D16FE3"/>
    <w:rsid w:val="00D27F41"/>
    <w:rsid w:val="00D34303"/>
    <w:rsid w:val="00D36441"/>
    <w:rsid w:val="00D4064E"/>
    <w:rsid w:val="00D44E9B"/>
    <w:rsid w:val="00D47AEB"/>
    <w:rsid w:val="00D50DB9"/>
    <w:rsid w:val="00D51302"/>
    <w:rsid w:val="00D52C43"/>
    <w:rsid w:val="00D61243"/>
    <w:rsid w:val="00D624A5"/>
    <w:rsid w:val="00D6507F"/>
    <w:rsid w:val="00D730BC"/>
    <w:rsid w:val="00D73912"/>
    <w:rsid w:val="00D85226"/>
    <w:rsid w:val="00D87B94"/>
    <w:rsid w:val="00D92D49"/>
    <w:rsid w:val="00D92EC1"/>
    <w:rsid w:val="00D96DEA"/>
    <w:rsid w:val="00D971CD"/>
    <w:rsid w:val="00DA4E41"/>
    <w:rsid w:val="00DB117A"/>
    <w:rsid w:val="00DB3EDB"/>
    <w:rsid w:val="00DB5173"/>
    <w:rsid w:val="00DB7873"/>
    <w:rsid w:val="00DC187B"/>
    <w:rsid w:val="00DC3AD7"/>
    <w:rsid w:val="00DC5E7B"/>
    <w:rsid w:val="00DD1A43"/>
    <w:rsid w:val="00DD73C2"/>
    <w:rsid w:val="00DE319B"/>
    <w:rsid w:val="00DE4CB7"/>
    <w:rsid w:val="00DF34FE"/>
    <w:rsid w:val="00DF56AA"/>
    <w:rsid w:val="00DF56AF"/>
    <w:rsid w:val="00DF72A9"/>
    <w:rsid w:val="00DF78E7"/>
    <w:rsid w:val="00E073AE"/>
    <w:rsid w:val="00E110E0"/>
    <w:rsid w:val="00E15371"/>
    <w:rsid w:val="00E21056"/>
    <w:rsid w:val="00E23EB4"/>
    <w:rsid w:val="00E24104"/>
    <w:rsid w:val="00E302D0"/>
    <w:rsid w:val="00E35707"/>
    <w:rsid w:val="00E36AA1"/>
    <w:rsid w:val="00E41ECB"/>
    <w:rsid w:val="00E42676"/>
    <w:rsid w:val="00E54FDB"/>
    <w:rsid w:val="00E5617D"/>
    <w:rsid w:val="00E563D7"/>
    <w:rsid w:val="00E57904"/>
    <w:rsid w:val="00E663F4"/>
    <w:rsid w:val="00E666F2"/>
    <w:rsid w:val="00E66DD4"/>
    <w:rsid w:val="00E71872"/>
    <w:rsid w:val="00E748CC"/>
    <w:rsid w:val="00E75415"/>
    <w:rsid w:val="00E775B1"/>
    <w:rsid w:val="00E810A7"/>
    <w:rsid w:val="00E8152A"/>
    <w:rsid w:val="00E87EF0"/>
    <w:rsid w:val="00E93629"/>
    <w:rsid w:val="00E93B5C"/>
    <w:rsid w:val="00E94CEC"/>
    <w:rsid w:val="00EA04EF"/>
    <w:rsid w:val="00EA6C79"/>
    <w:rsid w:val="00EA6F19"/>
    <w:rsid w:val="00EB7090"/>
    <w:rsid w:val="00EC1BBE"/>
    <w:rsid w:val="00EC2B68"/>
    <w:rsid w:val="00EC3AEF"/>
    <w:rsid w:val="00EC5CD7"/>
    <w:rsid w:val="00EE5FB3"/>
    <w:rsid w:val="00EE7F79"/>
    <w:rsid w:val="00EF297A"/>
    <w:rsid w:val="00EF6848"/>
    <w:rsid w:val="00EF715A"/>
    <w:rsid w:val="00F039EE"/>
    <w:rsid w:val="00F06E14"/>
    <w:rsid w:val="00F179D4"/>
    <w:rsid w:val="00F22A23"/>
    <w:rsid w:val="00F30C4C"/>
    <w:rsid w:val="00F33C56"/>
    <w:rsid w:val="00F347C7"/>
    <w:rsid w:val="00F34848"/>
    <w:rsid w:val="00F4056D"/>
    <w:rsid w:val="00F42D46"/>
    <w:rsid w:val="00F43226"/>
    <w:rsid w:val="00F4496C"/>
    <w:rsid w:val="00F44F3A"/>
    <w:rsid w:val="00F51F10"/>
    <w:rsid w:val="00F52457"/>
    <w:rsid w:val="00F529A5"/>
    <w:rsid w:val="00F5310D"/>
    <w:rsid w:val="00F54B25"/>
    <w:rsid w:val="00F60F00"/>
    <w:rsid w:val="00F614C0"/>
    <w:rsid w:val="00F617D4"/>
    <w:rsid w:val="00F63BB0"/>
    <w:rsid w:val="00F6629B"/>
    <w:rsid w:val="00F73BE5"/>
    <w:rsid w:val="00F83848"/>
    <w:rsid w:val="00F975E9"/>
    <w:rsid w:val="00FA1B7D"/>
    <w:rsid w:val="00FA3AC3"/>
    <w:rsid w:val="00FA6653"/>
    <w:rsid w:val="00FC07B9"/>
    <w:rsid w:val="00FC4E21"/>
    <w:rsid w:val="00FC5F6D"/>
    <w:rsid w:val="00FD0107"/>
    <w:rsid w:val="00FD2C2F"/>
    <w:rsid w:val="00FD3B31"/>
    <w:rsid w:val="00FE1823"/>
    <w:rsid w:val="00FE487A"/>
    <w:rsid w:val="00FE4E01"/>
    <w:rsid w:val="00FF0569"/>
    <w:rsid w:val="00FF206E"/>
    <w:rsid w:val="00FF3C69"/>
    <w:rsid w:val="00FF6416"/>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colormru v:ext="edit" colors="red,#4d4d4f"/>
    </o:shapedefaults>
    <o:shapelayout v:ext="edit">
      <o:idmap v:ext="edit" data="1"/>
    </o:shapelayout>
  </w:shapeDefaults>
  <w:decimalSymbol w:val="."/>
  <w:listSeparator w:val=","/>
  <w14:docId w14:val="32B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tabs>
        <w:tab w:val="num" w:pos="-31680"/>
      </w:tabs>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rsid w:val="006C6840"/>
    <w:rPr>
      <w:rFonts w:ascii="Arial" w:hAnsi="Arial"/>
      <w:sz w:val="16"/>
      <w:szCs w:val="16"/>
    </w:rPr>
  </w:style>
  <w:style w:type="character" w:customStyle="1" w:styleId="ListBulletChar">
    <w:name w:val="List Bullet Char"/>
    <w:aliases w:val="List Bullet 1 Char"/>
    <w:basedOn w:val="DefaultParagraphFont"/>
    <w:link w:val="ListBullet"/>
    <w:uiPriority w:val="99"/>
    <w:rsid w:val="006C6840"/>
    <w:rPr>
      <w:rFonts w:ascii="Arial" w:hAnsi="Arial"/>
      <w:sz w:val="20"/>
    </w:rPr>
  </w:style>
  <w:style w:type="paragraph" w:styleId="ListParagraph">
    <w:name w:val="List Paragraph"/>
    <w:basedOn w:val="Normal"/>
    <w:uiPriority w:val="34"/>
    <w:qFormat/>
    <w:rsid w:val="00E87EF0"/>
    <w:pPr>
      <w:spacing w:after="0" w:line="240" w:lineRule="auto"/>
      <w:ind w:left="720"/>
      <w:contextualSpacing/>
    </w:pPr>
    <w:rPr>
      <w:rFonts w:asciiTheme="minorHAnsi" w:eastAsiaTheme="minorEastAsia" w:hAnsi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4947">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94757629">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66409526">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092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2015-12/report/acmas-long-term-strategy-803-960-mhz-band-decision-paper"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publication-submission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19-08/options-wireless-broadband-26-ghz-band-consultation-322018" TargetMode="External"/><Relationship Id="rId33" Type="http://schemas.openxmlformats.org/officeDocument/2006/relationships/hyperlink" Target="mailto:freqplan@acma.gov.au"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publications/2015-12/report/acmas-long-term-strategy-803-960-mhz-band-decision-pap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 TargetMode="External"/><Relationship Id="rId32" Type="http://schemas.openxmlformats.org/officeDocument/2006/relationships/hyperlink" Target="https://www.acma.gov.au/have-your-say"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consultations/2019-08/options-wireless-broadband-26-ghz-band-consultation-322018"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consultations/2020-07/internet-things-applications-vhf-high-band-consultation-20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0-07/internet-things-applications-vhf-high-band-consultation-202020" TargetMode="External"/><Relationship Id="rId30" Type="http://schemas.openxmlformats.org/officeDocument/2006/relationships/hyperlink" Target="https://www.acma.gov.au/publications/2019-11/guide/rali-ms-41-900-mhz-band-plan" TargetMode="External"/><Relationship Id="rId35" Type="http://schemas.openxmlformats.org/officeDocument/2006/relationships/hyperlink" Target="https://www.acma.gov.au/privacy-poli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16L02001" TargetMode="External"/><Relationship Id="rId3" Type="http://schemas.openxmlformats.org/officeDocument/2006/relationships/hyperlink" Target="https://portal.3gpp.org/desktopmodules/Specifications/SpecificationDetails.aspx?specificationId=3202" TargetMode="External"/><Relationship Id="rId7" Type="http://schemas.openxmlformats.org/officeDocument/2006/relationships/hyperlink" Target="https://www.cept.org/ecc/topics/srd-regulations-and-indicative-list-of-equipment-sub-classes" TargetMode="External"/><Relationship Id="rId2" Type="http://schemas.openxmlformats.org/officeDocument/2006/relationships/hyperlink" Target="https://www.legislation.gov.au/Details/F2016L02001" TargetMode="External"/><Relationship Id="rId1" Type="http://schemas.openxmlformats.org/officeDocument/2006/relationships/hyperlink" Target="https://www.legislation.gov.au/Details/F2019C00681" TargetMode="External"/><Relationship Id="rId6" Type="http://schemas.openxmlformats.org/officeDocument/2006/relationships/hyperlink" Target="https://iot.org.au/" TargetMode="External"/><Relationship Id="rId5" Type="http://schemas.openxmlformats.org/officeDocument/2006/relationships/hyperlink" Target="https://www.itu.int/pub/R-ACT-WRC.14-2019" TargetMode="External"/><Relationship Id="rId10" Type="http://schemas.openxmlformats.org/officeDocument/2006/relationships/hyperlink" Target="https://www.ecfr.gov/cgi-bin/retrieveECFR?gp=&amp;SID=5ffd66a40038ec2a9b6c4bc3c4a95bb2&amp;mc=true&amp;n=pt47.1.15&amp;r=PART&amp;ty=HTML" TargetMode="External"/><Relationship Id="rId4" Type="http://schemas.openxmlformats.org/officeDocument/2006/relationships/hyperlink" Target="https://portal.3gpp.org/desktopmodules/Specifications/SpecificationDetails.aspx?specificationId=3284" TargetMode="External"/><Relationship Id="rId9" Type="http://schemas.openxmlformats.org/officeDocument/2006/relationships/hyperlink" Target="https://www.acma.gov.au/consultations/2020-08/proposed-update-australian-radiofrequency-spectrum-plan-consultation-27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D89-D8FA-4D0A-8B00-9F1B7932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2020-09-11T06:20:00Z</dcterms:created>
  <dcterms:modified xsi:type="dcterms:W3CDTF">2020-09-11T06:20:00Z</dcterms:modified>
  <cp:category/>
</cp:coreProperties>
</file>