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FAF39" w14:textId="202870F4" w:rsidR="009B44E3" w:rsidRDefault="006F3DC6" w:rsidP="000D7782">
      <w:pPr>
        <w:pStyle w:val="ACMAReportTitle"/>
        <w:spacing w:before="120" w:after="120" w:line="240" w:lineRule="auto"/>
      </w:pPr>
      <w:r>
        <w:t xml:space="preserve">Spectrum </w:t>
      </w:r>
      <w:r w:rsidR="00901623">
        <w:t>s</w:t>
      </w:r>
      <w:r>
        <w:t xml:space="preserve">haring </w:t>
      </w:r>
    </w:p>
    <w:p w14:paraId="13D0A424" w14:textId="705451DB" w:rsidR="00846955" w:rsidRPr="00D4254E" w:rsidRDefault="00F870EA" w:rsidP="000D7782">
      <w:pPr>
        <w:pStyle w:val="ACMAReportTitle"/>
        <w:spacing w:before="120" w:after="120" w:line="240" w:lineRule="auto"/>
        <w:rPr>
          <w:b w:val="0"/>
        </w:rPr>
      </w:pPr>
      <w:r>
        <w:rPr>
          <w:b w:val="0"/>
        </w:rPr>
        <w:t>Overview</w:t>
      </w:r>
      <w:r w:rsidR="00846955">
        <w:rPr>
          <w:b w:val="0"/>
        </w:rPr>
        <w:t xml:space="preserve"> and new approaches</w:t>
      </w:r>
    </w:p>
    <w:p w14:paraId="3A1F4731" w14:textId="75BA377B" w:rsidR="00F06E14" w:rsidRDefault="003821C1" w:rsidP="000D7782">
      <w:pPr>
        <w:pStyle w:val="ACMAReportDate"/>
        <w:spacing w:before="120" w:after="120"/>
      </w:pPr>
      <w:r w:rsidRPr="003821C1">
        <w:t>august</w:t>
      </w:r>
      <w:r w:rsidR="00C87691" w:rsidRPr="003821C1">
        <w:t xml:space="preserve"> </w:t>
      </w:r>
      <w:r w:rsidR="009129B5" w:rsidRPr="003821C1">
        <w:t>2019</w:t>
      </w:r>
    </w:p>
    <w:p w14:paraId="5CFAE2A3" w14:textId="77777777" w:rsidR="00C97736" w:rsidRPr="000D76E0" w:rsidRDefault="00C97736" w:rsidP="000D7782">
      <w:pPr>
        <w:spacing w:before="120" w:after="120" w:line="240" w:lineRule="auto"/>
        <w:rPr>
          <w:rFonts w:cs="Arial"/>
        </w:rPr>
      </w:pPr>
    </w:p>
    <w:p w14:paraId="1FD57E21" w14:textId="77777777" w:rsidR="00C97736" w:rsidRPr="000D76E0" w:rsidRDefault="00C97736" w:rsidP="000D7782">
      <w:pPr>
        <w:spacing w:before="120" w:after="120" w:line="240" w:lineRule="auto"/>
        <w:rPr>
          <w:rFonts w:cs="Arial"/>
        </w:rPr>
        <w:sectPr w:rsidR="00C97736" w:rsidRPr="000D76E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5C547594" w14:textId="540814D7" w:rsidR="0005011A" w:rsidRPr="00F44F3A" w:rsidRDefault="0005011A" w:rsidP="000D7782">
      <w:pPr>
        <w:pStyle w:val="ACMACorporateAddressHeader"/>
        <w:spacing w:before="120" w:after="120" w:line="240" w:lineRule="auto"/>
      </w:pPr>
      <w:r w:rsidRPr="00F44F3A">
        <w:lastRenderedPageBreak/>
        <w:t>Canberra</w:t>
      </w:r>
      <w:r w:rsidR="00861B21">
        <w:t xml:space="preserve"> </w:t>
      </w:r>
    </w:p>
    <w:p w14:paraId="2F2F9472" w14:textId="77777777" w:rsidR="0005011A" w:rsidRPr="00FC07B9" w:rsidRDefault="0005011A" w:rsidP="000D7782">
      <w:pPr>
        <w:pStyle w:val="ACMACorporateAddresses"/>
        <w:spacing w:before="120" w:line="240" w:lineRule="auto"/>
      </w:pPr>
      <w:r w:rsidRPr="00FC07B9">
        <w:t xml:space="preserve">Red Building </w:t>
      </w:r>
      <w:r w:rsidRPr="00FC07B9">
        <w:br/>
        <w:t>Benjamin Offices</w:t>
      </w:r>
      <w:r w:rsidRPr="00FC07B9">
        <w:br/>
        <w:t xml:space="preserve">Chan Street </w:t>
      </w:r>
      <w:r w:rsidRPr="00FC07B9">
        <w:br/>
        <w:t>Belconnen ACT</w:t>
      </w:r>
    </w:p>
    <w:p w14:paraId="4F5E9F8C" w14:textId="77777777" w:rsidR="0005011A" w:rsidRPr="00FC07B9" w:rsidRDefault="0005011A" w:rsidP="000D7782">
      <w:pPr>
        <w:pStyle w:val="ACMACorporateAddresses"/>
        <w:spacing w:before="120" w:line="240" w:lineRule="auto"/>
      </w:pPr>
      <w:r w:rsidRPr="00FC07B9">
        <w:t>PO Box 78</w:t>
      </w:r>
      <w:r w:rsidRPr="00FC07B9">
        <w:br/>
        <w:t>Belconnen ACT 2616</w:t>
      </w:r>
    </w:p>
    <w:p w14:paraId="7C1B984B" w14:textId="77777777" w:rsidR="00FE1823" w:rsidRPr="00FC07B9" w:rsidRDefault="0005011A" w:rsidP="000D7782">
      <w:pPr>
        <w:pStyle w:val="ACMACorporateAddresses"/>
        <w:spacing w:before="120" w:line="240" w:lineRule="auto"/>
      </w:pPr>
      <w:r w:rsidRPr="00FC07B9">
        <w:t>T</w:t>
      </w:r>
      <w:r w:rsidR="00537604" w:rsidRPr="00FC07B9">
        <w:tab/>
      </w:r>
      <w:r w:rsidRPr="00FC07B9">
        <w:t>+61 2 6219 5555</w:t>
      </w:r>
      <w:r w:rsidRPr="00FC07B9">
        <w:br/>
        <w:t>F</w:t>
      </w:r>
      <w:r w:rsidR="00537604" w:rsidRPr="00FC07B9">
        <w:tab/>
      </w:r>
      <w:r w:rsidRPr="00FC07B9">
        <w:t>+61 2 6219 5353</w:t>
      </w:r>
    </w:p>
    <w:p w14:paraId="49AE7EAA" w14:textId="77777777" w:rsidR="0005011A" w:rsidRPr="00F44F3A" w:rsidRDefault="0005011A" w:rsidP="000D7782">
      <w:pPr>
        <w:pStyle w:val="ACMACorporateAddressHeader"/>
        <w:spacing w:before="120" w:after="120" w:line="240" w:lineRule="auto"/>
      </w:pPr>
      <w:r w:rsidRPr="00F44F3A">
        <w:t>Melbourne</w:t>
      </w:r>
    </w:p>
    <w:p w14:paraId="463E1EB1" w14:textId="77777777" w:rsidR="0005011A" w:rsidRPr="00F44F3A" w:rsidRDefault="0005011A" w:rsidP="000D7782">
      <w:pPr>
        <w:pStyle w:val="ACMACorporateAddresses"/>
        <w:spacing w:before="120" w:line="240" w:lineRule="auto"/>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582C4B75" w14:textId="77777777" w:rsidR="0005011A" w:rsidRPr="00F44F3A" w:rsidRDefault="0005011A" w:rsidP="000D7782">
      <w:pPr>
        <w:pStyle w:val="ACMACorporateAddresses"/>
        <w:spacing w:before="120" w:line="240" w:lineRule="auto"/>
      </w:pPr>
      <w:r w:rsidRPr="00F44F3A">
        <w:t>PO Box 13112</w:t>
      </w:r>
      <w:r w:rsidRPr="00F44F3A">
        <w:br/>
        <w:t xml:space="preserve">Law Courts </w:t>
      </w:r>
      <w:r w:rsidRPr="00F44F3A">
        <w:br/>
        <w:t>Melbourne VIC 8010</w:t>
      </w:r>
    </w:p>
    <w:p w14:paraId="3657BB92" w14:textId="77777777" w:rsidR="0005011A" w:rsidRPr="00F44F3A" w:rsidRDefault="0005011A" w:rsidP="000D7782">
      <w:pPr>
        <w:pStyle w:val="ACMACorporateAddresses"/>
        <w:spacing w:before="120" w:line="240" w:lineRule="auto"/>
      </w:pPr>
      <w:r w:rsidRPr="00F44F3A">
        <w:t>T</w:t>
      </w:r>
      <w:r w:rsidR="00140318" w:rsidRPr="00F44F3A">
        <w:tab/>
      </w:r>
      <w:r w:rsidRPr="00F44F3A">
        <w:t>+61 3 9963 6800</w:t>
      </w:r>
      <w:r w:rsidRPr="00F44F3A">
        <w:br/>
        <w:t>F</w:t>
      </w:r>
      <w:r w:rsidR="00140318" w:rsidRPr="00F44F3A">
        <w:tab/>
      </w:r>
      <w:r w:rsidRPr="00F44F3A">
        <w:t>+61 3 9963 6899</w:t>
      </w:r>
    </w:p>
    <w:p w14:paraId="5EC39160" w14:textId="77777777" w:rsidR="0005011A" w:rsidRPr="00F44F3A" w:rsidRDefault="0005011A" w:rsidP="000D7782">
      <w:pPr>
        <w:pStyle w:val="ACMACorporateAddressHeader"/>
        <w:spacing w:before="120" w:after="120" w:line="240" w:lineRule="auto"/>
      </w:pPr>
      <w:r w:rsidRPr="00F44F3A">
        <w:t>Sydney</w:t>
      </w:r>
    </w:p>
    <w:p w14:paraId="0FACF8B4" w14:textId="77777777" w:rsidR="0005011A" w:rsidRPr="00F44F3A" w:rsidRDefault="0005011A" w:rsidP="000D7782">
      <w:pPr>
        <w:pStyle w:val="ACMACorporateAddresses"/>
        <w:spacing w:before="120" w:line="240" w:lineRule="auto"/>
      </w:pPr>
      <w:r w:rsidRPr="00F44F3A">
        <w:t xml:space="preserve">Level 5 </w:t>
      </w:r>
      <w:r w:rsidRPr="00F44F3A">
        <w:br/>
        <w:t>The Bay Centre</w:t>
      </w:r>
      <w:r w:rsidRPr="00F44F3A">
        <w:br/>
        <w:t xml:space="preserve">65 Pirrama Road </w:t>
      </w:r>
      <w:r w:rsidRPr="00F44F3A">
        <w:br/>
        <w:t>Pyrmont NSW</w:t>
      </w:r>
    </w:p>
    <w:p w14:paraId="79CDC949" w14:textId="77777777" w:rsidR="0005011A" w:rsidRPr="00F44F3A" w:rsidRDefault="0005011A" w:rsidP="000D7782">
      <w:pPr>
        <w:pStyle w:val="ACMACorporateAddresses"/>
        <w:spacing w:before="120" w:line="240" w:lineRule="auto"/>
      </w:pPr>
      <w:r w:rsidRPr="00F44F3A">
        <w:t>PO Box Q500</w:t>
      </w:r>
      <w:r w:rsidRPr="00F44F3A">
        <w:br/>
        <w:t xml:space="preserve">Queen Victoria Building </w:t>
      </w:r>
      <w:r w:rsidRPr="00F44F3A">
        <w:br/>
        <w:t>NSW 1230</w:t>
      </w:r>
    </w:p>
    <w:p w14:paraId="66AFE2B0" w14:textId="77777777" w:rsidR="0005011A" w:rsidRPr="00F44F3A" w:rsidRDefault="0005011A" w:rsidP="000D7782">
      <w:pPr>
        <w:pStyle w:val="ACMACorporateAddresses"/>
        <w:spacing w:before="120" w:line="240" w:lineRule="auto"/>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04986CCE" w14:textId="77777777" w:rsidR="00140318" w:rsidRPr="006D46E5" w:rsidRDefault="00140318" w:rsidP="000D7782">
      <w:pPr>
        <w:pStyle w:val="ACMACopyrightHeader"/>
        <w:spacing w:before="120" w:after="120" w:line="240" w:lineRule="auto"/>
      </w:pPr>
      <w:r w:rsidRPr="00140318">
        <w:t>Copyright notice</w:t>
      </w:r>
    </w:p>
    <w:p w14:paraId="6692DFC5" w14:textId="77777777" w:rsidR="00140318" w:rsidRPr="006D46E5" w:rsidRDefault="00623FF9" w:rsidP="000D7782">
      <w:pPr>
        <w:pStyle w:val="ACMACClogo"/>
        <w:spacing w:before="120"/>
      </w:pPr>
      <w:r w:rsidRPr="00623FF9">
        <w:rPr>
          <w:noProof/>
        </w:rPr>
        <w:drawing>
          <wp:inline distT="0" distB="0" distL="0" distR="0" wp14:anchorId="05B9025E" wp14:editId="259C8533">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2B9F669A" w14:textId="77777777" w:rsidR="00AA2DE5" w:rsidRDefault="004C4932" w:rsidP="000D7782">
      <w:pPr>
        <w:pStyle w:val="ACMACorporateAddresses"/>
        <w:spacing w:before="120" w:line="240" w:lineRule="auto"/>
        <w:rPr>
          <w:rStyle w:val="Hyperlink"/>
        </w:rPr>
      </w:pPr>
      <w:hyperlink r:id="rId13" w:history="1">
        <w:r w:rsidR="00AA2DE5">
          <w:rPr>
            <w:rStyle w:val="Hyperlink"/>
          </w:rPr>
          <w:t>https://creativecommons.org/licenses/by/4.0/</w:t>
        </w:r>
      </w:hyperlink>
    </w:p>
    <w:p w14:paraId="1D2FFA37" w14:textId="77777777" w:rsidR="00AA2DE5" w:rsidRDefault="00AA2DE5" w:rsidP="000D7782">
      <w:pPr>
        <w:pStyle w:val="ACMACorporateAddresses"/>
        <w:spacing w:before="120" w:line="240" w:lineRule="auto"/>
      </w:pPr>
      <w:proofErr w:type="gramStart"/>
      <w:r>
        <w:t>With the exception of</w:t>
      </w:r>
      <w:proofErr w:type="gramEnd"/>
      <w:r>
        <w:t xml:space="preserve"> coats of arms, logos, emblems, images, other third-party material or devices protected by a trademark, this content is made available under the terms of the Creative Commons Attribution 4.0 International (CC BY 4.0) licence. </w:t>
      </w:r>
    </w:p>
    <w:p w14:paraId="549EC268" w14:textId="77777777" w:rsidR="00AA2DE5" w:rsidRDefault="00AA2DE5" w:rsidP="000D7782">
      <w:pPr>
        <w:pStyle w:val="ACMACorporateAddresses"/>
        <w:spacing w:before="120" w:line="240" w:lineRule="auto"/>
      </w:pPr>
      <w:r>
        <w:t>We request attribution as © Commonwealth of Australia (Australian Communications and Media Authority) 201</w:t>
      </w:r>
      <w:r w:rsidR="000245E5">
        <w:t>9</w:t>
      </w:r>
      <w:r>
        <w:t>.</w:t>
      </w:r>
    </w:p>
    <w:p w14:paraId="6994F2FC" w14:textId="77777777" w:rsidR="00AA2DE5" w:rsidRDefault="00AA2DE5" w:rsidP="000D7782">
      <w:pPr>
        <w:pStyle w:val="ACMACorporateAddresses"/>
        <w:spacing w:before="120" w:line="240" w:lineRule="auto"/>
      </w:pPr>
      <w:r>
        <w:t>All other rights are reserved.</w:t>
      </w:r>
    </w:p>
    <w:p w14:paraId="123A9A45" w14:textId="77777777" w:rsidR="00AA2DE5" w:rsidRDefault="00AA2DE5" w:rsidP="000D7782">
      <w:pPr>
        <w:pStyle w:val="ACMACorporateAddresses"/>
        <w:spacing w:before="120" w:line="240" w:lineRule="auto"/>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D3D120B" w14:textId="77777777" w:rsidR="00AA2DE5" w:rsidRDefault="00AA2DE5" w:rsidP="000D7782">
      <w:pPr>
        <w:pStyle w:val="ACMACorporateAddresses"/>
        <w:spacing w:before="120" w:line="240" w:lineRule="auto"/>
      </w:pPr>
      <w:r>
        <w:t>Written enquiries may be sent to:</w:t>
      </w:r>
    </w:p>
    <w:p w14:paraId="5AEA2D0D" w14:textId="77777777" w:rsidR="00AA2DE5" w:rsidRDefault="00AA2DE5" w:rsidP="000D7782">
      <w:pPr>
        <w:pStyle w:val="ACMACorporateAddresses"/>
        <w:spacing w:before="120" w:line="240" w:lineRule="auto"/>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64CF2BB4" w14:textId="77777777" w:rsidR="00D16FE3" w:rsidRDefault="00D16FE3" w:rsidP="000D7782">
      <w:pPr>
        <w:pStyle w:val="ACMACorporateAddresses"/>
        <w:spacing w:before="120" w:line="240" w:lineRule="auto"/>
        <w:rPr>
          <w:rStyle w:val="Hyperlink"/>
        </w:rPr>
      </w:pPr>
    </w:p>
    <w:p w14:paraId="7ACC8C60" w14:textId="77777777" w:rsidR="00D16FE3" w:rsidRPr="00D16FE3" w:rsidRDefault="00D16FE3" w:rsidP="000D7782">
      <w:pPr>
        <w:pStyle w:val="ACMACorporateAddresses"/>
        <w:spacing w:before="120" w:line="240" w:lineRule="auto"/>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5BED22D0" w14:textId="2FCBC455" w:rsidR="004C4932" w:rsidRDefault="007A6CC0">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4C4932">
        <w:t>Executive summary</w:t>
      </w:r>
      <w:r w:rsidR="004C4932">
        <w:tab/>
      </w:r>
      <w:r w:rsidR="004C4932">
        <w:fldChar w:fldCharType="begin"/>
      </w:r>
      <w:r w:rsidR="004C4932">
        <w:instrText xml:space="preserve"> PAGEREF _Toc16054632 \h </w:instrText>
      </w:r>
      <w:r w:rsidR="004C4932">
        <w:fldChar w:fldCharType="separate"/>
      </w:r>
      <w:r w:rsidR="004C4932">
        <w:t>1</w:t>
      </w:r>
      <w:r w:rsidR="004C4932">
        <w:fldChar w:fldCharType="end"/>
      </w:r>
    </w:p>
    <w:p w14:paraId="335D79ED" w14:textId="295D6ED5" w:rsidR="004C4932" w:rsidRDefault="004C4932">
      <w:pPr>
        <w:pStyle w:val="TOC2"/>
        <w:rPr>
          <w:rFonts w:asciiTheme="minorHAnsi" w:eastAsiaTheme="minorEastAsia" w:hAnsiTheme="minorHAnsi" w:cstheme="minorBidi"/>
          <w:spacing w:val="0"/>
          <w:sz w:val="22"/>
          <w:szCs w:val="22"/>
        </w:rPr>
      </w:pPr>
      <w:r w:rsidRPr="00355634">
        <w:rPr>
          <w:rFonts w:eastAsia="Malgun Gothic"/>
          <w:lang w:val="en-GB"/>
        </w:rPr>
        <w:t xml:space="preserve">Traditional </w:t>
      </w:r>
      <w:r w:rsidRPr="00355634">
        <w:rPr>
          <w:rFonts w:eastAsia="Malgun Gothic"/>
        </w:rPr>
        <w:t>approaches</w:t>
      </w:r>
      <w:r w:rsidRPr="00355634">
        <w:rPr>
          <w:rFonts w:eastAsia="Malgun Gothic"/>
          <w:lang w:val="en-GB"/>
        </w:rPr>
        <w:t xml:space="preserve"> to sharing</w:t>
      </w:r>
      <w:r>
        <w:tab/>
      </w:r>
      <w:r>
        <w:fldChar w:fldCharType="begin"/>
      </w:r>
      <w:r>
        <w:instrText xml:space="preserve"> PAGEREF _Toc16054633 \h </w:instrText>
      </w:r>
      <w:r>
        <w:fldChar w:fldCharType="separate"/>
      </w:r>
      <w:r>
        <w:t>1</w:t>
      </w:r>
      <w:r>
        <w:fldChar w:fldCharType="end"/>
      </w:r>
    </w:p>
    <w:p w14:paraId="241B564F" w14:textId="712CE62F" w:rsidR="004C4932" w:rsidRDefault="004C4932">
      <w:pPr>
        <w:pStyle w:val="TOC2"/>
        <w:rPr>
          <w:rFonts w:asciiTheme="minorHAnsi" w:eastAsiaTheme="minorEastAsia" w:hAnsiTheme="minorHAnsi" w:cstheme="minorBidi"/>
          <w:spacing w:val="0"/>
          <w:sz w:val="22"/>
          <w:szCs w:val="22"/>
        </w:rPr>
      </w:pPr>
      <w:r w:rsidRPr="00355634">
        <w:rPr>
          <w:rFonts w:eastAsia="Malgun Gothic"/>
        </w:rPr>
        <w:t>New approaches to spectrum sharing</w:t>
      </w:r>
      <w:r>
        <w:tab/>
      </w:r>
      <w:r>
        <w:fldChar w:fldCharType="begin"/>
      </w:r>
      <w:r>
        <w:instrText xml:space="preserve"> PAGEREF _Toc16054634 \h </w:instrText>
      </w:r>
      <w:r>
        <w:fldChar w:fldCharType="separate"/>
      </w:r>
      <w:r>
        <w:t>1</w:t>
      </w:r>
      <w:r>
        <w:fldChar w:fldCharType="end"/>
      </w:r>
    </w:p>
    <w:p w14:paraId="47CAED0A" w14:textId="7C422D6C" w:rsidR="004C4932" w:rsidRDefault="004C4932">
      <w:pPr>
        <w:pStyle w:val="TOC2"/>
        <w:rPr>
          <w:rFonts w:asciiTheme="minorHAnsi" w:eastAsiaTheme="minorEastAsia" w:hAnsiTheme="minorHAnsi" w:cstheme="minorBidi"/>
          <w:spacing w:val="0"/>
          <w:sz w:val="22"/>
          <w:szCs w:val="22"/>
        </w:rPr>
      </w:pPr>
      <w:r w:rsidRPr="00355634">
        <w:rPr>
          <w:rFonts w:eastAsia="Malgun Gothic"/>
        </w:rPr>
        <w:t>Australian relevance</w:t>
      </w:r>
      <w:r>
        <w:tab/>
      </w:r>
      <w:r>
        <w:fldChar w:fldCharType="begin"/>
      </w:r>
      <w:r>
        <w:instrText xml:space="preserve"> PAGEREF _Toc16054635 \h </w:instrText>
      </w:r>
      <w:r>
        <w:fldChar w:fldCharType="separate"/>
      </w:r>
      <w:r>
        <w:t>3</w:t>
      </w:r>
      <w:r>
        <w:fldChar w:fldCharType="end"/>
      </w:r>
    </w:p>
    <w:p w14:paraId="4EF47864" w14:textId="71991C0F" w:rsidR="004C4932" w:rsidRDefault="004C4932">
      <w:pPr>
        <w:pStyle w:val="TOC1"/>
        <w:rPr>
          <w:rFonts w:asciiTheme="minorHAnsi" w:eastAsiaTheme="minorEastAsia" w:hAnsiTheme="minorHAnsi" w:cstheme="minorBidi"/>
          <w:b w:val="0"/>
          <w:spacing w:val="0"/>
          <w:sz w:val="22"/>
          <w:szCs w:val="22"/>
        </w:rPr>
      </w:pPr>
      <w:r>
        <w:t>Issues for comment</w:t>
      </w:r>
      <w:r>
        <w:tab/>
      </w:r>
      <w:r>
        <w:fldChar w:fldCharType="begin"/>
      </w:r>
      <w:r>
        <w:instrText xml:space="preserve"> PAGEREF _Toc16054636 \h </w:instrText>
      </w:r>
      <w:r>
        <w:fldChar w:fldCharType="separate"/>
      </w:r>
      <w:r>
        <w:t>4</w:t>
      </w:r>
      <w:r>
        <w:fldChar w:fldCharType="end"/>
      </w:r>
    </w:p>
    <w:p w14:paraId="13BB736A" w14:textId="5FB8F5B6" w:rsidR="004C4932" w:rsidRDefault="004C4932">
      <w:pPr>
        <w:pStyle w:val="TOC1"/>
        <w:rPr>
          <w:rFonts w:asciiTheme="minorHAnsi" w:eastAsiaTheme="minorEastAsia" w:hAnsiTheme="minorHAnsi" w:cstheme="minorBidi"/>
          <w:b w:val="0"/>
          <w:spacing w:val="0"/>
          <w:sz w:val="22"/>
          <w:szCs w:val="22"/>
        </w:rPr>
      </w:pPr>
      <w:r>
        <w:t>Introduction</w:t>
      </w:r>
      <w:r>
        <w:tab/>
      </w:r>
      <w:r>
        <w:fldChar w:fldCharType="begin"/>
      </w:r>
      <w:r>
        <w:instrText xml:space="preserve"> PAGEREF _Toc16054637 \h </w:instrText>
      </w:r>
      <w:r>
        <w:fldChar w:fldCharType="separate"/>
      </w:r>
      <w:r>
        <w:t>5</w:t>
      </w:r>
      <w:r>
        <w:fldChar w:fldCharType="end"/>
      </w:r>
    </w:p>
    <w:p w14:paraId="1947703E" w14:textId="183D086D" w:rsidR="004C4932" w:rsidRDefault="004C4932">
      <w:pPr>
        <w:pStyle w:val="TOC2"/>
        <w:rPr>
          <w:rFonts w:asciiTheme="minorHAnsi" w:eastAsiaTheme="minorEastAsia" w:hAnsiTheme="minorHAnsi" w:cstheme="minorBidi"/>
          <w:spacing w:val="0"/>
          <w:sz w:val="22"/>
          <w:szCs w:val="22"/>
        </w:rPr>
      </w:pPr>
      <w:r>
        <w:t>What is spectrum sharing?</w:t>
      </w:r>
      <w:r>
        <w:tab/>
      </w:r>
      <w:r>
        <w:fldChar w:fldCharType="begin"/>
      </w:r>
      <w:r>
        <w:instrText xml:space="preserve"> PAGEREF _Toc16054638 \h </w:instrText>
      </w:r>
      <w:r>
        <w:fldChar w:fldCharType="separate"/>
      </w:r>
      <w:r>
        <w:t>5</w:t>
      </w:r>
      <w:r>
        <w:fldChar w:fldCharType="end"/>
      </w:r>
    </w:p>
    <w:p w14:paraId="64A9BFFB" w14:textId="15E89396" w:rsidR="004C4932" w:rsidRDefault="004C4932">
      <w:pPr>
        <w:pStyle w:val="TOC2"/>
        <w:rPr>
          <w:rFonts w:asciiTheme="minorHAnsi" w:eastAsiaTheme="minorEastAsia" w:hAnsiTheme="minorHAnsi" w:cstheme="minorBidi"/>
          <w:spacing w:val="0"/>
          <w:sz w:val="22"/>
          <w:szCs w:val="22"/>
        </w:rPr>
      </w:pPr>
      <w:r>
        <w:t>How sharing is achieved</w:t>
      </w:r>
      <w:r>
        <w:tab/>
      </w:r>
      <w:r>
        <w:fldChar w:fldCharType="begin"/>
      </w:r>
      <w:r>
        <w:instrText xml:space="preserve"> PAGEREF _Toc16054639 \h </w:instrText>
      </w:r>
      <w:r>
        <w:fldChar w:fldCharType="separate"/>
      </w:r>
      <w:r>
        <w:t>6</w:t>
      </w:r>
      <w:r>
        <w:fldChar w:fldCharType="end"/>
      </w:r>
    </w:p>
    <w:p w14:paraId="5F36E8A2" w14:textId="5B568574" w:rsidR="004C4932" w:rsidRDefault="004C4932">
      <w:pPr>
        <w:pStyle w:val="TOC1"/>
        <w:rPr>
          <w:rFonts w:asciiTheme="minorHAnsi" w:eastAsiaTheme="minorEastAsia" w:hAnsiTheme="minorHAnsi" w:cstheme="minorBidi"/>
          <w:b w:val="0"/>
          <w:spacing w:val="0"/>
          <w:sz w:val="22"/>
          <w:szCs w:val="22"/>
        </w:rPr>
      </w:pPr>
      <w:r>
        <w:t>New approaches to sharing</w:t>
      </w:r>
      <w:r>
        <w:tab/>
      </w:r>
      <w:r>
        <w:fldChar w:fldCharType="begin"/>
      </w:r>
      <w:r>
        <w:instrText xml:space="preserve"> PAGEREF _Toc16054640 \h </w:instrText>
      </w:r>
      <w:r>
        <w:fldChar w:fldCharType="separate"/>
      </w:r>
      <w:r>
        <w:t>8</w:t>
      </w:r>
      <w:r>
        <w:fldChar w:fldCharType="end"/>
      </w:r>
    </w:p>
    <w:p w14:paraId="588770A2" w14:textId="67BD0136" w:rsidR="004C4932" w:rsidRDefault="004C4932">
      <w:pPr>
        <w:pStyle w:val="TOC2"/>
        <w:rPr>
          <w:rFonts w:asciiTheme="minorHAnsi" w:eastAsiaTheme="minorEastAsia" w:hAnsiTheme="minorHAnsi" w:cstheme="minorBidi"/>
          <w:spacing w:val="0"/>
          <w:sz w:val="22"/>
          <w:szCs w:val="22"/>
        </w:rPr>
      </w:pPr>
      <w:r>
        <w:t>DSA framework</w:t>
      </w:r>
      <w:r>
        <w:tab/>
      </w:r>
      <w:r>
        <w:fldChar w:fldCharType="begin"/>
      </w:r>
      <w:r>
        <w:instrText xml:space="preserve"> PAGEREF _Toc16054641 \h </w:instrText>
      </w:r>
      <w:r>
        <w:fldChar w:fldCharType="separate"/>
      </w:r>
      <w:r>
        <w:t>8</w:t>
      </w:r>
      <w:r>
        <w:fldChar w:fldCharType="end"/>
      </w:r>
    </w:p>
    <w:p w14:paraId="5EF8D243" w14:textId="1C4B57F4" w:rsidR="004C4932" w:rsidRDefault="004C4932">
      <w:pPr>
        <w:pStyle w:val="TOC2"/>
        <w:rPr>
          <w:rFonts w:asciiTheme="minorHAnsi" w:eastAsiaTheme="minorEastAsia" w:hAnsiTheme="minorHAnsi" w:cstheme="minorBidi"/>
          <w:spacing w:val="0"/>
          <w:sz w:val="22"/>
          <w:szCs w:val="22"/>
        </w:rPr>
      </w:pPr>
      <w:r>
        <w:t>A generic hierarchical or tiered access model</w:t>
      </w:r>
      <w:r>
        <w:tab/>
      </w:r>
      <w:r>
        <w:fldChar w:fldCharType="begin"/>
      </w:r>
      <w:r>
        <w:instrText xml:space="preserve"> PAGEREF _Toc16054642 \h </w:instrText>
      </w:r>
      <w:r>
        <w:fldChar w:fldCharType="separate"/>
      </w:r>
      <w:r>
        <w:t>9</w:t>
      </w:r>
      <w:r>
        <w:fldChar w:fldCharType="end"/>
      </w:r>
    </w:p>
    <w:p w14:paraId="0AA74543" w14:textId="3E4B4569" w:rsidR="004C4932" w:rsidRDefault="004C4932">
      <w:pPr>
        <w:pStyle w:val="TOC3"/>
        <w:rPr>
          <w:rFonts w:asciiTheme="minorHAnsi" w:eastAsiaTheme="minorEastAsia" w:hAnsiTheme="minorHAnsi" w:cstheme="minorBidi"/>
        </w:rPr>
      </w:pPr>
      <w:r>
        <w:t>Pre-emption model</w:t>
      </w:r>
      <w:r>
        <w:tab/>
      </w:r>
      <w:r>
        <w:fldChar w:fldCharType="begin"/>
      </w:r>
      <w:r>
        <w:instrText xml:space="preserve"> PAGEREF _Toc16054643 \h </w:instrText>
      </w:r>
      <w:r>
        <w:fldChar w:fldCharType="separate"/>
      </w:r>
      <w:r>
        <w:t>11</w:t>
      </w:r>
      <w:r>
        <w:fldChar w:fldCharType="end"/>
      </w:r>
    </w:p>
    <w:p w14:paraId="4E18C48D" w14:textId="51A13389" w:rsidR="004C4932" w:rsidRDefault="004C4932">
      <w:pPr>
        <w:pStyle w:val="TOC2"/>
        <w:rPr>
          <w:rFonts w:asciiTheme="minorHAnsi" w:eastAsiaTheme="minorEastAsia" w:hAnsiTheme="minorHAnsi" w:cstheme="minorBidi"/>
          <w:spacing w:val="0"/>
          <w:sz w:val="22"/>
          <w:szCs w:val="22"/>
        </w:rPr>
      </w:pPr>
      <w:r>
        <w:t>Spectrum sensing</w:t>
      </w:r>
      <w:r>
        <w:tab/>
      </w:r>
      <w:r>
        <w:fldChar w:fldCharType="begin"/>
      </w:r>
      <w:r>
        <w:instrText xml:space="preserve"> PAGEREF _Toc16054644 \h </w:instrText>
      </w:r>
      <w:r>
        <w:fldChar w:fldCharType="separate"/>
      </w:r>
      <w:r>
        <w:t>12</w:t>
      </w:r>
      <w:r>
        <w:fldChar w:fldCharType="end"/>
      </w:r>
    </w:p>
    <w:p w14:paraId="27392B51" w14:textId="482FF04C" w:rsidR="004C4932" w:rsidRDefault="004C4932">
      <w:pPr>
        <w:pStyle w:val="TOC2"/>
        <w:rPr>
          <w:rFonts w:asciiTheme="minorHAnsi" w:eastAsiaTheme="minorEastAsia" w:hAnsiTheme="minorHAnsi" w:cstheme="minorBidi"/>
          <w:spacing w:val="0"/>
          <w:sz w:val="22"/>
          <w:szCs w:val="22"/>
        </w:rPr>
      </w:pPr>
      <w:r>
        <w:t>Geolocation/database</w:t>
      </w:r>
      <w:r>
        <w:tab/>
      </w:r>
      <w:r>
        <w:fldChar w:fldCharType="begin"/>
      </w:r>
      <w:r>
        <w:instrText xml:space="preserve"> PAGEREF _Toc16054645 \h </w:instrText>
      </w:r>
      <w:r>
        <w:fldChar w:fldCharType="separate"/>
      </w:r>
      <w:r>
        <w:t>12</w:t>
      </w:r>
      <w:r>
        <w:fldChar w:fldCharType="end"/>
      </w:r>
    </w:p>
    <w:p w14:paraId="573F90F3" w14:textId="4F572EE2" w:rsidR="004C4932" w:rsidRDefault="004C4932">
      <w:pPr>
        <w:pStyle w:val="TOC2"/>
        <w:rPr>
          <w:rFonts w:asciiTheme="minorHAnsi" w:eastAsiaTheme="minorEastAsia" w:hAnsiTheme="minorHAnsi" w:cstheme="minorBidi"/>
          <w:spacing w:val="0"/>
          <w:sz w:val="22"/>
          <w:szCs w:val="22"/>
        </w:rPr>
      </w:pPr>
      <w:r>
        <w:t>Decentralised access control</w:t>
      </w:r>
      <w:r>
        <w:tab/>
      </w:r>
      <w:r>
        <w:fldChar w:fldCharType="begin"/>
      </w:r>
      <w:r>
        <w:instrText xml:space="preserve"> PAGEREF _Toc16054646 \h </w:instrText>
      </w:r>
      <w:r>
        <w:fldChar w:fldCharType="separate"/>
      </w:r>
      <w:r>
        <w:t>13</w:t>
      </w:r>
      <w:r>
        <w:fldChar w:fldCharType="end"/>
      </w:r>
    </w:p>
    <w:p w14:paraId="3CA8A1E7" w14:textId="2C142114" w:rsidR="004C4932" w:rsidRDefault="004C4932">
      <w:pPr>
        <w:pStyle w:val="TOC3"/>
        <w:rPr>
          <w:rFonts w:asciiTheme="minorHAnsi" w:eastAsiaTheme="minorEastAsia" w:hAnsiTheme="minorHAnsi" w:cstheme="minorBidi"/>
        </w:rPr>
      </w:pPr>
      <w:r>
        <w:t>Example of a decentralised DSA architecture: Application of blockchains</w:t>
      </w:r>
      <w:r>
        <w:tab/>
      </w:r>
      <w:r>
        <w:fldChar w:fldCharType="begin"/>
      </w:r>
      <w:r>
        <w:instrText xml:space="preserve"> PAGEREF _Toc16054647 \h </w:instrText>
      </w:r>
      <w:r>
        <w:fldChar w:fldCharType="separate"/>
      </w:r>
      <w:r>
        <w:t>14</w:t>
      </w:r>
      <w:r>
        <w:fldChar w:fldCharType="end"/>
      </w:r>
    </w:p>
    <w:p w14:paraId="2C57FCC7" w14:textId="49A8EAEF" w:rsidR="004C4932" w:rsidRDefault="004C4932">
      <w:pPr>
        <w:pStyle w:val="TOC2"/>
        <w:rPr>
          <w:rFonts w:asciiTheme="minorHAnsi" w:eastAsiaTheme="minorEastAsia" w:hAnsiTheme="minorHAnsi" w:cstheme="minorBidi"/>
          <w:spacing w:val="0"/>
          <w:sz w:val="22"/>
          <w:szCs w:val="22"/>
        </w:rPr>
      </w:pPr>
      <w:r>
        <w:t>Regulatory considerations</w:t>
      </w:r>
      <w:r>
        <w:tab/>
      </w:r>
      <w:r>
        <w:fldChar w:fldCharType="begin"/>
      </w:r>
      <w:r>
        <w:instrText xml:space="preserve"> PAGEREF _Toc16054648 \h </w:instrText>
      </w:r>
      <w:r>
        <w:fldChar w:fldCharType="separate"/>
      </w:r>
      <w:r>
        <w:t>14</w:t>
      </w:r>
      <w:r>
        <w:fldChar w:fldCharType="end"/>
      </w:r>
    </w:p>
    <w:p w14:paraId="46891A4F" w14:textId="049346C4" w:rsidR="004C4932" w:rsidRDefault="004C4932">
      <w:pPr>
        <w:pStyle w:val="TOC1"/>
        <w:rPr>
          <w:rFonts w:asciiTheme="minorHAnsi" w:eastAsiaTheme="minorEastAsia" w:hAnsiTheme="minorHAnsi" w:cstheme="minorBidi"/>
          <w:b w:val="0"/>
          <w:spacing w:val="0"/>
          <w:sz w:val="22"/>
          <w:szCs w:val="22"/>
        </w:rPr>
      </w:pPr>
      <w:r>
        <w:t>International developments</w:t>
      </w:r>
      <w:r>
        <w:tab/>
      </w:r>
      <w:r>
        <w:fldChar w:fldCharType="begin"/>
      </w:r>
      <w:r>
        <w:instrText xml:space="preserve"> PAGEREF _Toc16054649 \h </w:instrText>
      </w:r>
      <w:r>
        <w:fldChar w:fldCharType="separate"/>
      </w:r>
      <w:r>
        <w:t>16</w:t>
      </w:r>
      <w:r>
        <w:fldChar w:fldCharType="end"/>
      </w:r>
    </w:p>
    <w:p w14:paraId="14C33580" w14:textId="024615EC" w:rsidR="004C4932" w:rsidRDefault="004C4932">
      <w:pPr>
        <w:pStyle w:val="TOC2"/>
        <w:rPr>
          <w:rFonts w:asciiTheme="minorHAnsi" w:eastAsiaTheme="minorEastAsia" w:hAnsiTheme="minorHAnsi" w:cstheme="minorBidi"/>
          <w:spacing w:val="0"/>
          <w:sz w:val="22"/>
          <w:szCs w:val="22"/>
        </w:rPr>
      </w:pPr>
      <w:r>
        <w:t>Regional bodies</w:t>
      </w:r>
      <w:r>
        <w:tab/>
      </w:r>
      <w:r>
        <w:fldChar w:fldCharType="begin"/>
      </w:r>
      <w:r>
        <w:instrText xml:space="preserve"> PAGEREF _Toc16054650 \h </w:instrText>
      </w:r>
      <w:r>
        <w:fldChar w:fldCharType="separate"/>
      </w:r>
      <w:r>
        <w:t>16</w:t>
      </w:r>
      <w:r>
        <w:fldChar w:fldCharType="end"/>
      </w:r>
    </w:p>
    <w:p w14:paraId="1FE81916" w14:textId="620DBD58" w:rsidR="004C4932" w:rsidRDefault="004C4932">
      <w:pPr>
        <w:pStyle w:val="TOC3"/>
        <w:rPr>
          <w:rFonts w:asciiTheme="minorHAnsi" w:eastAsiaTheme="minorEastAsia" w:hAnsiTheme="minorHAnsi" w:cstheme="minorBidi"/>
        </w:rPr>
      </w:pPr>
      <w:r>
        <w:t>European Conference of Postal and Telecommunications Administrations (CEPT)</w:t>
      </w:r>
      <w:r>
        <w:tab/>
      </w:r>
      <w:r>
        <w:fldChar w:fldCharType="begin"/>
      </w:r>
      <w:r>
        <w:instrText xml:space="preserve"> PAGEREF _Toc16054651 \h </w:instrText>
      </w:r>
      <w:r>
        <w:fldChar w:fldCharType="separate"/>
      </w:r>
      <w:r>
        <w:t>16</w:t>
      </w:r>
      <w:r>
        <w:fldChar w:fldCharType="end"/>
      </w:r>
    </w:p>
    <w:p w14:paraId="26173391" w14:textId="40B35DEA" w:rsidR="004C4932" w:rsidRDefault="004C4932">
      <w:pPr>
        <w:pStyle w:val="TOC3"/>
        <w:rPr>
          <w:rFonts w:asciiTheme="minorHAnsi" w:eastAsiaTheme="minorEastAsia" w:hAnsiTheme="minorHAnsi" w:cstheme="minorBidi"/>
        </w:rPr>
      </w:pPr>
      <w:r>
        <w:t>Asia-Pacific Telecommunity (APT)</w:t>
      </w:r>
      <w:r>
        <w:tab/>
      </w:r>
      <w:r>
        <w:fldChar w:fldCharType="begin"/>
      </w:r>
      <w:r>
        <w:instrText xml:space="preserve"> PAGEREF _Toc16054652 \h </w:instrText>
      </w:r>
      <w:r>
        <w:fldChar w:fldCharType="separate"/>
      </w:r>
      <w:r>
        <w:t>17</w:t>
      </w:r>
      <w:r>
        <w:fldChar w:fldCharType="end"/>
      </w:r>
    </w:p>
    <w:p w14:paraId="6321FB98" w14:textId="3626EB9A" w:rsidR="004C4932" w:rsidRDefault="004C4932">
      <w:pPr>
        <w:pStyle w:val="TOC2"/>
        <w:rPr>
          <w:rFonts w:asciiTheme="minorHAnsi" w:eastAsiaTheme="minorEastAsia" w:hAnsiTheme="minorHAnsi" w:cstheme="minorBidi"/>
          <w:spacing w:val="0"/>
          <w:sz w:val="22"/>
          <w:szCs w:val="22"/>
        </w:rPr>
      </w:pPr>
      <w:r>
        <w:t>National initiatives</w:t>
      </w:r>
      <w:r>
        <w:tab/>
      </w:r>
      <w:r>
        <w:fldChar w:fldCharType="begin"/>
      </w:r>
      <w:r>
        <w:instrText xml:space="preserve"> PAGEREF _Toc16054653 \h </w:instrText>
      </w:r>
      <w:r>
        <w:fldChar w:fldCharType="separate"/>
      </w:r>
      <w:r>
        <w:t>18</w:t>
      </w:r>
      <w:r>
        <w:fldChar w:fldCharType="end"/>
      </w:r>
    </w:p>
    <w:p w14:paraId="29BDDFB8" w14:textId="1BB81C5A" w:rsidR="004C4932" w:rsidRDefault="004C4932">
      <w:pPr>
        <w:pStyle w:val="TOC3"/>
        <w:rPr>
          <w:rFonts w:asciiTheme="minorHAnsi" w:eastAsiaTheme="minorEastAsia" w:hAnsiTheme="minorHAnsi" w:cstheme="minorBidi"/>
        </w:rPr>
      </w:pPr>
      <w:r>
        <w:t>Spain</w:t>
      </w:r>
      <w:r>
        <w:tab/>
      </w:r>
      <w:r>
        <w:fldChar w:fldCharType="begin"/>
      </w:r>
      <w:r>
        <w:instrText xml:space="preserve"> PAGEREF _Toc16054654 \h </w:instrText>
      </w:r>
      <w:r>
        <w:fldChar w:fldCharType="separate"/>
      </w:r>
      <w:r>
        <w:t>18</w:t>
      </w:r>
      <w:r>
        <w:fldChar w:fldCharType="end"/>
      </w:r>
    </w:p>
    <w:p w14:paraId="743C6617" w14:textId="60F8CDBF" w:rsidR="004C4932" w:rsidRDefault="004C4932">
      <w:pPr>
        <w:pStyle w:val="TOC3"/>
        <w:rPr>
          <w:rFonts w:asciiTheme="minorHAnsi" w:eastAsiaTheme="minorEastAsia" w:hAnsiTheme="minorHAnsi" w:cstheme="minorBidi"/>
        </w:rPr>
      </w:pPr>
      <w:r>
        <w:t>France</w:t>
      </w:r>
      <w:r>
        <w:tab/>
      </w:r>
      <w:r>
        <w:fldChar w:fldCharType="begin"/>
      </w:r>
      <w:r>
        <w:instrText xml:space="preserve"> PAGEREF _Toc16054655 \h </w:instrText>
      </w:r>
      <w:r>
        <w:fldChar w:fldCharType="separate"/>
      </w:r>
      <w:r>
        <w:t>18</w:t>
      </w:r>
      <w:r>
        <w:fldChar w:fldCharType="end"/>
      </w:r>
    </w:p>
    <w:p w14:paraId="4C256ECD" w14:textId="514835FA" w:rsidR="004C4932" w:rsidRDefault="004C4932">
      <w:pPr>
        <w:pStyle w:val="TOC3"/>
        <w:rPr>
          <w:rFonts w:asciiTheme="minorHAnsi" w:eastAsiaTheme="minorEastAsia" w:hAnsiTheme="minorHAnsi" w:cstheme="minorBidi"/>
        </w:rPr>
      </w:pPr>
      <w:r>
        <w:t>Italy</w:t>
      </w:r>
      <w:bookmarkStart w:id="0" w:name="_GoBack"/>
      <w:bookmarkEnd w:id="0"/>
      <w:r>
        <w:tab/>
      </w:r>
      <w:r>
        <w:fldChar w:fldCharType="begin"/>
      </w:r>
      <w:r>
        <w:instrText xml:space="preserve"> PAGEREF _Toc16054656 \h </w:instrText>
      </w:r>
      <w:r>
        <w:fldChar w:fldCharType="separate"/>
      </w:r>
      <w:r>
        <w:t>18</w:t>
      </w:r>
      <w:r>
        <w:fldChar w:fldCharType="end"/>
      </w:r>
    </w:p>
    <w:p w14:paraId="53187E6C" w14:textId="58A8D853" w:rsidR="004C4932" w:rsidRDefault="004C4932">
      <w:pPr>
        <w:pStyle w:val="TOC3"/>
        <w:rPr>
          <w:rFonts w:asciiTheme="minorHAnsi" w:eastAsiaTheme="minorEastAsia" w:hAnsiTheme="minorHAnsi" w:cstheme="minorBidi"/>
        </w:rPr>
      </w:pPr>
      <w:r>
        <w:t>United Kingdom</w:t>
      </w:r>
      <w:r>
        <w:tab/>
      </w:r>
      <w:r>
        <w:fldChar w:fldCharType="begin"/>
      </w:r>
      <w:r>
        <w:instrText xml:space="preserve"> PAGEREF _Toc16054657 \h </w:instrText>
      </w:r>
      <w:r>
        <w:fldChar w:fldCharType="separate"/>
      </w:r>
      <w:r>
        <w:t>19</w:t>
      </w:r>
      <w:r>
        <w:fldChar w:fldCharType="end"/>
      </w:r>
    </w:p>
    <w:p w14:paraId="6DB6C7CE" w14:textId="303AA218" w:rsidR="004C4932" w:rsidRDefault="004C4932">
      <w:pPr>
        <w:pStyle w:val="TOC3"/>
        <w:rPr>
          <w:rFonts w:asciiTheme="minorHAnsi" w:eastAsiaTheme="minorEastAsia" w:hAnsiTheme="minorHAnsi" w:cstheme="minorBidi"/>
        </w:rPr>
      </w:pPr>
      <w:r>
        <w:t>United States</w:t>
      </w:r>
      <w:r>
        <w:tab/>
      </w:r>
      <w:r>
        <w:fldChar w:fldCharType="begin"/>
      </w:r>
      <w:r>
        <w:instrText xml:space="preserve"> PAGEREF _Toc16054658 \h </w:instrText>
      </w:r>
      <w:r>
        <w:fldChar w:fldCharType="separate"/>
      </w:r>
      <w:r>
        <w:t>19</w:t>
      </w:r>
      <w:r>
        <w:fldChar w:fldCharType="end"/>
      </w:r>
    </w:p>
    <w:p w14:paraId="181C0A1F" w14:textId="3C3BC901" w:rsidR="004C4932" w:rsidRDefault="004C4932">
      <w:pPr>
        <w:pStyle w:val="TOC1"/>
        <w:rPr>
          <w:rFonts w:asciiTheme="minorHAnsi" w:eastAsiaTheme="minorEastAsia" w:hAnsiTheme="minorHAnsi" w:cstheme="minorBidi"/>
          <w:b w:val="0"/>
          <w:spacing w:val="0"/>
          <w:sz w:val="22"/>
          <w:szCs w:val="22"/>
        </w:rPr>
      </w:pPr>
      <w:r>
        <w:t>Domestic considerations</w:t>
      </w:r>
      <w:r>
        <w:tab/>
      </w:r>
      <w:r>
        <w:fldChar w:fldCharType="begin"/>
      </w:r>
      <w:r>
        <w:instrText xml:space="preserve"> PAGEREF _Toc16054659 \h </w:instrText>
      </w:r>
      <w:r>
        <w:fldChar w:fldCharType="separate"/>
      </w:r>
      <w:r>
        <w:t>21</w:t>
      </w:r>
      <w:r>
        <w:fldChar w:fldCharType="end"/>
      </w:r>
    </w:p>
    <w:p w14:paraId="06BD0A7A" w14:textId="13C639F3" w:rsidR="004C4932" w:rsidRDefault="004C4932">
      <w:pPr>
        <w:pStyle w:val="TOC1"/>
        <w:rPr>
          <w:rFonts w:asciiTheme="minorHAnsi" w:eastAsiaTheme="minorEastAsia" w:hAnsiTheme="minorHAnsi" w:cstheme="minorBidi"/>
          <w:b w:val="0"/>
          <w:spacing w:val="0"/>
          <w:sz w:val="22"/>
          <w:szCs w:val="22"/>
        </w:rPr>
      </w:pPr>
      <w:r>
        <w:lastRenderedPageBreak/>
        <w:t>Conclusion</w:t>
      </w:r>
      <w:r>
        <w:tab/>
      </w:r>
      <w:r>
        <w:fldChar w:fldCharType="begin"/>
      </w:r>
      <w:r>
        <w:instrText xml:space="preserve"> PAGEREF _Toc16054660 \h </w:instrText>
      </w:r>
      <w:r>
        <w:fldChar w:fldCharType="separate"/>
      </w:r>
      <w:r>
        <w:t>23</w:t>
      </w:r>
      <w:r>
        <w:fldChar w:fldCharType="end"/>
      </w:r>
    </w:p>
    <w:p w14:paraId="1D479B2D" w14:textId="67BBF69C" w:rsidR="004C4932" w:rsidRDefault="004C4932">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_Toc16054661 \h </w:instrText>
      </w:r>
      <w:r>
        <w:fldChar w:fldCharType="separate"/>
      </w:r>
      <w:r>
        <w:t>24</w:t>
      </w:r>
      <w:r>
        <w:fldChar w:fldCharType="end"/>
      </w:r>
    </w:p>
    <w:p w14:paraId="5F18D14E" w14:textId="5322EDB5" w:rsidR="004C4932" w:rsidRDefault="004C4932">
      <w:pPr>
        <w:pStyle w:val="TOC2"/>
        <w:rPr>
          <w:rFonts w:asciiTheme="minorHAnsi" w:eastAsiaTheme="minorEastAsia" w:hAnsiTheme="minorHAnsi" w:cstheme="minorBidi"/>
          <w:spacing w:val="0"/>
          <w:sz w:val="22"/>
          <w:szCs w:val="22"/>
        </w:rPr>
      </w:pPr>
      <w:r>
        <w:t>Making a submission</w:t>
      </w:r>
      <w:r>
        <w:tab/>
      </w:r>
      <w:r>
        <w:fldChar w:fldCharType="begin"/>
      </w:r>
      <w:r>
        <w:instrText xml:space="preserve"> PAGEREF _Toc16054662 \h </w:instrText>
      </w:r>
      <w:r>
        <w:fldChar w:fldCharType="separate"/>
      </w:r>
      <w:r>
        <w:t>24</w:t>
      </w:r>
      <w:r>
        <w:fldChar w:fldCharType="end"/>
      </w:r>
    </w:p>
    <w:p w14:paraId="697B4E0B" w14:textId="2C588B84" w:rsidR="004D56FF" w:rsidRPr="000D76E0" w:rsidRDefault="007A6CC0" w:rsidP="000D7782">
      <w:pPr>
        <w:spacing w:before="120" w:after="120" w:line="240" w:lineRule="auto"/>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3A6DE7D2" w14:textId="0B5F28AB" w:rsidR="009D6C71" w:rsidRPr="009174F3" w:rsidRDefault="009D6C71" w:rsidP="00091E83">
      <w:pPr>
        <w:pStyle w:val="ACMAExecSummaryHeading"/>
      </w:pPr>
      <w:bookmarkStart w:id="1" w:name="_Toc863364"/>
      <w:bookmarkStart w:id="2" w:name="_Toc16054632"/>
      <w:r w:rsidRPr="009174F3">
        <w:lastRenderedPageBreak/>
        <w:t>Executive summary</w:t>
      </w:r>
      <w:bookmarkEnd w:id="1"/>
      <w:bookmarkEnd w:id="2"/>
      <w:r w:rsidR="007E7683" w:rsidRPr="009174F3">
        <w:t xml:space="preserve"> </w:t>
      </w:r>
    </w:p>
    <w:p w14:paraId="3DC85249" w14:textId="49A339C4" w:rsidR="00862DE9" w:rsidRDefault="00862DE9" w:rsidP="000D7782">
      <w:pPr>
        <w:spacing w:before="120" w:after="120" w:line="240" w:lineRule="auto"/>
      </w:pPr>
      <w:bookmarkStart w:id="3" w:name="_Toc433122125"/>
      <w:r w:rsidRPr="005E1951">
        <w:t xml:space="preserve">Spectrum </w:t>
      </w:r>
      <w:r w:rsidRPr="00D4254E">
        <w:t>sharing</w:t>
      </w:r>
      <w:r w:rsidRPr="005E1951">
        <w:rPr>
          <w:rStyle w:val="FootnoteReference"/>
          <w:rFonts w:cs="Arial"/>
        </w:rPr>
        <w:footnoteReference w:id="2"/>
      </w:r>
      <w:r w:rsidRPr="005E1951">
        <w:t xml:space="preserve"> is a fundamental component of effective spectrum management</w:t>
      </w:r>
      <w:r w:rsidR="008323CE">
        <w:t xml:space="preserve"> and is a</w:t>
      </w:r>
      <w:r w:rsidR="008B77DA">
        <w:t xml:space="preserve"> </w:t>
      </w:r>
      <w:r w:rsidR="007869CA">
        <w:t>key tool</w:t>
      </w:r>
      <w:r w:rsidRPr="005E1951">
        <w:t xml:space="preserve"> in maximising the benefits derived from the use of the spectrum resource. The ACMA, like many national spectrum managers, consistently implements the sharing of spectrum to maximise the overall public benefit.  </w:t>
      </w:r>
    </w:p>
    <w:p w14:paraId="67BF0B8F" w14:textId="187F3D81" w:rsidR="003D3510" w:rsidRDefault="00063521" w:rsidP="000D7782">
      <w:pPr>
        <w:spacing w:before="120" w:after="120" w:line="240" w:lineRule="auto"/>
      </w:pPr>
      <w:r>
        <w:t>Spectrum sharing can take different forms</w:t>
      </w:r>
      <w:r w:rsidR="008661F3">
        <w:t xml:space="preserve"> and in its most basic forms </w:t>
      </w:r>
      <w:r w:rsidR="00C76A42">
        <w:t>has been</w:t>
      </w:r>
      <w:r w:rsidR="008661F3">
        <w:t xml:space="preserve"> commonplace in day-to-day spectrum management</w:t>
      </w:r>
      <w:r w:rsidR="00C76A42">
        <w:t xml:space="preserve"> for </w:t>
      </w:r>
      <w:r w:rsidR="00F23B38">
        <w:t>many years</w:t>
      </w:r>
      <w:r>
        <w:t>. There are</w:t>
      </w:r>
      <w:r w:rsidR="003D3510">
        <w:t>,</w:t>
      </w:r>
      <w:r w:rsidR="008661F3">
        <w:t xml:space="preserve"> however, a range of emerging</w:t>
      </w:r>
      <w:r w:rsidR="003D3510">
        <w:t xml:space="preserve"> </w:t>
      </w:r>
      <w:r w:rsidR="008661F3">
        <w:t>techniques</w:t>
      </w:r>
      <w:r w:rsidR="003D3510" w:rsidRPr="005E1951">
        <w:t xml:space="preserve"> and technologies </w:t>
      </w:r>
      <w:r>
        <w:t xml:space="preserve">that </w:t>
      </w:r>
      <w:r w:rsidR="003D3510" w:rsidRPr="005E1951">
        <w:t xml:space="preserve">are triggering an interest in </w:t>
      </w:r>
      <w:r w:rsidR="008661F3">
        <w:t xml:space="preserve">potential </w:t>
      </w:r>
      <w:r w:rsidR="003D3510" w:rsidRPr="005E1951">
        <w:t xml:space="preserve">new </w:t>
      </w:r>
      <w:r w:rsidR="008661F3">
        <w:t xml:space="preserve">regulatory </w:t>
      </w:r>
      <w:r w:rsidR="003D3510">
        <w:t xml:space="preserve">approaches to </w:t>
      </w:r>
      <w:r w:rsidR="003D3510" w:rsidRPr="005E1951">
        <w:t>spectrum sharing.</w:t>
      </w:r>
      <w:r w:rsidR="003D3510">
        <w:t xml:space="preserve"> </w:t>
      </w:r>
    </w:p>
    <w:p w14:paraId="25632561" w14:textId="38BF4D43" w:rsidR="009129B5" w:rsidRDefault="009129B5" w:rsidP="000D7782">
      <w:pPr>
        <w:spacing w:before="120" w:after="120" w:line="240" w:lineRule="auto"/>
        <w:rPr>
          <w:rFonts w:eastAsia="Malgun Gothic"/>
          <w:color w:val="000000" w:themeColor="text1"/>
          <w:szCs w:val="20"/>
          <w:lang w:val="en-GB"/>
        </w:rPr>
      </w:pPr>
      <w:r w:rsidRPr="00FD2CD1">
        <w:rPr>
          <w:rFonts w:eastAsia="Malgun Gothic"/>
          <w:color w:val="000000" w:themeColor="text1"/>
          <w:szCs w:val="20"/>
          <w:lang w:val="en-GB"/>
        </w:rPr>
        <w:t xml:space="preserve">The purpose of this paper is to </w:t>
      </w:r>
      <w:r w:rsidR="003D3510">
        <w:rPr>
          <w:rFonts w:eastAsia="Malgun Gothic"/>
          <w:color w:val="000000" w:themeColor="text1"/>
          <w:szCs w:val="20"/>
          <w:lang w:val="en-GB"/>
        </w:rPr>
        <w:t>provide an overview of spectrum sharing</w:t>
      </w:r>
      <w:r w:rsidR="00063521">
        <w:rPr>
          <w:rFonts w:eastAsia="Malgun Gothic"/>
          <w:color w:val="000000" w:themeColor="text1"/>
          <w:szCs w:val="20"/>
          <w:lang w:val="en-GB"/>
        </w:rPr>
        <w:t xml:space="preserve"> concepts</w:t>
      </w:r>
      <w:r w:rsidR="008661F3">
        <w:rPr>
          <w:rFonts w:eastAsia="Malgun Gothic"/>
          <w:color w:val="000000" w:themeColor="text1"/>
          <w:szCs w:val="20"/>
          <w:lang w:val="en-GB"/>
        </w:rPr>
        <w:t xml:space="preserve"> as they </w:t>
      </w:r>
      <w:r w:rsidR="00BF5CB0">
        <w:rPr>
          <w:rFonts w:eastAsia="Malgun Gothic"/>
          <w:color w:val="000000" w:themeColor="text1"/>
          <w:szCs w:val="20"/>
          <w:lang w:val="en-GB"/>
        </w:rPr>
        <w:t xml:space="preserve">currently exist </w:t>
      </w:r>
      <w:r w:rsidR="008661F3">
        <w:rPr>
          <w:rFonts w:eastAsia="Malgun Gothic"/>
          <w:color w:val="000000" w:themeColor="text1"/>
          <w:szCs w:val="20"/>
          <w:lang w:val="en-GB"/>
        </w:rPr>
        <w:t xml:space="preserve">and </w:t>
      </w:r>
      <w:r w:rsidR="00BF5CB0">
        <w:rPr>
          <w:rFonts w:eastAsia="Malgun Gothic"/>
          <w:color w:val="000000" w:themeColor="text1"/>
          <w:szCs w:val="20"/>
          <w:lang w:val="en-GB"/>
        </w:rPr>
        <w:t xml:space="preserve">outline new approaches to spectrum sharing arrangements, including </w:t>
      </w:r>
      <w:r w:rsidR="00E65AB5">
        <w:rPr>
          <w:rFonts w:eastAsia="Malgun Gothic"/>
          <w:color w:val="000000" w:themeColor="text1"/>
          <w:szCs w:val="20"/>
          <w:lang w:val="en-GB"/>
        </w:rPr>
        <w:t>examples of sharing arrangements being either introduced or considered internationally</w:t>
      </w:r>
      <w:r w:rsidR="00BF5CB0">
        <w:rPr>
          <w:rFonts w:eastAsia="Malgun Gothic"/>
          <w:color w:val="000000" w:themeColor="text1"/>
          <w:szCs w:val="20"/>
          <w:lang w:val="en-GB"/>
        </w:rPr>
        <w:t>. This is intended to provide a common information base against which new proposals for spectrum sharing can be considered.</w:t>
      </w:r>
    </w:p>
    <w:p w14:paraId="35958C76" w14:textId="77777777" w:rsidR="007869CA" w:rsidRDefault="00E23B72" w:rsidP="00091E83">
      <w:pPr>
        <w:pStyle w:val="Heading2"/>
        <w:rPr>
          <w:rFonts w:eastAsia="Malgun Gothic"/>
          <w:lang w:val="en-GB"/>
        </w:rPr>
      </w:pPr>
      <w:bookmarkStart w:id="4" w:name="_Toc16054633"/>
      <w:r>
        <w:rPr>
          <w:rFonts w:eastAsia="Malgun Gothic"/>
          <w:lang w:val="en-GB"/>
        </w:rPr>
        <w:t xml:space="preserve">Traditional </w:t>
      </w:r>
      <w:r w:rsidRPr="00091E83">
        <w:rPr>
          <w:rFonts w:eastAsia="Malgun Gothic"/>
        </w:rPr>
        <w:t>approaches</w:t>
      </w:r>
      <w:r>
        <w:rPr>
          <w:rFonts w:eastAsia="Malgun Gothic"/>
          <w:lang w:val="en-GB"/>
        </w:rPr>
        <w:t xml:space="preserve"> to sharing</w:t>
      </w:r>
      <w:bookmarkEnd w:id="4"/>
    </w:p>
    <w:p w14:paraId="5E893619" w14:textId="3BBAD930" w:rsidR="00063521" w:rsidRDefault="000F6125" w:rsidP="00091E83">
      <w:pPr>
        <w:tabs>
          <w:tab w:val="left" w:pos="794"/>
          <w:tab w:val="left" w:pos="1191"/>
          <w:tab w:val="left" w:pos="1588"/>
          <w:tab w:val="left" w:pos="1985"/>
        </w:tabs>
        <w:overflowPunct w:val="0"/>
        <w:autoSpaceDE w:val="0"/>
        <w:autoSpaceDN w:val="0"/>
        <w:adjustRightInd w:val="0"/>
        <w:spacing w:before="120" w:after="80" w:line="240" w:lineRule="auto"/>
        <w:textAlignment w:val="baseline"/>
        <w:rPr>
          <w:rFonts w:eastAsia="Malgun Gothic" w:cs="Arial"/>
          <w:color w:val="000000" w:themeColor="text1"/>
          <w:szCs w:val="20"/>
          <w:lang w:val="en-GB"/>
        </w:rPr>
      </w:pPr>
      <w:r>
        <w:rPr>
          <w:rFonts w:eastAsia="Malgun Gothic" w:cs="Arial"/>
          <w:color w:val="000000" w:themeColor="text1"/>
          <w:szCs w:val="20"/>
          <w:lang w:val="en-GB"/>
        </w:rPr>
        <w:t xml:space="preserve">All access to spectrum is on a shared basis in some </w:t>
      </w:r>
      <w:r w:rsidR="00BF5CB0">
        <w:rPr>
          <w:rFonts w:eastAsia="Malgun Gothic" w:cs="Arial"/>
          <w:color w:val="000000" w:themeColor="text1"/>
          <w:szCs w:val="20"/>
          <w:lang w:val="en-GB"/>
        </w:rPr>
        <w:t>form</w:t>
      </w:r>
      <w:r>
        <w:rPr>
          <w:rFonts w:eastAsia="Malgun Gothic" w:cs="Arial"/>
          <w:color w:val="000000" w:themeColor="text1"/>
          <w:szCs w:val="20"/>
          <w:lang w:val="en-GB"/>
        </w:rPr>
        <w:t>. V</w:t>
      </w:r>
      <w:r w:rsidR="009129B5" w:rsidRPr="00FD2CD1">
        <w:rPr>
          <w:rFonts w:eastAsia="Malgun Gothic" w:cs="Arial"/>
          <w:color w:val="000000" w:themeColor="text1"/>
          <w:szCs w:val="20"/>
          <w:lang w:val="en-GB"/>
        </w:rPr>
        <w:t xml:space="preserve">arious combinations of domestic and international </w:t>
      </w:r>
      <w:r w:rsidR="00231A71">
        <w:rPr>
          <w:rFonts w:eastAsia="Malgun Gothic" w:cs="Arial"/>
          <w:color w:val="000000" w:themeColor="text1"/>
          <w:szCs w:val="20"/>
          <w:lang w:val="en-GB"/>
        </w:rPr>
        <w:t xml:space="preserve">planning </w:t>
      </w:r>
      <w:r w:rsidR="009129B5" w:rsidRPr="00FD2CD1">
        <w:rPr>
          <w:rFonts w:eastAsia="Malgun Gothic" w:cs="Arial"/>
          <w:color w:val="000000" w:themeColor="text1"/>
          <w:szCs w:val="20"/>
          <w:lang w:val="en-GB"/>
        </w:rPr>
        <w:t>frameworks, administrative and legislative regulatory tools and technology itself pave the way for shared access to spectrum</w:t>
      </w:r>
      <w:r>
        <w:rPr>
          <w:rFonts w:eastAsia="Malgun Gothic" w:cs="Arial"/>
          <w:color w:val="000000" w:themeColor="text1"/>
          <w:szCs w:val="20"/>
          <w:lang w:val="en-GB"/>
        </w:rPr>
        <w:t xml:space="preserve"> on a day-to-day basis. This is what we call ‘traditional’ sharing, which in general takes the form of either</w:t>
      </w:r>
      <w:r w:rsidR="00C62EA4">
        <w:rPr>
          <w:rFonts w:eastAsia="Malgun Gothic" w:cs="Arial"/>
          <w:color w:val="000000" w:themeColor="text1"/>
          <w:szCs w:val="20"/>
          <w:lang w:val="en-GB"/>
        </w:rPr>
        <w:t>:</w:t>
      </w:r>
    </w:p>
    <w:p w14:paraId="3A4A1B71" w14:textId="152B06CD" w:rsidR="00063521" w:rsidRDefault="009129B5" w:rsidP="00091E83">
      <w:pPr>
        <w:pStyle w:val="ListBullet"/>
        <w:rPr>
          <w:rFonts w:eastAsia="Malgun Gothic"/>
          <w:lang w:val="en-GB"/>
        </w:rPr>
      </w:pPr>
      <w:r w:rsidRPr="00091E83">
        <w:rPr>
          <w:rFonts w:eastAsia="Malgun Gothic"/>
          <w:iCs/>
          <w:lang w:val="en-GB"/>
        </w:rPr>
        <w:t>uncoordinated</w:t>
      </w:r>
      <w:r w:rsidRPr="00A41D2C">
        <w:rPr>
          <w:rFonts w:eastAsia="Malgun Gothic"/>
          <w:iCs/>
          <w:lang w:val="en-GB"/>
        </w:rPr>
        <w:t xml:space="preserve"> access</w:t>
      </w:r>
      <w:r w:rsidR="00901623">
        <w:rPr>
          <w:rFonts w:eastAsia="Malgun Gothic"/>
          <w:lang w:val="en-GB"/>
        </w:rPr>
        <w:t>—</w:t>
      </w:r>
      <w:r w:rsidRPr="00FD2CD1">
        <w:rPr>
          <w:rFonts w:eastAsia="Malgun Gothic"/>
          <w:lang w:val="en-GB"/>
        </w:rPr>
        <w:t>for example</w:t>
      </w:r>
      <w:r w:rsidR="00A30AF2">
        <w:rPr>
          <w:rFonts w:eastAsia="Malgun Gothic"/>
          <w:lang w:val="en-GB"/>
        </w:rPr>
        <w:t>,</w:t>
      </w:r>
      <w:r w:rsidRPr="00FD2CD1">
        <w:rPr>
          <w:rFonts w:eastAsia="Malgun Gothic"/>
          <w:lang w:val="en-GB"/>
        </w:rPr>
        <w:t xml:space="preserve"> class-licen</w:t>
      </w:r>
      <w:r w:rsidR="003D3510">
        <w:rPr>
          <w:rFonts w:eastAsia="Malgun Gothic"/>
          <w:lang w:val="en-GB"/>
        </w:rPr>
        <w:t>s</w:t>
      </w:r>
      <w:r w:rsidRPr="00FD2CD1">
        <w:rPr>
          <w:rFonts w:eastAsia="Malgun Gothic"/>
          <w:lang w:val="en-GB"/>
        </w:rPr>
        <w:t xml:space="preserve">ed access to </w:t>
      </w:r>
      <w:r w:rsidR="000F6125">
        <w:rPr>
          <w:rFonts w:eastAsia="Malgun Gothic"/>
          <w:lang w:val="en-GB"/>
        </w:rPr>
        <w:t>i</w:t>
      </w:r>
      <w:r w:rsidR="000F6125" w:rsidRPr="00FD2CD1">
        <w:rPr>
          <w:rFonts w:eastAsia="Malgun Gothic"/>
          <w:lang w:val="en-GB"/>
        </w:rPr>
        <w:t>ndustrial</w:t>
      </w:r>
      <w:r w:rsidRPr="00FD2CD1">
        <w:rPr>
          <w:rFonts w:eastAsia="Malgun Gothic"/>
          <w:lang w:val="en-GB"/>
        </w:rPr>
        <w:t xml:space="preserve">, </w:t>
      </w:r>
      <w:r w:rsidR="000F6125">
        <w:rPr>
          <w:rFonts w:eastAsia="Malgun Gothic"/>
          <w:lang w:val="en-GB"/>
        </w:rPr>
        <w:t>s</w:t>
      </w:r>
      <w:r w:rsidR="000F6125" w:rsidRPr="00FD2CD1">
        <w:rPr>
          <w:rFonts w:eastAsia="Malgun Gothic"/>
          <w:lang w:val="en-GB"/>
        </w:rPr>
        <w:t xml:space="preserve">cientific </w:t>
      </w:r>
      <w:r w:rsidRPr="00FD2CD1">
        <w:rPr>
          <w:rFonts w:eastAsia="Malgun Gothic"/>
          <w:lang w:val="en-GB"/>
        </w:rPr>
        <w:t xml:space="preserve">and </w:t>
      </w:r>
      <w:r w:rsidR="000F6125">
        <w:rPr>
          <w:rFonts w:eastAsia="Malgun Gothic"/>
          <w:lang w:val="en-GB"/>
        </w:rPr>
        <w:t>m</w:t>
      </w:r>
      <w:r w:rsidR="000F6125" w:rsidRPr="00FD2CD1">
        <w:rPr>
          <w:rFonts w:eastAsia="Malgun Gothic"/>
          <w:lang w:val="en-GB"/>
        </w:rPr>
        <w:t xml:space="preserve">edical </w:t>
      </w:r>
      <w:r w:rsidRPr="00FD2CD1">
        <w:rPr>
          <w:rFonts w:eastAsia="Malgun Gothic"/>
          <w:lang w:val="en-GB"/>
        </w:rPr>
        <w:t>(ISM) frequency bands (</w:t>
      </w:r>
      <w:r w:rsidR="00BF5CB0">
        <w:rPr>
          <w:rFonts w:eastAsia="Malgun Gothic"/>
          <w:lang w:val="en-GB"/>
        </w:rPr>
        <w:t>such as</w:t>
      </w:r>
      <w:r w:rsidRPr="00FD2CD1">
        <w:rPr>
          <w:rFonts w:eastAsia="Malgun Gothic"/>
          <w:lang w:val="en-GB"/>
        </w:rPr>
        <w:t xml:space="preserve"> Wi</w:t>
      </w:r>
      <w:r w:rsidR="00A41D2C">
        <w:rPr>
          <w:rFonts w:eastAsia="Malgun Gothic"/>
          <w:lang w:val="en-GB"/>
        </w:rPr>
        <w:t>-</w:t>
      </w:r>
      <w:r w:rsidRPr="00FD2CD1">
        <w:rPr>
          <w:rFonts w:eastAsia="Malgun Gothic"/>
          <w:lang w:val="en-GB"/>
        </w:rPr>
        <w:t>Fi, Bluetooth, drone control)</w:t>
      </w:r>
    </w:p>
    <w:p w14:paraId="7DAD47B7" w14:textId="4828AFC9" w:rsidR="001F4385" w:rsidRDefault="009129B5" w:rsidP="00091E83">
      <w:pPr>
        <w:pStyle w:val="ListBulletLast"/>
        <w:rPr>
          <w:rFonts w:eastAsia="Malgun Gothic"/>
          <w:lang w:val="en-GB"/>
        </w:rPr>
      </w:pPr>
      <w:r w:rsidRPr="00091E83">
        <w:rPr>
          <w:rFonts w:eastAsia="Malgun Gothic"/>
          <w:iCs/>
          <w:lang w:val="en-GB"/>
        </w:rPr>
        <w:t xml:space="preserve">coordinated </w:t>
      </w:r>
      <w:r w:rsidRPr="00A41D2C">
        <w:rPr>
          <w:rFonts w:eastAsia="Malgun Gothic"/>
          <w:iCs/>
          <w:lang w:val="en-GB"/>
        </w:rPr>
        <w:t>access</w:t>
      </w:r>
      <w:r w:rsidR="00901623">
        <w:rPr>
          <w:rFonts w:eastAsia="Malgun Gothic"/>
          <w:lang w:val="en-GB"/>
        </w:rPr>
        <w:t>—</w:t>
      </w:r>
      <w:r w:rsidRPr="00FD2CD1">
        <w:rPr>
          <w:rFonts w:eastAsia="Malgun Gothic"/>
          <w:lang w:val="en-GB"/>
        </w:rPr>
        <w:t xml:space="preserve">licensing and assignment frameworks are optimised to accommodate multiple uses/users within a given </w:t>
      </w:r>
      <w:r w:rsidR="009B0AAA">
        <w:rPr>
          <w:rFonts w:eastAsia="Malgun Gothic"/>
          <w:lang w:val="en-GB"/>
        </w:rPr>
        <w:t xml:space="preserve">frequency range, geographic space and/or time period. </w:t>
      </w:r>
    </w:p>
    <w:p w14:paraId="2C2F4D81" w14:textId="07FA5569" w:rsidR="00B767A8" w:rsidRDefault="00F633DD"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Malgun Gothic" w:cs="Arial"/>
          <w:color w:val="000000" w:themeColor="text1"/>
          <w:szCs w:val="20"/>
          <w:lang w:val="en-GB"/>
        </w:rPr>
      </w:pPr>
      <w:r>
        <w:rPr>
          <w:rFonts w:eastAsia="Malgun Gothic" w:cs="Arial"/>
          <w:color w:val="000000" w:themeColor="text1"/>
          <w:szCs w:val="20"/>
          <w:lang w:val="en-GB"/>
        </w:rPr>
        <w:t xml:space="preserve">A key characteristic of </w:t>
      </w:r>
      <w:r w:rsidR="003D3510">
        <w:rPr>
          <w:rFonts w:eastAsia="Malgun Gothic" w:cs="Arial"/>
          <w:color w:val="000000" w:themeColor="text1"/>
          <w:szCs w:val="20"/>
          <w:lang w:val="en-GB"/>
        </w:rPr>
        <w:t xml:space="preserve">most </w:t>
      </w:r>
      <w:r w:rsidR="00087DCC">
        <w:rPr>
          <w:rFonts w:eastAsia="Malgun Gothic" w:cs="Arial"/>
          <w:color w:val="000000" w:themeColor="text1"/>
          <w:szCs w:val="20"/>
          <w:lang w:val="en-GB"/>
        </w:rPr>
        <w:t>traditional</w:t>
      </w:r>
      <w:r>
        <w:rPr>
          <w:rFonts w:eastAsia="Malgun Gothic" w:cs="Arial"/>
          <w:color w:val="000000" w:themeColor="text1"/>
          <w:szCs w:val="20"/>
          <w:lang w:val="en-GB"/>
        </w:rPr>
        <w:t xml:space="preserve"> approaches to </w:t>
      </w:r>
      <w:r w:rsidR="00087DCC">
        <w:rPr>
          <w:rFonts w:eastAsia="Malgun Gothic" w:cs="Arial"/>
          <w:color w:val="000000" w:themeColor="text1"/>
          <w:szCs w:val="20"/>
          <w:lang w:val="en-GB"/>
        </w:rPr>
        <w:t>spectrum</w:t>
      </w:r>
      <w:r>
        <w:rPr>
          <w:rFonts w:eastAsia="Malgun Gothic" w:cs="Arial"/>
          <w:color w:val="000000" w:themeColor="text1"/>
          <w:szCs w:val="20"/>
          <w:lang w:val="en-GB"/>
        </w:rPr>
        <w:t xml:space="preserve"> sharing</w:t>
      </w:r>
      <w:r w:rsidR="003D3510">
        <w:rPr>
          <w:rFonts w:eastAsia="Malgun Gothic" w:cs="Arial"/>
          <w:color w:val="000000" w:themeColor="text1"/>
          <w:szCs w:val="20"/>
          <w:lang w:val="en-GB"/>
        </w:rPr>
        <w:t>, at least coordinated access approaches,</w:t>
      </w:r>
      <w:r>
        <w:rPr>
          <w:rFonts w:eastAsia="Malgun Gothic" w:cs="Arial"/>
          <w:color w:val="000000" w:themeColor="text1"/>
          <w:szCs w:val="20"/>
          <w:lang w:val="en-GB"/>
        </w:rPr>
        <w:t xml:space="preserve"> is that the </w:t>
      </w:r>
      <w:r w:rsidR="00901623">
        <w:rPr>
          <w:rFonts w:eastAsia="Malgun Gothic" w:cs="Arial"/>
          <w:color w:val="000000" w:themeColor="text1"/>
          <w:szCs w:val="20"/>
          <w:lang w:val="en-GB"/>
        </w:rPr>
        <w:t>arrangements are</w:t>
      </w:r>
      <w:r>
        <w:rPr>
          <w:rFonts w:eastAsia="Malgun Gothic" w:cs="Arial"/>
          <w:color w:val="000000" w:themeColor="text1"/>
          <w:szCs w:val="20"/>
          <w:lang w:val="en-GB"/>
        </w:rPr>
        <w:t xml:space="preserve"> </w:t>
      </w:r>
      <w:r w:rsidR="003D3510">
        <w:rPr>
          <w:rFonts w:eastAsia="Malgun Gothic" w:cs="Arial"/>
          <w:color w:val="000000" w:themeColor="text1"/>
          <w:szCs w:val="20"/>
          <w:lang w:val="en-GB"/>
        </w:rPr>
        <w:t>based on</w:t>
      </w:r>
      <w:r w:rsidR="003D3510" w:rsidRPr="007C4760">
        <w:rPr>
          <w:rFonts w:eastAsia="Malgun Gothic" w:cs="Arial"/>
          <w:color w:val="000000" w:themeColor="text1"/>
          <w:szCs w:val="20"/>
          <w:lang w:val="en-GB"/>
        </w:rPr>
        <w:t xml:space="preserve"> licensed</w:t>
      </w:r>
      <w:r w:rsidR="003D3510">
        <w:rPr>
          <w:rFonts w:eastAsia="Malgun Gothic" w:cs="Arial"/>
          <w:color w:val="000000" w:themeColor="text1"/>
          <w:szCs w:val="20"/>
          <w:lang w:val="en-GB"/>
        </w:rPr>
        <w:t xml:space="preserve"> use</w:t>
      </w:r>
      <w:r>
        <w:rPr>
          <w:rFonts w:eastAsia="Malgun Gothic" w:cs="Arial"/>
          <w:color w:val="000000" w:themeColor="text1"/>
          <w:szCs w:val="20"/>
          <w:lang w:val="en-GB"/>
        </w:rPr>
        <w:t xml:space="preserve">. This means that </w:t>
      </w:r>
      <w:r w:rsidR="001629DE">
        <w:rPr>
          <w:rFonts w:eastAsia="Malgun Gothic" w:cs="Arial"/>
          <w:color w:val="000000" w:themeColor="text1"/>
          <w:szCs w:val="20"/>
          <w:lang w:val="en-GB"/>
        </w:rPr>
        <w:t xml:space="preserve">these sharing arrangements will </w:t>
      </w:r>
      <w:r w:rsidR="00626D3B">
        <w:rPr>
          <w:rFonts w:eastAsia="Malgun Gothic" w:cs="Arial"/>
          <w:color w:val="000000" w:themeColor="text1"/>
          <w:szCs w:val="20"/>
          <w:lang w:val="en-GB"/>
        </w:rPr>
        <w:t xml:space="preserve">sometimes not be well equipped to </w:t>
      </w:r>
      <w:r w:rsidR="004979D7">
        <w:rPr>
          <w:rFonts w:eastAsia="Malgun Gothic" w:cs="Arial"/>
          <w:color w:val="000000" w:themeColor="text1"/>
          <w:szCs w:val="20"/>
          <w:lang w:val="en-GB"/>
        </w:rPr>
        <w:t xml:space="preserve">dynamically </w:t>
      </w:r>
      <w:r w:rsidR="00626D3B">
        <w:rPr>
          <w:rFonts w:eastAsia="Malgun Gothic" w:cs="Arial"/>
          <w:color w:val="000000" w:themeColor="text1"/>
          <w:szCs w:val="20"/>
          <w:lang w:val="en-GB"/>
        </w:rPr>
        <w:t xml:space="preserve">respond to </w:t>
      </w:r>
      <w:r w:rsidR="003D3510">
        <w:rPr>
          <w:rFonts w:eastAsia="Malgun Gothic" w:cs="Arial"/>
          <w:color w:val="000000" w:themeColor="text1"/>
          <w:szCs w:val="20"/>
          <w:lang w:val="en-GB"/>
        </w:rPr>
        <w:t xml:space="preserve">an </w:t>
      </w:r>
      <w:r w:rsidR="00626D3B">
        <w:rPr>
          <w:rFonts w:eastAsia="Malgun Gothic" w:cs="Arial"/>
          <w:color w:val="000000" w:themeColor="text1"/>
          <w:szCs w:val="20"/>
          <w:lang w:val="en-GB"/>
        </w:rPr>
        <w:t xml:space="preserve">environment </w:t>
      </w:r>
      <w:r w:rsidR="003D3510">
        <w:rPr>
          <w:rFonts w:eastAsia="Malgun Gothic" w:cs="Arial"/>
          <w:color w:val="000000" w:themeColor="text1"/>
          <w:szCs w:val="20"/>
          <w:lang w:val="en-GB"/>
        </w:rPr>
        <w:t xml:space="preserve">where </w:t>
      </w:r>
      <w:r w:rsidR="003D3510" w:rsidRPr="00F41C6F">
        <w:rPr>
          <w:rFonts w:eastAsia="Malgun Gothic" w:cs="Arial"/>
          <w:color w:val="000000" w:themeColor="text1"/>
          <w:szCs w:val="20"/>
          <w:lang w:val="en-GB"/>
        </w:rPr>
        <w:t>actual</w:t>
      </w:r>
      <w:r w:rsidR="003D3510">
        <w:rPr>
          <w:rFonts w:eastAsia="Malgun Gothic" w:cs="Arial"/>
          <w:color w:val="000000" w:themeColor="text1"/>
          <w:szCs w:val="20"/>
          <w:lang w:val="en-GB"/>
        </w:rPr>
        <w:t xml:space="preserve"> spectrum use</w:t>
      </w:r>
      <w:r w:rsidR="00626D3B">
        <w:rPr>
          <w:rFonts w:eastAsia="Malgun Gothic" w:cs="Arial"/>
          <w:color w:val="000000" w:themeColor="text1"/>
          <w:szCs w:val="20"/>
          <w:lang w:val="en-GB"/>
        </w:rPr>
        <w:t xml:space="preserve"> change</w:t>
      </w:r>
      <w:r w:rsidR="003D3510">
        <w:rPr>
          <w:rFonts w:eastAsia="Malgun Gothic" w:cs="Arial"/>
          <w:color w:val="000000" w:themeColor="text1"/>
          <w:szCs w:val="20"/>
          <w:lang w:val="en-GB"/>
        </w:rPr>
        <w:t>s</w:t>
      </w:r>
      <w:r w:rsidR="00C461F2">
        <w:rPr>
          <w:rFonts w:eastAsia="Malgun Gothic" w:cs="Arial"/>
          <w:color w:val="000000" w:themeColor="text1"/>
          <w:szCs w:val="20"/>
          <w:lang w:val="en-GB"/>
        </w:rPr>
        <w:t>.</w:t>
      </w:r>
    </w:p>
    <w:p w14:paraId="2BAAB6FE" w14:textId="09CE2B29" w:rsidR="00794018" w:rsidRPr="00091E83" w:rsidRDefault="00794018" w:rsidP="00091E83">
      <w:pPr>
        <w:pStyle w:val="Heading2"/>
        <w:rPr>
          <w:rFonts w:eastAsia="Malgun Gothic"/>
        </w:rPr>
      </w:pPr>
      <w:bookmarkStart w:id="5" w:name="_Toc16054634"/>
      <w:r w:rsidRPr="00091E83">
        <w:rPr>
          <w:rFonts w:eastAsia="Malgun Gothic"/>
        </w:rPr>
        <w:t xml:space="preserve">New approaches </w:t>
      </w:r>
      <w:r w:rsidR="0098266F" w:rsidRPr="00091E83">
        <w:rPr>
          <w:rFonts w:eastAsia="Malgun Gothic"/>
        </w:rPr>
        <w:t>to spectrum sharing</w:t>
      </w:r>
      <w:bookmarkEnd w:id="5"/>
    </w:p>
    <w:p w14:paraId="5B616AA1" w14:textId="0C8CC861" w:rsidR="00421539" w:rsidRDefault="00DB3521" w:rsidP="000D7782">
      <w:pPr>
        <w:pStyle w:val="ListBullet"/>
        <w:numPr>
          <w:ilvl w:val="0"/>
          <w:numId w:val="0"/>
        </w:numPr>
        <w:spacing w:before="120" w:after="120" w:line="240" w:lineRule="auto"/>
        <w:rPr>
          <w:rFonts w:cs="Arial"/>
        </w:rPr>
      </w:pPr>
      <w:r w:rsidRPr="005E1951">
        <w:rPr>
          <w:rFonts w:cs="Arial"/>
        </w:rPr>
        <w:t>As technology</w:t>
      </w:r>
      <w:r w:rsidR="00063521">
        <w:rPr>
          <w:rFonts w:cs="Arial"/>
        </w:rPr>
        <w:t xml:space="preserve"> develops</w:t>
      </w:r>
      <w:r w:rsidRPr="005E1951">
        <w:rPr>
          <w:rFonts w:cs="Arial"/>
        </w:rPr>
        <w:t xml:space="preserve"> and spectrum scarcity </w:t>
      </w:r>
      <w:r w:rsidR="00421539">
        <w:rPr>
          <w:rFonts w:cs="Arial"/>
        </w:rPr>
        <w:t xml:space="preserve">is a </w:t>
      </w:r>
      <w:r w:rsidR="00A41D2C">
        <w:rPr>
          <w:rFonts w:cs="Arial"/>
        </w:rPr>
        <w:t>pressure, innovations</w:t>
      </w:r>
      <w:r w:rsidR="00063521">
        <w:rPr>
          <w:rFonts w:cs="Arial"/>
        </w:rPr>
        <w:t xml:space="preserve"> in </w:t>
      </w:r>
      <w:r w:rsidRPr="005E1951">
        <w:rPr>
          <w:rFonts w:cs="Arial"/>
        </w:rPr>
        <w:t>spectrum sharing</w:t>
      </w:r>
      <w:r w:rsidR="002F0D63">
        <w:rPr>
          <w:rFonts w:cs="Arial"/>
        </w:rPr>
        <w:t xml:space="preserve"> have emerged</w:t>
      </w:r>
      <w:r>
        <w:rPr>
          <w:rFonts w:cs="Arial"/>
        </w:rPr>
        <w:t>.</w:t>
      </w:r>
      <w:r w:rsidRPr="005E1951">
        <w:rPr>
          <w:rFonts w:cs="Arial"/>
        </w:rPr>
        <w:t xml:space="preserve"> </w:t>
      </w:r>
    </w:p>
    <w:p w14:paraId="440695DC" w14:textId="0FEFF6B3" w:rsidR="00DB3521" w:rsidRPr="00FF490F" w:rsidRDefault="00DB3521" w:rsidP="000D7782">
      <w:pPr>
        <w:pStyle w:val="ListBullet"/>
        <w:numPr>
          <w:ilvl w:val="0"/>
          <w:numId w:val="0"/>
        </w:numPr>
        <w:spacing w:before="120" w:after="120" w:line="240" w:lineRule="auto"/>
        <w:rPr>
          <w:rFonts w:ascii="Calibri" w:hAnsi="Calibri"/>
        </w:rPr>
      </w:pPr>
      <w:r>
        <w:t xml:space="preserve">A key concept in many new and emerging sharing approaches is that they </w:t>
      </w:r>
      <w:r w:rsidR="00C461F2">
        <w:t xml:space="preserve">are informed by </w:t>
      </w:r>
      <w:r>
        <w:t xml:space="preserve">information on </w:t>
      </w:r>
      <w:r w:rsidRPr="00091E83">
        <w:rPr>
          <w:iCs/>
        </w:rPr>
        <w:t>actual</w:t>
      </w:r>
      <w:r w:rsidRPr="00A41D2C">
        <w:rPr>
          <w:iCs/>
        </w:rPr>
        <w:t xml:space="preserve"> </w:t>
      </w:r>
      <w:r>
        <w:t>spectrum use</w:t>
      </w:r>
      <w:r w:rsidR="00C461F2">
        <w:t>, as opposed</w:t>
      </w:r>
      <w:r w:rsidR="00063521">
        <w:t xml:space="preserve"> to</w:t>
      </w:r>
      <w:r>
        <w:t xml:space="preserve"> authoris</w:t>
      </w:r>
      <w:r w:rsidR="00C461F2">
        <w:t>ation</w:t>
      </w:r>
      <w:r>
        <w:t>/licens</w:t>
      </w:r>
      <w:r w:rsidR="00C461F2">
        <w:t xml:space="preserve">ing descriptors that might appear, for example, in a database such as the Register of </w:t>
      </w:r>
      <w:r w:rsidR="00C461F2">
        <w:lastRenderedPageBreak/>
        <w:t>Radiocommunications Licences (RRL)</w:t>
      </w:r>
      <w:r w:rsidR="00C461F2">
        <w:rPr>
          <w:rStyle w:val="FootnoteReference"/>
        </w:rPr>
        <w:footnoteReference w:id="3"/>
      </w:r>
      <w:r>
        <w:t xml:space="preserve">. </w:t>
      </w:r>
      <w:bookmarkStart w:id="6" w:name="_Hlk2783143"/>
      <w:r w:rsidR="00F9190D">
        <w:t>Devices and/or systems that access spectrum under t</w:t>
      </w:r>
      <w:r>
        <w:t>hese sharing approaches usually need to be aware of the</w:t>
      </w:r>
      <w:r w:rsidR="003B7614">
        <w:t xml:space="preserve"> surrounding</w:t>
      </w:r>
      <w:r>
        <w:t xml:space="preserve"> </w:t>
      </w:r>
      <w:r w:rsidR="00F9190D">
        <w:t xml:space="preserve">radiofrequency </w:t>
      </w:r>
      <w:r>
        <w:t xml:space="preserve">environment and </w:t>
      </w:r>
      <w:r w:rsidR="00983895">
        <w:t xml:space="preserve">be </w:t>
      </w:r>
      <w:r>
        <w:t>able to react to change</w:t>
      </w:r>
      <w:r w:rsidR="00983895">
        <w:t>s</w:t>
      </w:r>
      <w:r>
        <w:t xml:space="preserve"> </w:t>
      </w:r>
      <w:r w:rsidR="00983895">
        <w:t>in the</w:t>
      </w:r>
      <w:r w:rsidR="00F9190D">
        <w:t xml:space="preserve"> </w:t>
      </w:r>
      <w:r>
        <w:t xml:space="preserve">environment in </w:t>
      </w:r>
      <w:r w:rsidR="00F9190D">
        <w:t>a timely manner</w:t>
      </w:r>
      <w:r w:rsidR="00901623">
        <w:t>—</w:t>
      </w:r>
      <w:r w:rsidR="00F9190D">
        <w:t xml:space="preserve">certainly well </w:t>
      </w:r>
      <w:r>
        <w:t xml:space="preserve">outside traditional licensing/authorisation </w:t>
      </w:r>
      <w:r w:rsidR="00F9190D">
        <w:t>timeframes which can span multiple years in some cases</w:t>
      </w:r>
      <w:r>
        <w:t xml:space="preserve">.  </w:t>
      </w:r>
      <w:bookmarkEnd w:id="6"/>
    </w:p>
    <w:p w14:paraId="365C88F0" w14:textId="77777777" w:rsidR="00421539" w:rsidRDefault="00DB3521" w:rsidP="000D7782">
      <w:pPr>
        <w:spacing w:before="120" w:after="120" w:line="240" w:lineRule="auto"/>
        <w:rPr>
          <w:rFonts w:cs="Arial"/>
          <w:szCs w:val="20"/>
        </w:rPr>
      </w:pPr>
      <w:r>
        <w:rPr>
          <w:rFonts w:cs="Arial"/>
          <w:szCs w:val="20"/>
        </w:rPr>
        <w:t>These new sharing techniques are often collectively referred to</w:t>
      </w:r>
      <w:r w:rsidR="00704F59">
        <w:rPr>
          <w:rFonts w:cs="Arial"/>
          <w:szCs w:val="20"/>
        </w:rPr>
        <w:t xml:space="preserve"> </w:t>
      </w:r>
      <w:r>
        <w:rPr>
          <w:rFonts w:cs="Arial"/>
          <w:szCs w:val="20"/>
        </w:rPr>
        <w:t>as dynamic spectrum access (DSA)</w:t>
      </w:r>
      <w:r>
        <w:rPr>
          <w:rStyle w:val="FootnoteReference"/>
          <w:rFonts w:cs="Arial"/>
          <w:szCs w:val="20"/>
        </w:rPr>
        <w:footnoteReference w:id="4"/>
      </w:r>
      <w:r w:rsidR="00704F59">
        <w:rPr>
          <w:rFonts w:cs="Arial"/>
          <w:szCs w:val="20"/>
        </w:rPr>
        <w:t xml:space="preserve"> techniques</w:t>
      </w:r>
      <w:r>
        <w:rPr>
          <w:rFonts w:cs="Arial"/>
          <w:szCs w:val="20"/>
        </w:rPr>
        <w:t xml:space="preserve">. </w:t>
      </w:r>
      <w:r w:rsidR="00704F59">
        <w:rPr>
          <w:rFonts w:cs="Arial"/>
          <w:szCs w:val="20"/>
        </w:rPr>
        <w:t xml:space="preserve">Although </w:t>
      </w:r>
      <w:r>
        <w:rPr>
          <w:rFonts w:cs="Arial"/>
          <w:szCs w:val="20"/>
        </w:rPr>
        <w:t xml:space="preserve">there are </w:t>
      </w:r>
      <w:r w:rsidR="00704F59">
        <w:rPr>
          <w:rFonts w:cs="Arial"/>
          <w:szCs w:val="20"/>
        </w:rPr>
        <w:t xml:space="preserve">numerous </w:t>
      </w:r>
      <w:r>
        <w:rPr>
          <w:rFonts w:cs="Arial"/>
          <w:szCs w:val="20"/>
        </w:rPr>
        <w:t xml:space="preserve">specific </w:t>
      </w:r>
      <w:r w:rsidR="00704F59">
        <w:rPr>
          <w:rFonts w:cs="Arial"/>
          <w:szCs w:val="20"/>
        </w:rPr>
        <w:t xml:space="preserve">instantiations of these techniques </w:t>
      </w:r>
      <w:r>
        <w:rPr>
          <w:rFonts w:cs="Arial"/>
          <w:szCs w:val="20"/>
        </w:rPr>
        <w:t>with</w:t>
      </w:r>
      <w:r w:rsidR="00704F59">
        <w:rPr>
          <w:rFonts w:cs="Arial"/>
          <w:szCs w:val="20"/>
        </w:rPr>
        <w:t xml:space="preserve"> a range of</w:t>
      </w:r>
      <w:r>
        <w:rPr>
          <w:rFonts w:cs="Arial"/>
          <w:szCs w:val="20"/>
        </w:rPr>
        <w:t xml:space="preserve"> different names, </w:t>
      </w:r>
      <w:r w:rsidR="00704F59">
        <w:rPr>
          <w:rFonts w:cs="Arial"/>
          <w:szCs w:val="20"/>
        </w:rPr>
        <w:t xml:space="preserve">a common feature is that they </w:t>
      </w:r>
      <w:r>
        <w:rPr>
          <w:rFonts w:cs="Arial"/>
          <w:szCs w:val="20"/>
        </w:rPr>
        <w:t xml:space="preserve">all </w:t>
      </w:r>
      <w:r w:rsidRPr="00FD2CD1">
        <w:rPr>
          <w:rFonts w:cs="Arial"/>
          <w:szCs w:val="20"/>
        </w:rPr>
        <w:t xml:space="preserve">typically take advantage of time-based changes in spectrum </w:t>
      </w:r>
      <w:r>
        <w:rPr>
          <w:rFonts w:cs="Arial"/>
          <w:szCs w:val="20"/>
        </w:rPr>
        <w:t>occupancy</w:t>
      </w:r>
      <w:r w:rsidRPr="00FD2CD1">
        <w:rPr>
          <w:rFonts w:cs="Arial"/>
          <w:szCs w:val="20"/>
        </w:rPr>
        <w:t xml:space="preserve"> by </w:t>
      </w:r>
      <w:r>
        <w:rPr>
          <w:rFonts w:cs="Arial"/>
          <w:szCs w:val="20"/>
        </w:rPr>
        <w:t>incumbent</w:t>
      </w:r>
      <w:r w:rsidRPr="00FD2CD1">
        <w:rPr>
          <w:rFonts w:cs="Arial"/>
          <w:szCs w:val="20"/>
        </w:rPr>
        <w:t xml:space="preserve"> users—that is,</w:t>
      </w:r>
      <w:r>
        <w:rPr>
          <w:rFonts w:cs="Arial"/>
          <w:szCs w:val="20"/>
        </w:rPr>
        <w:t xml:space="preserve"> allowing </w:t>
      </w:r>
      <w:r w:rsidR="003B7614">
        <w:rPr>
          <w:rFonts w:cs="Arial"/>
          <w:szCs w:val="20"/>
        </w:rPr>
        <w:t>access to</w:t>
      </w:r>
      <w:r>
        <w:rPr>
          <w:rFonts w:cs="Arial"/>
          <w:szCs w:val="20"/>
        </w:rPr>
        <w:t xml:space="preserve"> spectrum that </w:t>
      </w:r>
      <w:r w:rsidRPr="00FD2CD1">
        <w:rPr>
          <w:rFonts w:cs="Arial"/>
          <w:szCs w:val="20"/>
        </w:rPr>
        <w:t xml:space="preserve">may not </w:t>
      </w:r>
      <w:r>
        <w:rPr>
          <w:rFonts w:cs="Arial"/>
          <w:szCs w:val="20"/>
        </w:rPr>
        <w:t xml:space="preserve">be in </w:t>
      </w:r>
      <w:r w:rsidRPr="00FD2CD1">
        <w:rPr>
          <w:rFonts w:cs="Arial"/>
          <w:szCs w:val="20"/>
        </w:rPr>
        <w:t>use in all geographic areas, all the time.</w:t>
      </w:r>
    </w:p>
    <w:p w14:paraId="03393082" w14:textId="0F08178B" w:rsidR="00DB3521" w:rsidRDefault="00C42BEB" w:rsidP="000D7782">
      <w:pPr>
        <w:spacing w:before="120" w:after="120" w:line="240" w:lineRule="auto"/>
        <w:rPr>
          <w:rFonts w:cs="Arial"/>
          <w:szCs w:val="20"/>
        </w:rPr>
      </w:pPr>
      <w:r>
        <w:rPr>
          <w:rFonts w:cs="Arial"/>
          <w:szCs w:val="20"/>
        </w:rPr>
        <w:t xml:space="preserve">We’re calling these newer approaches ‘non-traditional’ sharing techniques, as they sit outside the </w:t>
      </w:r>
      <w:r w:rsidR="0056182C">
        <w:rPr>
          <w:rFonts w:cs="Arial"/>
          <w:szCs w:val="20"/>
        </w:rPr>
        <w:t xml:space="preserve">broader category of </w:t>
      </w:r>
      <w:r>
        <w:rPr>
          <w:rFonts w:cs="Arial"/>
          <w:szCs w:val="20"/>
        </w:rPr>
        <w:t xml:space="preserve">traditional sharing approaches (Figure 1 </w:t>
      </w:r>
      <w:r w:rsidR="00AC52AC">
        <w:rPr>
          <w:rFonts w:cs="Arial"/>
          <w:szCs w:val="20"/>
        </w:rPr>
        <w:t>illustrates</w:t>
      </w:r>
      <w:r>
        <w:rPr>
          <w:rFonts w:cs="Arial"/>
          <w:szCs w:val="20"/>
        </w:rPr>
        <w:t xml:space="preserve"> this distinction). Non-traditional (including dynamic) sharing techniques are the focus of this paper.</w:t>
      </w:r>
    </w:p>
    <w:p w14:paraId="78CB766D" w14:textId="0E968152" w:rsidR="00C42BEB" w:rsidRDefault="00C42BEB" w:rsidP="00091E83">
      <w:pPr>
        <w:pStyle w:val="ACMAFigureHeader"/>
        <w:keepNext/>
        <w:rPr>
          <w:noProof/>
        </w:rPr>
      </w:pPr>
      <w:r>
        <w:t>Contemporary dyna</w:t>
      </w:r>
      <w:r>
        <w:rPr>
          <w:noProof/>
        </w:rPr>
        <w:t>mic sharing approaches are distinct from more traditional, day-to-day approaches to facilitating shared access to spectrum.</w:t>
      </w:r>
    </w:p>
    <w:p w14:paraId="1AF9398D" w14:textId="03AC52EC" w:rsidR="00C42BEB" w:rsidRPr="00D4254E" w:rsidRDefault="00C42BEB" w:rsidP="000D7782">
      <w:pPr>
        <w:spacing w:before="120" w:after="120" w:line="240" w:lineRule="auto"/>
        <w:rPr>
          <w:rFonts w:cs="Arial"/>
          <w:szCs w:val="20"/>
        </w:rPr>
      </w:pPr>
      <w:r>
        <w:rPr>
          <w:rFonts w:cs="Arial"/>
          <w:noProof/>
          <w:szCs w:val="20"/>
        </w:rPr>
        <w:drawing>
          <wp:inline distT="0" distB="0" distL="0" distR="0" wp14:anchorId="58D9F2AA" wp14:editId="0B259737">
            <wp:extent cx="4871085" cy="4417695"/>
            <wp:effectExtent l="0" t="0" r="5715" b="1905"/>
            <wp:docPr id="2" name="Picture 2" descr="Contemporary dynamic sharing approaches are distinct from more traditional, day-to-day approaches to facilitating shared access to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1085" cy="4417695"/>
                    </a:xfrm>
                    <a:prstGeom prst="rect">
                      <a:avLst/>
                    </a:prstGeom>
                    <a:noFill/>
                    <a:ln>
                      <a:noFill/>
                    </a:ln>
                  </pic:spPr>
                </pic:pic>
              </a:graphicData>
            </a:graphic>
          </wp:inline>
        </w:drawing>
      </w:r>
    </w:p>
    <w:p w14:paraId="6E6CCC60" w14:textId="396A46B4" w:rsidR="00421539" w:rsidRDefault="0026714A"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Malgun Gothic" w:cs="Arial"/>
          <w:color w:val="000000" w:themeColor="text1"/>
          <w:szCs w:val="20"/>
          <w:lang w:val="en-GB"/>
        </w:rPr>
      </w:pPr>
      <w:r>
        <w:rPr>
          <w:rFonts w:eastAsia="Malgun Gothic" w:cs="Arial"/>
          <w:color w:val="000000" w:themeColor="text1"/>
          <w:szCs w:val="20"/>
          <w:lang w:val="en-GB"/>
        </w:rPr>
        <w:lastRenderedPageBreak/>
        <w:t>Until</w:t>
      </w:r>
      <w:r w:rsidR="009129B5" w:rsidRPr="00FD2CD1">
        <w:rPr>
          <w:rFonts w:eastAsia="Malgun Gothic" w:cs="Arial"/>
          <w:color w:val="000000" w:themeColor="text1"/>
          <w:szCs w:val="20"/>
          <w:lang w:val="en-GB"/>
        </w:rPr>
        <w:t xml:space="preserve"> recently, there h</w:t>
      </w:r>
      <w:r w:rsidR="00704F59">
        <w:rPr>
          <w:rFonts w:eastAsia="Malgun Gothic" w:cs="Arial"/>
          <w:color w:val="000000" w:themeColor="text1"/>
          <w:szCs w:val="20"/>
          <w:lang w:val="en-GB"/>
        </w:rPr>
        <w:t>ave</w:t>
      </w:r>
      <w:r w:rsidR="009129B5" w:rsidRPr="00FD2CD1">
        <w:rPr>
          <w:rFonts w:eastAsia="Malgun Gothic" w:cs="Arial"/>
          <w:color w:val="000000" w:themeColor="text1"/>
          <w:szCs w:val="20"/>
          <w:lang w:val="en-GB"/>
        </w:rPr>
        <w:t xml:space="preserve"> been very </w:t>
      </w:r>
      <w:r w:rsidR="00704F59">
        <w:rPr>
          <w:rFonts w:eastAsia="Malgun Gothic" w:cs="Arial"/>
          <w:color w:val="000000" w:themeColor="text1"/>
          <w:szCs w:val="20"/>
          <w:lang w:val="en-GB"/>
        </w:rPr>
        <w:t>few</w:t>
      </w:r>
      <w:r w:rsidR="00704F59" w:rsidRPr="00FD2CD1">
        <w:rPr>
          <w:rFonts w:eastAsia="Malgun Gothic" w:cs="Arial"/>
          <w:color w:val="000000" w:themeColor="text1"/>
          <w:szCs w:val="20"/>
          <w:lang w:val="en-GB"/>
        </w:rPr>
        <w:t xml:space="preserve"> </w:t>
      </w:r>
      <w:r w:rsidR="009129B5" w:rsidRPr="00FD2CD1">
        <w:rPr>
          <w:rFonts w:eastAsia="Malgun Gothic" w:cs="Arial"/>
          <w:color w:val="000000" w:themeColor="text1"/>
          <w:szCs w:val="20"/>
          <w:lang w:val="en-GB"/>
        </w:rPr>
        <w:t>implementation</w:t>
      </w:r>
      <w:r w:rsidR="00704F59">
        <w:rPr>
          <w:rFonts w:eastAsia="Malgun Gothic" w:cs="Arial"/>
          <w:color w:val="000000" w:themeColor="text1"/>
          <w:szCs w:val="20"/>
          <w:lang w:val="en-GB"/>
        </w:rPr>
        <w:t>s</w:t>
      </w:r>
      <w:r w:rsidR="009129B5" w:rsidRPr="00FD2CD1">
        <w:rPr>
          <w:rFonts w:eastAsia="Malgun Gothic" w:cs="Arial"/>
          <w:color w:val="000000" w:themeColor="text1"/>
          <w:szCs w:val="20"/>
          <w:lang w:val="en-GB"/>
        </w:rPr>
        <w:t xml:space="preserve"> of </w:t>
      </w:r>
      <w:r w:rsidR="00704F59">
        <w:rPr>
          <w:rFonts w:eastAsia="Malgun Gothic" w:cs="Arial"/>
          <w:color w:val="000000" w:themeColor="text1"/>
          <w:szCs w:val="20"/>
          <w:lang w:val="en-GB"/>
        </w:rPr>
        <w:t xml:space="preserve">non-traditional </w:t>
      </w:r>
      <w:r w:rsidR="00197798">
        <w:rPr>
          <w:rFonts w:eastAsia="Malgun Gothic" w:cs="Arial"/>
          <w:color w:val="000000" w:themeColor="text1"/>
          <w:szCs w:val="20"/>
          <w:lang w:val="en-GB"/>
        </w:rPr>
        <w:t>sharing arrangements</w:t>
      </w:r>
      <w:r w:rsidR="00704F59">
        <w:rPr>
          <w:rFonts w:eastAsia="Malgun Gothic" w:cs="Arial"/>
          <w:color w:val="000000" w:themeColor="text1"/>
          <w:szCs w:val="20"/>
          <w:lang w:val="en-GB"/>
        </w:rPr>
        <w:t xml:space="preserve"> of any significant scale</w:t>
      </w:r>
      <w:r w:rsidR="003A6133">
        <w:rPr>
          <w:rFonts w:eastAsia="Malgun Gothic" w:cs="Arial"/>
          <w:color w:val="000000" w:themeColor="text1"/>
          <w:szCs w:val="20"/>
          <w:lang w:val="en-GB"/>
        </w:rPr>
        <w:t xml:space="preserve">. </w:t>
      </w:r>
      <w:r w:rsidR="00983895">
        <w:rPr>
          <w:rFonts w:eastAsia="Malgun Gothic" w:cs="Arial"/>
          <w:color w:val="000000" w:themeColor="text1"/>
          <w:szCs w:val="20"/>
          <w:lang w:val="en-GB"/>
        </w:rPr>
        <w:t>S</w:t>
      </w:r>
      <w:r w:rsidR="009129B5" w:rsidRPr="00FD2CD1">
        <w:rPr>
          <w:rFonts w:eastAsia="Malgun Gothic" w:cs="Arial"/>
          <w:color w:val="000000" w:themeColor="text1"/>
          <w:szCs w:val="20"/>
          <w:lang w:val="en-GB"/>
        </w:rPr>
        <w:t xml:space="preserve">pecific measures such as dynamically occupying the so-called </w:t>
      </w:r>
      <w:r w:rsidR="00901623">
        <w:rPr>
          <w:rFonts w:eastAsia="Malgun Gothic" w:cs="Arial"/>
          <w:color w:val="000000" w:themeColor="text1"/>
          <w:szCs w:val="20"/>
          <w:lang w:val="en-GB"/>
        </w:rPr>
        <w:t>‘</w:t>
      </w:r>
      <w:r w:rsidR="009129B5" w:rsidRPr="00FD2CD1">
        <w:rPr>
          <w:rFonts w:eastAsia="Malgun Gothic" w:cs="Arial"/>
          <w:color w:val="000000" w:themeColor="text1"/>
          <w:szCs w:val="20"/>
          <w:lang w:val="en-GB"/>
        </w:rPr>
        <w:t>white spaces</w:t>
      </w:r>
      <w:r w:rsidR="00901623">
        <w:rPr>
          <w:rFonts w:eastAsia="Malgun Gothic" w:cs="Arial"/>
          <w:color w:val="000000" w:themeColor="text1"/>
          <w:szCs w:val="20"/>
          <w:lang w:val="en-GB"/>
        </w:rPr>
        <w:t>’</w:t>
      </w:r>
      <w:r w:rsidR="009129B5" w:rsidRPr="00FD2CD1">
        <w:rPr>
          <w:rFonts w:eastAsia="Malgun Gothic" w:cs="Arial"/>
          <w:color w:val="000000" w:themeColor="text1"/>
          <w:szCs w:val="20"/>
          <w:lang w:val="en-GB"/>
        </w:rPr>
        <w:t xml:space="preserve"> in television broadcast areas </w:t>
      </w:r>
      <w:r w:rsidR="00983895">
        <w:rPr>
          <w:rFonts w:eastAsia="Malgun Gothic" w:cs="Arial"/>
          <w:color w:val="000000" w:themeColor="text1"/>
          <w:szCs w:val="20"/>
          <w:lang w:val="en-GB"/>
        </w:rPr>
        <w:t xml:space="preserve">have been </w:t>
      </w:r>
      <w:r w:rsidR="009129B5" w:rsidRPr="00FD2CD1">
        <w:rPr>
          <w:rFonts w:eastAsia="Malgun Gothic" w:cs="Arial"/>
          <w:color w:val="000000" w:themeColor="text1"/>
          <w:szCs w:val="20"/>
          <w:lang w:val="en-GB"/>
        </w:rPr>
        <w:t>mooted</w:t>
      </w:r>
      <w:r w:rsidR="00901623">
        <w:rPr>
          <w:rFonts w:eastAsia="Malgun Gothic" w:cs="Arial"/>
          <w:color w:val="000000" w:themeColor="text1"/>
          <w:szCs w:val="20"/>
          <w:lang w:val="en-GB"/>
        </w:rPr>
        <w:t>—</w:t>
      </w:r>
      <w:r w:rsidR="009129B5" w:rsidRPr="00FD2CD1">
        <w:rPr>
          <w:rFonts w:eastAsia="Malgun Gothic" w:cs="Arial"/>
          <w:color w:val="000000" w:themeColor="text1"/>
          <w:szCs w:val="20"/>
          <w:lang w:val="en-GB"/>
        </w:rPr>
        <w:t>even urged by some sectors of industry</w:t>
      </w:r>
      <w:r w:rsidR="00901623">
        <w:rPr>
          <w:rFonts w:eastAsia="Malgun Gothic" w:cs="Arial"/>
          <w:color w:val="000000" w:themeColor="text1"/>
          <w:szCs w:val="20"/>
          <w:lang w:val="en-GB"/>
        </w:rPr>
        <w:t>—</w:t>
      </w:r>
      <w:r w:rsidR="009129B5" w:rsidRPr="00FD2CD1">
        <w:rPr>
          <w:rFonts w:eastAsia="Malgun Gothic" w:cs="Arial"/>
          <w:color w:val="000000" w:themeColor="text1"/>
          <w:szCs w:val="20"/>
          <w:lang w:val="en-GB"/>
        </w:rPr>
        <w:t xml:space="preserve">but for a range of reasons implementation of these measures </w:t>
      </w:r>
      <w:r w:rsidR="00F23B38">
        <w:rPr>
          <w:rFonts w:eastAsia="Malgun Gothic" w:cs="Arial"/>
          <w:color w:val="000000" w:themeColor="text1"/>
          <w:szCs w:val="20"/>
          <w:lang w:val="en-GB"/>
        </w:rPr>
        <w:t xml:space="preserve">have </w:t>
      </w:r>
      <w:r w:rsidR="009129B5" w:rsidRPr="00FD2CD1">
        <w:rPr>
          <w:rFonts w:eastAsia="Malgun Gothic" w:cs="Arial"/>
          <w:color w:val="000000" w:themeColor="text1"/>
          <w:szCs w:val="20"/>
          <w:lang w:val="en-GB"/>
        </w:rPr>
        <w:t>failed to take flight</w:t>
      </w:r>
      <w:r w:rsidR="00182CB0">
        <w:rPr>
          <w:rFonts w:eastAsia="Malgun Gothic" w:cs="Arial"/>
          <w:color w:val="000000" w:themeColor="text1"/>
          <w:szCs w:val="20"/>
          <w:lang w:val="en-GB"/>
        </w:rPr>
        <w:t xml:space="preserve"> either internationally or domestically</w:t>
      </w:r>
      <w:r w:rsidR="009129B5" w:rsidRPr="00FD2CD1">
        <w:rPr>
          <w:rFonts w:eastAsia="Malgun Gothic" w:cs="Arial"/>
          <w:color w:val="000000" w:themeColor="text1"/>
          <w:szCs w:val="20"/>
          <w:lang w:val="en-GB"/>
        </w:rPr>
        <w:t>.</w:t>
      </w:r>
      <w:r w:rsidR="00197798" w:rsidRPr="00197798">
        <w:rPr>
          <w:rFonts w:eastAsia="Malgun Gothic" w:cs="Arial"/>
          <w:color w:val="000000" w:themeColor="text1"/>
          <w:szCs w:val="20"/>
          <w:lang w:val="en-GB"/>
        </w:rPr>
        <w:t xml:space="preserve"> </w:t>
      </w:r>
    </w:p>
    <w:p w14:paraId="2B66CDAB" w14:textId="75D3CD62" w:rsidR="009129B5" w:rsidRDefault="00182CB0"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Malgun Gothic" w:cs="Arial"/>
          <w:color w:val="000000" w:themeColor="text1"/>
          <w:szCs w:val="20"/>
          <w:lang w:val="en-GB"/>
        </w:rPr>
      </w:pPr>
      <w:r>
        <w:rPr>
          <w:rFonts w:eastAsia="Malgun Gothic" w:cs="Arial"/>
          <w:color w:val="000000" w:themeColor="text1"/>
          <w:szCs w:val="20"/>
          <w:lang w:val="en-GB"/>
        </w:rPr>
        <w:t>R</w:t>
      </w:r>
      <w:r w:rsidR="00197798" w:rsidRPr="00FD2CD1">
        <w:rPr>
          <w:rFonts w:eastAsia="Malgun Gothic" w:cs="Arial"/>
          <w:color w:val="000000" w:themeColor="text1"/>
          <w:szCs w:val="20"/>
          <w:lang w:val="en-GB"/>
        </w:rPr>
        <w:t>ecent</w:t>
      </w:r>
      <w:r>
        <w:rPr>
          <w:rFonts w:eastAsia="Malgun Gothic" w:cs="Arial"/>
          <w:color w:val="000000" w:themeColor="text1"/>
          <w:szCs w:val="20"/>
          <w:lang w:val="en-GB"/>
        </w:rPr>
        <w:t>ly, however,</w:t>
      </w:r>
      <w:r w:rsidR="00197798" w:rsidRPr="00FD2CD1">
        <w:rPr>
          <w:rFonts w:eastAsia="Malgun Gothic" w:cs="Arial"/>
          <w:color w:val="000000" w:themeColor="text1"/>
          <w:szCs w:val="20"/>
          <w:lang w:val="en-GB"/>
        </w:rPr>
        <w:t xml:space="preserve"> </w:t>
      </w:r>
      <w:r w:rsidR="00B70E9E">
        <w:rPr>
          <w:rFonts w:eastAsia="Malgun Gothic" w:cs="Arial"/>
          <w:color w:val="000000" w:themeColor="text1"/>
          <w:szCs w:val="20"/>
          <w:lang w:val="en-GB"/>
        </w:rPr>
        <w:t>initiatives</w:t>
      </w:r>
      <w:r w:rsidR="00B70E9E" w:rsidRPr="00FD2CD1">
        <w:rPr>
          <w:rFonts w:eastAsia="Malgun Gothic" w:cs="Arial"/>
          <w:color w:val="000000" w:themeColor="text1"/>
          <w:szCs w:val="20"/>
          <w:lang w:val="en-GB"/>
        </w:rPr>
        <w:t xml:space="preserve"> </w:t>
      </w:r>
      <w:r w:rsidR="00197798">
        <w:rPr>
          <w:rFonts w:eastAsia="Malgun Gothic" w:cs="Arial"/>
          <w:color w:val="000000" w:themeColor="text1"/>
          <w:szCs w:val="20"/>
          <w:lang w:val="en-GB"/>
        </w:rPr>
        <w:t xml:space="preserve">such as the US’s Citizens’ Broadband Radio Service (CBRS) </w:t>
      </w:r>
      <w:r w:rsidR="00B70E9E">
        <w:rPr>
          <w:rFonts w:eastAsia="Malgun Gothic" w:cs="Arial"/>
          <w:color w:val="000000" w:themeColor="text1"/>
          <w:szCs w:val="20"/>
          <w:lang w:val="en-GB"/>
        </w:rPr>
        <w:t xml:space="preserve">arrangements, which involve dynamic sharing between government radiodetermination and wireless broadband services, </w:t>
      </w:r>
      <w:r w:rsidR="00197798" w:rsidRPr="00FD2CD1">
        <w:rPr>
          <w:rFonts w:eastAsia="Malgun Gothic" w:cs="Arial"/>
          <w:color w:val="000000" w:themeColor="text1"/>
          <w:szCs w:val="20"/>
          <w:lang w:val="en-GB"/>
        </w:rPr>
        <w:t xml:space="preserve">have shown that </w:t>
      </w:r>
      <w:r w:rsidR="00B70E9E">
        <w:rPr>
          <w:rFonts w:eastAsia="Malgun Gothic" w:cs="Arial"/>
          <w:color w:val="000000" w:themeColor="text1"/>
          <w:szCs w:val="20"/>
          <w:lang w:val="en-GB"/>
        </w:rPr>
        <w:t>such</w:t>
      </w:r>
      <w:r w:rsidR="00197798">
        <w:rPr>
          <w:rFonts w:eastAsia="Malgun Gothic" w:cs="Arial"/>
          <w:color w:val="000000" w:themeColor="text1"/>
          <w:szCs w:val="20"/>
          <w:lang w:val="en-GB"/>
        </w:rPr>
        <w:t xml:space="preserve"> approaches continue to </w:t>
      </w:r>
      <w:proofErr w:type="gramStart"/>
      <w:r w:rsidR="008A633F" w:rsidRPr="009F5CE4">
        <w:rPr>
          <w:rFonts w:eastAsia="Malgun Gothic" w:cs="Arial"/>
          <w:color w:val="000000" w:themeColor="text1"/>
          <w:szCs w:val="20"/>
          <w:lang w:val="en-GB"/>
        </w:rPr>
        <w:t>be</w:t>
      </w:r>
      <w:r w:rsidR="00197798" w:rsidRPr="009F5CE4">
        <w:rPr>
          <w:rFonts w:eastAsia="Malgun Gothic" w:cs="Arial"/>
          <w:color w:val="000000" w:themeColor="text1"/>
          <w:szCs w:val="20"/>
          <w:lang w:val="en-GB"/>
        </w:rPr>
        <w:t xml:space="preserve"> </w:t>
      </w:r>
      <w:r w:rsidR="008A633F" w:rsidRPr="009F5CE4">
        <w:rPr>
          <w:rFonts w:eastAsia="Malgun Gothic" w:cs="Arial"/>
          <w:color w:val="000000" w:themeColor="text1"/>
          <w:szCs w:val="20"/>
          <w:lang w:val="en-GB"/>
        </w:rPr>
        <w:t>seen as</w:t>
      </w:r>
      <w:proofErr w:type="gramEnd"/>
      <w:r w:rsidR="008A633F">
        <w:rPr>
          <w:rFonts w:eastAsia="Malgun Gothic" w:cs="Arial"/>
          <w:color w:val="000000" w:themeColor="text1"/>
          <w:szCs w:val="20"/>
          <w:lang w:val="en-GB"/>
        </w:rPr>
        <w:t xml:space="preserve"> </w:t>
      </w:r>
      <w:r w:rsidR="00197798">
        <w:rPr>
          <w:rFonts w:eastAsia="Malgun Gothic" w:cs="Arial"/>
          <w:color w:val="000000" w:themeColor="text1"/>
          <w:szCs w:val="20"/>
          <w:lang w:val="en-GB"/>
        </w:rPr>
        <w:t>viable options for sharing under certain circumstances</w:t>
      </w:r>
      <w:r w:rsidR="00197798" w:rsidRPr="00FD2CD1">
        <w:rPr>
          <w:rFonts w:eastAsia="Malgun Gothic" w:cs="Arial"/>
          <w:color w:val="000000" w:themeColor="text1"/>
          <w:szCs w:val="20"/>
          <w:lang w:val="en-GB"/>
        </w:rPr>
        <w:t>.</w:t>
      </w:r>
    </w:p>
    <w:p w14:paraId="5C55D069" w14:textId="54F00C0A" w:rsidR="00B53A5F" w:rsidRPr="00091E83" w:rsidRDefault="00430B45" w:rsidP="00FE61CE">
      <w:pPr>
        <w:pStyle w:val="Heading2"/>
        <w:rPr>
          <w:rFonts w:eastAsia="Malgun Gothic"/>
        </w:rPr>
      </w:pPr>
      <w:bookmarkStart w:id="7" w:name="_Toc16054635"/>
      <w:r w:rsidRPr="00091E83">
        <w:rPr>
          <w:rFonts w:eastAsia="Malgun Gothic"/>
        </w:rPr>
        <w:t>Australian relevance</w:t>
      </w:r>
      <w:bookmarkEnd w:id="7"/>
    </w:p>
    <w:p w14:paraId="2EA421BD" w14:textId="3E51B88E" w:rsidR="00E65AB5" w:rsidRDefault="00421539"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Malgun Gothic" w:cs="Arial"/>
          <w:color w:val="000000" w:themeColor="text1"/>
          <w:szCs w:val="20"/>
          <w:lang w:val="en-GB"/>
        </w:rPr>
      </w:pPr>
      <w:r>
        <w:rPr>
          <w:rFonts w:eastAsia="Malgun Gothic" w:cs="Arial"/>
          <w:color w:val="000000" w:themeColor="text1"/>
          <w:szCs w:val="20"/>
          <w:lang w:val="en-GB"/>
        </w:rPr>
        <w:t>N</w:t>
      </w:r>
      <w:r w:rsidR="00B70E9E">
        <w:rPr>
          <w:rFonts w:eastAsia="Malgun Gothic" w:cs="Arial"/>
          <w:color w:val="000000" w:themeColor="text1"/>
          <w:szCs w:val="20"/>
          <w:lang w:val="en-GB"/>
        </w:rPr>
        <w:t>on-traditional</w:t>
      </w:r>
      <w:r w:rsidR="00197798">
        <w:rPr>
          <w:rFonts w:eastAsia="Malgun Gothic" w:cs="Arial"/>
          <w:color w:val="000000" w:themeColor="text1"/>
          <w:szCs w:val="20"/>
          <w:lang w:val="en-GB"/>
        </w:rPr>
        <w:t xml:space="preserve"> approaches to</w:t>
      </w:r>
      <w:r w:rsidR="00B70E9E">
        <w:rPr>
          <w:rFonts w:eastAsia="Malgun Gothic" w:cs="Arial"/>
          <w:color w:val="000000" w:themeColor="text1"/>
          <w:szCs w:val="20"/>
          <w:lang w:val="en-GB"/>
        </w:rPr>
        <w:t xml:space="preserve"> spectrum</w:t>
      </w:r>
      <w:r w:rsidR="00197798">
        <w:rPr>
          <w:rFonts w:eastAsia="Malgun Gothic" w:cs="Arial"/>
          <w:color w:val="000000" w:themeColor="text1"/>
          <w:szCs w:val="20"/>
          <w:lang w:val="en-GB"/>
        </w:rPr>
        <w:t xml:space="preserve"> sharing that </w:t>
      </w:r>
      <w:r w:rsidR="00B70E9E">
        <w:rPr>
          <w:rFonts w:eastAsia="Malgun Gothic" w:cs="Arial"/>
          <w:color w:val="000000" w:themeColor="text1"/>
          <w:szCs w:val="20"/>
          <w:lang w:val="en-GB"/>
        </w:rPr>
        <w:t xml:space="preserve">leverage </w:t>
      </w:r>
      <w:r w:rsidR="00197798">
        <w:rPr>
          <w:rFonts w:eastAsia="Malgun Gothic" w:cs="Arial"/>
          <w:color w:val="000000" w:themeColor="text1"/>
          <w:szCs w:val="20"/>
          <w:lang w:val="en-GB"/>
        </w:rPr>
        <w:t xml:space="preserve">the dynamic nature of some spectrum use </w:t>
      </w:r>
      <w:r w:rsidR="00B70E9E">
        <w:rPr>
          <w:rFonts w:eastAsia="Malgun Gothic" w:cs="Arial"/>
          <w:color w:val="000000" w:themeColor="text1"/>
          <w:szCs w:val="20"/>
          <w:lang w:val="en-GB"/>
        </w:rPr>
        <w:t xml:space="preserve">are </w:t>
      </w:r>
      <w:r w:rsidR="00197798" w:rsidRPr="00FD2CD1">
        <w:rPr>
          <w:rFonts w:eastAsia="Malgun Gothic" w:cs="Arial"/>
          <w:color w:val="000000" w:themeColor="text1"/>
          <w:szCs w:val="20"/>
          <w:lang w:val="en-GB"/>
        </w:rPr>
        <w:t xml:space="preserve">the focus of this paper. </w:t>
      </w:r>
      <w:r>
        <w:rPr>
          <w:rFonts w:eastAsia="Malgun Gothic" w:cs="Arial"/>
          <w:color w:val="000000" w:themeColor="text1"/>
          <w:szCs w:val="20"/>
          <w:lang w:val="en-GB"/>
        </w:rPr>
        <w:t>I</w:t>
      </w:r>
      <w:r w:rsidR="00197798" w:rsidRPr="00FD2CD1">
        <w:rPr>
          <w:rFonts w:eastAsia="Malgun Gothic" w:cs="Arial"/>
          <w:color w:val="000000" w:themeColor="text1"/>
          <w:szCs w:val="20"/>
          <w:lang w:val="en-GB"/>
        </w:rPr>
        <w:t xml:space="preserve">t is timely to </w:t>
      </w:r>
      <w:r w:rsidR="00747EC5">
        <w:rPr>
          <w:rFonts w:eastAsia="Malgun Gothic" w:cs="Arial"/>
          <w:color w:val="000000" w:themeColor="text1"/>
          <w:szCs w:val="20"/>
          <w:lang w:val="en-GB"/>
        </w:rPr>
        <w:t>look</w:t>
      </w:r>
      <w:r w:rsidR="00197798" w:rsidRPr="00FD2CD1">
        <w:rPr>
          <w:rFonts w:eastAsia="Malgun Gothic" w:cs="Arial"/>
          <w:color w:val="000000" w:themeColor="text1"/>
          <w:szCs w:val="20"/>
          <w:lang w:val="en-GB"/>
        </w:rPr>
        <w:t xml:space="preserve"> at </w:t>
      </w:r>
      <w:r w:rsidR="00B70E9E">
        <w:rPr>
          <w:rFonts w:eastAsia="Malgun Gothic" w:cs="Arial"/>
          <w:color w:val="000000" w:themeColor="text1"/>
          <w:szCs w:val="20"/>
          <w:lang w:val="en-GB"/>
        </w:rPr>
        <w:t xml:space="preserve">how </w:t>
      </w:r>
      <w:r w:rsidR="00197798" w:rsidRPr="00FD2CD1">
        <w:rPr>
          <w:rFonts w:eastAsia="Malgun Gothic" w:cs="Arial"/>
          <w:color w:val="000000" w:themeColor="text1"/>
          <w:szCs w:val="20"/>
          <w:lang w:val="en-GB"/>
        </w:rPr>
        <w:t xml:space="preserve">some </w:t>
      </w:r>
      <w:r w:rsidR="00B70E9E">
        <w:rPr>
          <w:rFonts w:eastAsia="Malgun Gothic" w:cs="Arial"/>
          <w:color w:val="000000" w:themeColor="text1"/>
          <w:szCs w:val="20"/>
          <w:lang w:val="en-GB"/>
        </w:rPr>
        <w:t xml:space="preserve">contemporary </w:t>
      </w:r>
      <w:r w:rsidR="00197798" w:rsidRPr="00FD2CD1">
        <w:rPr>
          <w:rFonts w:eastAsia="Malgun Gothic" w:cs="Arial"/>
          <w:color w:val="000000" w:themeColor="text1"/>
          <w:szCs w:val="20"/>
          <w:lang w:val="en-GB"/>
        </w:rPr>
        <w:t xml:space="preserve">shared access </w:t>
      </w:r>
      <w:r w:rsidR="00197798">
        <w:rPr>
          <w:rFonts w:eastAsia="Malgun Gothic" w:cs="Arial"/>
          <w:color w:val="000000" w:themeColor="text1"/>
          <w:szCs w:val="20"/>
          <w:lang w:val="en-GB"/>
        </w:rPr>
        <w:t xml:space="preserve">models </w:t>
      </w:r>
      <w:r w:rsidR="00197798" w:rsidRPr="00FD2CD1">
        <w:rPr>
          <w:rFonts w:eastAsia="Malgun Gothic" w:cs="Arial"/>
          <w:color w:val="000000" w:themeColor="text1"/>
          <w:szCs w:val="20"/>
          <w:lang w:val="en-GB"/>
        </w:rPr>
        <w:t>might</w:t>
      </w:r>
      <w:r w:rsidR="00E65AB5">
        <w:rPr>
          <w:rFonts w:eastAsia="Malgun Gothic" w:cs="Arial"/>
          <w:color w:val="000000" w:themeColor="text1"/>
          <w:szCs w:val="20"/>
          <w:lang w:val="en-GB"/>
        </w:rPr>
        <w:t xml:space="preserve"> potentially improve </w:t>
      </w:r>
      <w:r w:rsidR="00197798" w:rsidRPr="00FD2CD1">
        <w:rPr>
          <w:rFonts w:eastAsia="Malgun Gothic" w:cs="Arial"/>
          <w:color w:val="000000" w:themeColor="text1"/>
          <w:szCs w:val="20"/>
          <w:lang w:val="en-GB"/>
        </w:rPr>
        <w:t>the utility of spectrum</w:t>
      </w:r>
      <w:r w:rsidR="00197798">
        <w:rPr>
          <w:rFonts w:eastAsia="Malgun Gothic" w:cs="Arial"/>
          <w:color w:val="000000" w:themeColor="text1"/>
          <w:szCs w:val="20"/>
          <w:lang w:val="en-GB"/>
        </w:rPr>
        <w:t xml:space="preserve"> in Australia</w:t>
      </w:r>
      <w:r w:rsidR="00197798" w:rsidRPr="00FD2CD1">
        <w:rPr>
          <w:rFonts w:eastAsia="Malgun Gothic" w:cs="Arial"/>
          <w:color w:val="000000" w:themeColor="text1"/>
          <w:szCs w:val="20"/>
          <w:lang w:val="en-GB"/>
        </w:rPr>
        <w:t xml:space="preserve">. </w:t>
      </w:r>
      <w:r w:rsidR="00197798">
        <w:rPr>
          <w:rFonts w:eastAsia="Malgun Gothic" w:cs="Arial"/>
          <w:color w:val="000000" w:themeColor="text1"/>
          <w:szCs w:val="20"/>
          <w:lang w:val="en-GB"/>
        </w:rPr>
        <w:t>How</w:t>
      </w:r>
      <w:r w:rsidR="00197798" w:rsidRPr="00FD2CD1">
        <w:rPr>
          <w:rFonts w:eastAsia="Malgun Gothic" w:cs="Arial"/>
          <w:color w:val="000000" w:themeColor="text1"/>
          <w:szCs w:val="20"/>
          <w:lang w:val="en-GB"/>
        </w:rPr>
        <w:t xml:space="preserve"> ‘dynamic’ in nature</w:t>
      </w:r>
      <w:r w:rsidR="00197798">
        <w:rPr>
          <w:rFonts w:eastAsia="Malgun Gothic" w:cs="Arial"/>
          <w:color w:val="000000" w:themeColor="text1"/>
          <w:szCs w:val="20"/>
          <w:lang w:val="en-GB"/>
        </w:rPr>
        <w:t xml:space="preserve"> this sharing is</w:t>
      </w:r>
      <w:r w:rsidR="00B70E9E">
        <w:rPr>
          <w:rFonts w:eastAsia="Malgun Gothic" w:cs="Arial"/>
          <w:color w:val="000000" w:themeColor="text1"/>
          <w:szCs w:val="20"/>
          <w:lang w:val="en-GB"/>
        </w:rPr>
        <w:t>,</w:t>
      </w:r>
      <w:r w:rsidR="00197798">
        <w:rPr>
          <w:rFonts w:eastAsia="Malgun Gothic" w:cs="Arial"/>
          <w:color w:val="000000" w:themeColor="text1"/>
          <w:szCs w:val="20"/>
          <w:lang w:val="en-GB"/>
        </w:rPr>
        <w:t xml:space="preserve"> and </w:t>
      </w:r>
      <w:r w:rsidR="00B70E9E">
        <w:rPr>
          <w:rFonts w:eastAsia="Malgun Gothic" w:cs="Arial"/>
          <w:color w:val="000000" w:themeColor="text1"/>
          <w:szCs w:val="20"/>
          <w:lang w:val="en-GB"/>
        </w:rPr>
        <w:t xml:space="preserve">to </w:t>
      </w:r>
      <w:r w:rsidR="00197798">
        <w:rPr>
          <w:rFonts w:eastAsia="Malgun Gothic" w:cs="Arial"/>
          <w:color w:val="000000" w:themeColor="text1"/>
          <w:szCs w:val="20"/>
          <w:lang w:val="en-GB"/>
        </w:rPr>
        <w:t xml:space="preserve">what </w:t>
      </w:r>
      <w:r w:rsidR="00B70E9E">
        <w:rPr>
          <w:rFonts w:eastAsia="Malgun Gothic" w:cs="Arial"/>
          <w:color w:val="000000" w:themeColor="text1"/>
          <w:szCs w:val="20"/>
          <w:lang w:val="en-GB"/>
        </w:rPr>
        <w:t>extent technology and/or regulation will necessarily play a role, are</w:t>
      </w:r>
      <w:r w:rsidR="00197798" w:rsidRPr="00FD2CD1">
        <w:rPr>
          <w:rFonts w:eastAsia="Malgun Gothic" w:cs="Arial"/>
          <w:color w:val="000000" w:themeColor="text1"/>
          <w:szCs w:val="20"/>
          <w:lang w:val="en-GB"/>
        </w:rPr>
        <w:t xml:space="preserve"> matter</w:t>
      </w:r>
      <w:r w:rsidR="00B70E9E">
        <w:rPr>
          <w:rFonts w:eastAsia="Malgun Gothic" w:cs="Arial"/>
          <w:color w:val="000000" w:themeColor="text1"/>
          <w:szCs w:val="20"/>
          <w:lang w:val="en-GB"/>
        </w:rPr>
        <w:t>s</w:t>
      </w:r>
      <w:r w:rsidR="00197798" w:rsidRPr="00FD2CD1">
        <w:rPr>
          <w:rFonts w:eastAsia="Malgun Gothic" w:cs="Arial"/>
          <w:color w:val="000000" w:themeColor="text1"/>
          <w:szCs w:val="20"/>
          <w:lang w:val="en-GB"/>
        </w:rPr>
        <w:t xml:space="preserve"> for further discussion</w:t>
      </w:r>
      <w:r w:rsidR="00747EC5">
        <w:rPr>
          <w:rFonts w:eastAsia="Malgun Gothic" w:cs="Arial"/>
          <w:color w:val="000000" w:themeColor="text1"/>
          <w:szCs w:val="20"/>
          <w:lang w:val="en-GB"/>
        </w:rPr>
        <w:t>—</w:t>
      </w:r>
      <w:r w:rsidR="00197798" w:rsidRPr="00FD2CD1">
        <w:rPr>
          <w:rFonts w:eastAsia="Malgun Gothic" w:cs="Arial"/>
          <w:color w:val="000000" w:themeColor="text1"/>
          <w:szCs w:val="20"/>
          <w:lang w:val="en-GB"/>
        </w:rPr>
        <w:t xml:space="preserve">indeed how </w:t>
      </w:r>
      <w:r w:rsidR="00983895">
        <w:rPr>
          <w:rFonts w:eastAsia="Malgun Gothic" w:cs="Arial"/>
          <w:color w:val="000000" w:themeColor="text1"/>
          <w:szCs w:val="20"/>
          <w:lang w:val="en-GB"/>
        </w:rPr>
        <w:t>the ACMA</w:t>
      </w:r>
      <w:r w:rsidR="00197798" w:rsidRPr="00FD2CD1">
        <w:rPr>
          <w:rFonts w:eastAsia="Malgun Gothic" w:cs="Arial"/>
          <w:color w:val="000000" w:themeColor="text1"/>
          <w:szCs w:val="20"/>
          <w:lang w:val="en-GB"/>
        </w:rPr>
        <w:t xml:space="preserve"> might balance regulatory/licensing structures and technology types is a key part of the conversation we want to have. </w:t>
      </w:r>
    </w:p>
    <w:p w14:paraId="3BD281B6" w14:textId="56CE1B4E" w:rsidR="00421539" w:rsidRDefault="00421539"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Malgun Gothic" w:cs="Arial"/>
          <w:color w:val="000000" w:themeColor="text1"/>
          <w:szCs w:val="20"/>
          <w:lang w:val="en-GB"/>
        </w:rPr>
      </w:pPr>
      <w:r>
        <w:rPr>
          <w:rFonts w:eastAsia="Malgun Gothic" w:cs="Arial"/>
          <w:color w:val="000000" w:themeColor="text1"/>
          <w:szCs w:val="20"/>
          <w:lang w:val="en-GB"/>
        </w:rPr>
        <w:t>W</w:t>
      </w:r>
      <w:r w:rsidR="00E65AB5">
        <w:rPr>
          <w:rFonts w:eastAsia="Malgun Gothic" w:cs="Arial"/>
          <w:color w:val="000000" w:themeColor="text1"/>
          <w:szCs w:val="20"/>
          <w:lang w:val="en-GB"/>
        </w:rPr>
        <w:t xml:space="preserve">e have included examples of </w:t>
      </w:r>
      <w:r w:rsidR="00CB4ADE">
        <w:rPr>
          <w:rFonts w:eastAsia="Malgun Gothic" w:cs="Arial"/>
          <w:color w:val="000000" w:themeColor="text1"/>
          <w:szCs w:val="20"/>
          <w:lang w:val="en-GB"/>
        </w:rPr>
        <w:t xml:space="preserve">sharing arrangements in other countries, not to express any explicit endorsement or intention to mirror those arrangements, but to open up a discussion on the fitness for purpose of those arrangements (or any variations that might be conceived) in the Australian spectrum environment. </w:t>
      </w:r>
    </w:p>
    <w:p w14:paraId="439B3141" w14:textId="7187C77D" w:rsidR="00E65AB5" w:rsidRPr="00FD2CD1" w:rsidRDefault="00CB4ADE"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Malgun Gothic" w:cs="Arial"/>
          <w:color w:val="000000" w:themeColor="text1"/>
          <w:szCs w:val="20"/>
          <w:lang w:val="en-GB"/>
        </w:rPr>
      </w:pPr>
      <w:r>
        <w:rPr>
          <w:rFonts w:eastAsia="Malgun Gothic" w:cs="Arial"/>
          <w:color w:val="000000" w:themeColor="text1"/>
          <w:szCs w:val="20"/>
          <w:lang w:val="en-GB"/>
        </w:rPr>
        <w:t>Most arrangements to date have only been either trials of DSA-type arrangements or simply variations on more traditional approaches to sharing (</w:t>
      </w:r>
      <w:r w:rsidR="00747EC5">
        <w:rPr>
          <w:rFonts w:eastAsia="Malgun Gothic" w:cs="Arial"/>
          <w:color w:val="000000" w:themeColor="text1"/>
          <w:szCs w:val="20"/>
          <w:lang w:val="en-GB"/>
        </w:rPr>
        <w:t>that is,</w:t>
      </w:r>
      <w:r>
        <w:rPr>
          <w:rFonts w:eastAsia="Malgun Gothic" w:cs="Arial"/>
          <w:color w:val="000000" w:themeColor="text1"/>
          <w:szCs w:val="20"/>
          <w:lang w:val="en-GB"/>
        </w:rPr>
        <w:t xml:space="preserve"> more static than dynamic). The only truly broad-scale DSA undertaking that has been commercially implemented internationally has been the CBRS, with </w:t>
      </w:r>
      <w:r w:rsidR="00AC1D9D">
        <w:rPr>
          <w:rFonts w:eastAsia="Malgun Gothic" w:cs="Arial"/>
          <w:color w:val="000000" w:themeColor="text1"/>
          <w:szCs w:val="20"/>
          <w:lang w:val="en-GB"/>
        </w:rPr>
        <w:t xml:space="preserve">the </w:t>
      </w:r>
      <w:r>
        <w:rPr>
          <w:rFonts w:eastAsia="Malgun Gothic" w:cs="Arial"/>
          <w:color w:val="000000" w:themeColor="text1"/>
          <w:szCs w:val="20"/>
          <w:lang w:val="en-GB"/>
        </w:rPr>
        <w:t xml:space="preserve">formal launch scheduled for September 2019. </w:t>
      </w:r>
    </w:p>
    <w:p w14:paraId="3A12C93A" w14:textId="2ACDCA35" w:rsidR="00E65AB5" w:rsidRDefault="00421539" w:rsidP="000D7782">
      <w:pPr>
        <w:spacing w:before="120" w:after="120" w:line="240" w:lineRule="auto"/>
      </w:pPr>
      <w:r>
        <w:t>N</w:t>
      </w:r>
      <w:r w:rsidR="00437BD1" w:rsidRPr="00DC3C5C">
        <w:t>on-traditional</w:t>
      </w:r>
      <w:r w:rsidR="00A30C5B" w:rsidRPr="00DC3C5C">
        <w:t xml:space="preserve"> sharing approaches </w:t>
      </w:r>
      <w:r w:rsidR="00437BD1" w:rsidRPr="00DC3C5C">
        <w:t xml:space="preserve">described </w:t>
      </w:r>
      <w:r w:rsidR="00A30C5B" w:rsidRPr="00694839">
        <w:t xml:space="preserve">in this paper </w:t>
      </w:r>
      <w:r>
        <w:t>may</w:t>
      </w:r>
      <w:r w:rsidR="00A30C5B" w:rsidRPr="00694839">
        <w:t xml:space="preserve"> not always be the most appropriate spect</w:t>
      </w:r>
      <w:r w:rsidR="00A30C5B" w:rsidRPr="00DC3C5C">
        <w:t>rum management response</w:t>
      </w:r>
      <w:r w:rsidR="00437BD1" w:rsidRPr="00DC3C5C">
        <w:t>s</w:t>
      </w:r>
      <w:r w:rsidR="00A30C5B" w:rsidRPr="00DC3C5C">
        <w:t xml:space="preserve"> to a</w:t>
      </w:r>
      <w:r w:rsidR="00437BD1" w:rsidRPr="00DC3C5C">
        <w:t>ny</w:t>
      </w:r>
      <w:r w:rsidR="00A30C5B" w:rsidRPr="00DC3C5C">
        <w:t xml:space="preserve"> given set of circumstances. In discussing these new and emerging approaches to spectrum sharing in this paper, the ACMA rema</w:t>
      </w:r>
      <w:r w:rsidR="00E65AB5">
        <w:t>i</w:t>
      </w:r>
      <w:r w:rsidR="00A30C5B" w:rsidRPr="00DC3C5C">
        <w:t xml:space="preserve">ns alert that there are other means that may be of assistance to enabling new deployment models that require access to spectrum. </w:t>
      </w:r>
    </w:p>
    <w:p w14:paraId="7949098F" w14:textId="376508E3" w:rsidR="00437BD1" w:rsidRPr="00DC3C5C" w:rsidRDefault="00A30C5B" w:rsidP="000D7782">
      <w:pPr>
        <w:spacing w:before="120" w:after="120" w:line="240" w:lineRule="auto"/>
      </w:pPr>
      <w:r w:rsidRPr="00DC3C5C">
        <w:t>For example, there has been increasing interest from parts of industry in deploying small private area-based networks (sometime referred to as ‘private LTE networks’)</w:t>
      </w:r>
      <w:r w:rsidR="00E65AB5">
        <w:t xml:space="preserve">, which might be better served through implementation of the ACMA’s proposed </w:t>
      </w:r>
      <w:hyperlink r:id="rId25" w:history="1">
        <w:r w:rsidR="00E65AB5">
          <w:rPr>
            <w:rStyle w:val="Hyperlink"/>
          </w:rPr>
          <w:t>area-wide apparatus licence</w:t>
        </w:r>
      </w:hyperlink>
      <w:r w:rsidR="00E65AB5">
        <w:t xml:space="preserve"> type</w:t>
      </w:r>
      <w:r w:rsidRPr="00DC3C5C">
        <w:t>. These types of deployments may require new approaches to authorisation, noting some such networks are already deployed in some areas such as at mine sites.</w:t>
      </w:r>
      <w:r w:rsidR="00437BD1" w:rsidRPr="00DC3C5C">
        <w:t xml:space="preserve"> </w:t>
      </w:r>
    </w:p>
    <w:p w14:paraId="76222800" w14:textId="00FCF35C" w:rsidR="00E65AB5" w:rsidRDefault="00421539" w:rsidP="00E65AB5">
      <w:pPr>
        <w:spacing w:before="120" w:after="120" w:line="240" w:lineRule="auto"/>
      </w:pPr>
      <w:r>
        <w:t xml:space="preserve">In </w:t>
      </w:r>
      <w:r w:rsidR="00E65AB5">
        <w:t xml:space="preserve">some </w:t>
      </w:r>
      <w:r w:rsidR="00747EC5">
        <w:t>instances,</w:t>
      </w:r>
      <w:r w:rsidR="00E65AB5">
        <w:t xml:space="preserve"> it might be more appropriate that variations on </w:t>
      </w:r>
      <w:r w:rsidR="00A30C5B" w:rsidRPr="00DC3C5C">
        <w:t xml:space="preserve">more traditional means </w:t>
      </w:r>
      <w:r w:rsidR="00E65AB5">
        <w:t>are developed, rather</w:t>
      </w:r>
      <w:r w:rsidR="00A30C5B" w:rsidRPr="00DC3C5C">
        <w:t xml:space="preserve"> than </w:t>
      </w:r>
      <w:r w:rsidR="00E65AB5">
        <w:t xml:space="preserve">trying to shoehorn prospective new use cases into </w:t>
      </w:r>
      <w:r w:rsidR="00A30C5B" w:rsidRPr="00DC3C5C">
        <w:t>a dynamic spectrum access</w:t>
      </w:r>
      <w:r w:rsidR="00E65AB5">
        <w:t>-type arrangement</w:t>
      </w:r>
      <w:r w:rsidR="00A30C5B" w:rsidRPr="00DC3C5C">
        <w:t>.</w:t>
      </w:r>
      <w:r w:rsidR="00E65AB5">
        <w:t xml:space="preserve"> More broadly, it</w:t>
      </w:r>
      <w:r w:rsidR="00437BD1" w:rsidRPr="00DC3C5C">
        <w:t xml:space="preserve"> remains the case that facilitation of spectrum access through the application of traditional techniques will continue to be most appropriate in </w:t>
      </w:r>
      <w:proofErr w:type="gramStart"/>
      <w:r w:rsidR="00437BD1" w:rsidRPr="00DC3C5C">
        <w:t>the majority of</w:t>
      </w:r>
      <w:proofErr w:type="gramEnd"/>
      <w:r w:rsidR="00437BD1" w:rsidRPr="00DC3C5C">
        <w:t xml:space="preserve"> circumstances for a long time yet. The concepts </w:t>
      </w:r>
      <w:r w:rsidR="00377039" w:rsidRPr="00DC3C5C">
        <w:t>introduced</w:t>
      </w:r>
      <w:r w:rsidR="00437BD1" w:rsidRPr="00DC3C5C">
        <w:t xml:space="preserve"> in this paper will likely only be appropriate for a subset of spectrum access scenarios, for the foreseeable future at least.</w:t>
      </w:r>
    </w:p>
    <w:p w14:paraId="5AAE1635" w14:textId="77777777" w:rsidR="00E65AB5" w:rsidRDefault="00E65AB5" w:rsidP="00CB4ADE">
      <w:pPr>
        <w:spacing w:before="120" w:after="120" w:line="240" w:lineRule="auto"/>
      </w:pPr>
    </w:p>
    <w:p w14:paraId="0342A7EE" w14:textId="77777777" w:rsidR="00437BD1" w:rsidRDefault="00437BD1" w:rsidP="000D7782">
      <w:pPr>
        <w:spacing w:before="120" w:after="120" w:line="240" w:lineRule="auto"/>
      </w:pPr>
    </w:p>
    <w:p w14:paraId="222EDD4C" w14:textId="77777777" w:rsidR="002177BA" w:rsidRDefault="002177BA"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Malgun Gothic" w:cs="Arial"/>
          <w:color w:val="000000" w:themeColor="text1"/>
          <w:szCs w:val="20"/>
          <w:lang w:val="en-GB"/>
        </w:rPr>
        <w:sectPr w:rsidR="002177BA" w:rsidSect="00C77380">
          <w:headerReference w:type="even" r:id="rId26"/>
          <w:headerReference w:type="default" r:id="rId27"/>
          <w:footerReference w:type="even" r:id="rId28"/>
          <w:footerReference w:type="default" r:id="rId29"/>
          <w:pgSz w:w="11906" w:h="16838" w:code="9"/>
          <w:pgMar w:top="1945" w:right="3101" w:bottom="1134" w:left="1134" w:header="709" w:footer="119" w:gutter="0"/>
          <w:pgNumType w:start="1"/>
          <w:cols w:space="708"/>
          <w:docGrid w:linePitch="360"/>
        </w:sectPr>
      </w:pPr>
    </w:p>
    <w:p w14:paraId="7AEC6E65" w14:textId="410A552F" w:rsidR="002177BA" w:rsidRDefault="002177BA" w:rsidP="002177BA">
      <w:pPr>
        <w:pStyle w:val="Heading1"/>
      </w:pPr>
      <w:bookmarkStart w:id="8" w:name="_Toc442879664"/>
      <w:bookmarkStart w:id="9" w:name="_Toc16054636"/>
      <w:r>
        <w:lastRenderedPageBreak/>
        <w:t>Issue</w:t>
      </w:r>
      <w:r w:rsidRPr="00091E83">
        <w:t>s</w:t>
      </w:r>
      <w:r>
        <w:t xml:space="preserve"> for comment</w:t>
      </w:r>
      <w:bookmarkEnd w:id="8"/>
      <w:bookmarkEnd w:id="9"/>
    </w:p>
    <w:p w14:paraId="17F102A2" w14:textId="0447FF98" w:rsidR="002177BA" w:rsidRPr="00190673" w:rsidRDefault="002177BA" w:rsidP="002177BA">
      <w:pPr>
        <w:spacing w:after="80"/>
        <w:rPr>
          <w:rFonts w:cs="Arial"/>
        </w:rPr>
      </w:pPr>
      <w:r w:rsidRPr="00190673">
        <w:rPr>
          <w:rFonts w:cs="Arial"/>
        </w:rPr>
        <w:t xml:space="preserve">The ACMA invites comments on the issues set out in this </w:t>
      </w:r>
      <w:r w:rsidR="00794EA2">
        <w:rPr>
          <w:rFonts w:cs="Arial"/>
        </w:rPr>
        <w:t>information</w:t>
      </w:r>
      <w:r w:rsidRPr="00190673">
        <w:rPr>
          <w:rFonts w:cs="Arial"/>
        </w:rPr>
        <w:t xml:space="preserve"> paper:</w:t>
      </w:r>
    </w:p>
    <w:p w14:paraId="326A6CF3" w14:textId="77777777" w:rsidR="00A41D2C" w:rsidRPr="00071DFE" w:rsidRDefault="00A41D2C" w:rsidP="00091E83">
      <w:pPr>
        <w:pStyle w:val="ListNumber"/>
      </w:pPr>
      <w:r>
        <w:t>G</w:t>
      </w:r>
      <w:r w:rsidRPr="00071DFE">
        <w:t>iven current momentum in international markets and opportunities for other sharing models offered by 5G technologies</w:t>
      </w:r>
      <w:r>
        <w:t xml:space="preserve">, is it timely to develop a more detailed consideration of spectrum sharing opportunities </w:t>
      </w:r>
      <w:r w:rsidRPr="00071DFE">
        <w:t>in Australia? </w:t>
      </w:r>
    </w:p>
    <w:p w14:paraId="37E28330" w14:textId="77777777" w:rsidR="00A41D2C" w:rsidRPr="00071DFE" w:rsidRDefault="00A41D2C" w:rsidP="00091E83">
      <w:pPr>
        <w:pStyle w:val="ListNumber"/>
      </w:pPr>
      <w:r w:rsidRPr="00071DFE">
        <w:t>Are there recent developments in sharing techniques that industry and the ACMA should be aware of? </w:t>
      </w:r>
    </w:p>
    <w:p w14:paraId="07CFAB46" w14:textId="77777777" w:rsidR="00A41D2C" w:rsidRPr="00071DFE" w:rsidRDefault="00A41D2C" w:rsidP="00091E83">
      <w:pPr>
        <w:pStyle w:val="ListNumber"/>
      </w:pPr>
      <w:r w:rsidRPr="00071DFE">
        <w:t>What are the (potentially new) use cases that might benefit from secondary or tertiary access to spectrum and who benefits? </w:t>
      </w:r>
    </w:p>
    <w:p w14:paraId="44EA3FF2" w14:textId="77777777" w:rsidR="00A41D2C" w:rsidRPr="00071DFE" w:rsidRDefault="00A41D2C" w:rsidP="00091E83">
      <w:pPr>
        <w:pStyle w:val="ListNumber"/>
      </w:pPr>
      <w:r w:rsidRPr="00071DFE">
        <w:t>What are the potential challenges/impediments to the introduction of DSA in Australia</w:t>
      </w:r>
      <w:r>
        <w:t>—technical, industry capability, licensing and regulatory frameworks</w:t>
      </w:r>
      <w:r w:rsidRPr="00071DFE">
        <w:t>? </w:t>
      </w:r>
      <w:r>
        <w:t xml:space="preserve"> </w:t>
      </w:r>
    </w:p>
    <w:p w14:paraId="69A4047F" w14:textId="77777777" w:rsidR="00A41D2C" w:rsidRPr="00071DFE" w:rsidRDefault="00A41D2C" w:rsidP="00091E83">
      <w:pPr>
        <w:pStyle w:val="ListNumber"/>
      </w:pPr>
      <w:r w:rsidRPr="00071DFE">
        <w:t>Facilitating spectrum access (e</w:t>
      </w:r>
      <w:r>
        <w:t>.</w:t>
      </w:r>
      <w:r w:rsidRPr="00071DFE">
        <w:t>g. monitoring, control, reporting, assignment) logically necessitates involvement from both government and industry. Are there any early thoughts on what an appropriate industry/government balance might look like? </w:t>
      </w:r>
      <w:r>
        <w:t>How might the ACMA facilitate shared spectrum access? H</w:t>
      </w:r>
      <w:r w:rsidRPr="00071DFE">
        <w:t>ow might</w:t>
      </w:r>
      <w:r>
        <w:t xml:space="preserve"> the</w:t>
      </w:r>
      <w:r w:rsidRPr="00071DFE">
        <w:t> ACMA address this?   </w:t>
      </w:r>
    </w:p>
    <w:p w14:paraId="544D7751" w14:textId="77777777" w:rsidR="00A41D2C" w:rsidRPr="00071DFE" w:rsidRDefault="00A41D2C" w:rsidP="00091E83">
      <w:pPr>
        <w:pStyle w:val="ListNumber"/>
      </w:pPr>
      <w:r w:rsidRPr="00071DFE">
        <w:t>What is the relevance of DSA examples such as the US Citizens Broadband Radio Service (CBRS) arrangements to the Australian spectrum environment? Are there other or lower cost alternatives to help inform access control and assignment systems of incumbent usage in a timely manner? </w:t>
      </w:r>
    </w:p>
    <w:p w14:paraId="3AE74FF1" w14:textId="77777777" w:rsidR="00A41D2C" w:rsidRDefault="00A41D2C" w:rsidP="00091E83">
      <w:pPr>
        <w:pStyle w:val="ListNumber"/>
      </w:pPr>
      <w:r w:rsidRPr="00071DFE">
        <w:t>Under a multi-tier DSA approach</w:t>
      </w:r>
      <w:r>
        <w:t>:</w:t>
      </w:r>
    </w:p>
    <w:p w14:paraId="56F2B182" w14:textId="77777777" w:rsidR="00A41D2C" w:rsidRDefault="00A41D2C" w:rsidP="00A41D2C">
      <w:pPr>
        <w:numPr>
          <w:ilvl w:val="2"/>
          <w:numId w:val="28"/>
        </w:numPr>
        <w:spacing w:after="160" w:line="259" w:lineRule="auto"/>
      </w:pPr>
      <w:r>
        <w:t>T</w:t>
      </w:r>
      <w:r w:rsidRPr="00071DFE">
        <w:t>ier 1 (highest priority or incumbent) users would be expected to share spectrum with lower tier users when not being utilised. Are there any specific licensing and/or regulatory arrangements that might incentivise the tier 1 users to release unutilised spectrum for lower-tier access?</w:t>
      </w:r>
    </w:p>
    <w:p w14:paraId="3790A3B7" w14:textId="77777777" w:rsidR="00A41D2C" w:rsidRPr="00071DFE" w:rsidRDefault="00A41D2C" w:rsidP="00A41D2C">
      <w:pPr>
        <w:numPr>
          <w:ilvl w:val="2"/>
          <w:numId w:val="28"/>
        </w:numPr>
        <w:spacing w:after="160" w:line="259" w:lineRule="auto"/>
      </w:pPr>
      <w:r>
        <w:t xml:space="preserve">Tier </w:t>
      </w:r>
      <w:r w:rsidRPr="00071DFE">
        <w:t>2 and 3 users need to vacate spectrum (regardless of their service type or communication urgency) for tier 1 user</w:t>
      </w:r>
      <w:r>
        <w:t>s</w:t>
      </w:r>
      <w:r w:rsidRPr="00071DFE">
        <w:t xml:space="preserve"> to operate seamlessly. Do we see potential services/service types in Australia who would fit the criteria of second or third tier user</w:t>
      </w:r>
      <w:r>
        <w:t>s</w:t>
      </w:r>
      <w:r w:rsidRPr="00071DFE">
        <w:t>? What are the incentives to adopt a conditional (lower priority) spectrum than a</w:t>
      </w:r>
      <w:r>
        <w:t>n</w:t>
      </w:r>
      <w:r w:rsidRPr="00071DFE">
        <w:t xml:space="preserve"> unconditional (full access) spectrum?   </w:t>
      </w:r>
    </w:p>
    <w:p w14:paraId="34D1C692" w14:textId="0AA2CA12" w:rsidR="00A30C5B" w:rsidRPr="00FD2CD1" w:rsidRDefault="00A30C5B"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Malgun Gothic" w:cs="Arial"/>
          <w:color w:val="000000" w:themeColor="text1"/>
          <w:szCs w:val="20"/>
          <w:lang w:val="en-GB"/>
        </w:rPr>
      </w:pPr>
    </w:p>
    <w:p w14:paraId="2F489ADB" w14:textId="4A33B90E" w:rsidR="00BE4C11" w:rsidRPr="00747EC5" w:rsidRDefault="009129B5" w:rsidP="00091E83">
      <w:pPr>
        <w:pStyle w:val="Heading1"/>
      </w:pPr>
      <w:bookmarkStart w:id="10" w:name="_Toc863365"/>
      <w:bookmarkStart w:id="11" w:name="_Toc16054637"/>
      <w:bookmarkEnd w:id="3"/>
      <w:r w:rsidRPr="00747EC5">
        <w:lastRenderedPageBreak/>
        <w:t>Introduction</w:t>
      </w:r>
      <w:bookmarkEnd w:id="11"/>
      <w:r w:rsidRPr="00747EC5">
        <w:t xml:space="preserve"> </w:t>
      </w:r>
      <w:bookmarkEnd w:id="10"/>
    </w:p>
    <w:p w14:paraId="02EFFD6B" w14:textId="19652B56" w:rsidR="004F5E0F" w:rsidRPr="00C941E5" w:rsidRDefault="009129B5" w:rsidP="000D7782">
      <w:pPr>
        <w:spacing w:before="120" w:after="120" w:line="240" w:lineRule="auto"/>
        <w:rPr>
          <w:rFonts w:cs="Arial"/>
        </w:rPr>
      </w:pPr>
      <w:bookmarkStart w:id="12" w:name="_Hlk536190444"/>
      <w:r w:rsidRPr="00FD2CD1">
        <w:rPr>
          <w:rFonts w:cs="Arial"/>
          <w:szCs w:val="20"/>
        </w:rPr>
        <w:t>Spectrum sharing is fundamental to effective spectrum management and a key tool in maximi</w:t>
      </w:r>
      <w:r w:rsidR="005473BD">
        <w:rPr>
          <w:rFonts w:cs="Arial"/>
          <w:szCs w:val="20"/>
        </w:rPr>
        <w:t>s</w:t>
      </w:r>
      <w:r w:rsidRPr="00FD2CD1">
        <w:rPr>
          <w:rFonts w:cs="Arial"/>
          <w:szCs w:val="20"/>
        </w:rPr>
        <w:t xml:space="preserve">ing </w:t>
      </w:r>
      <w:r w:rsidR="00466134">
        <w:rPr>
          <w:rFonts w:cs="Arial"/>
          <w:szCs w:val="20"/>
        </w:rPr>
        <w:t>its</w:t>
      </w:r>
      <w:r w:rsidR="00466134" w:rsidRPr="00FD2CD1">
        <w:rPr>
          <w:rFonts w:cs="Arial"/>
          <w:szCs w:val="20"/>
        </w:rPr>
        <w:t xml:space="preserve"> </w:t>
      </w:r>
      <w:r w:rsidRPr="00FD2CD1">
        <w:rPr>
          <w:rFonts w:cs="Arial"/>
          <w:szCs w:val="20"/>
        </w:rPr>
        <w:t xml:space="preserve">benefits. </w:t>
      </w:r>
      <w:r w:rsidR="00775FE6" w:rsidRPr="005E1951">
        <w:rPr>
          <w:rFonts w:cs="Arial"/>
        </w:rPr>
        <w:t>Effective sharing allows spectrum uses and users to coexist (</w:t>
      </w:r>
      <w:r w:rsidR="00747EC5">
        <w:rPr>
          <w:rFonts w:cs="Arial"/>
        </w:rPr>
        <w:t>that is,</w:t>
      </w:r>
      <w:r w:rsidR="00775FE6" w:rsidRPr="005E1951">
        <w:rPr>
          <w:rFonts w:cs="Arial"/>
        </w:rPr>
        <w:t xml:space="preserve"> achieves coexistence) permitting both uses/users to operate. Coexistence of spectrum uses/users is the desired outcome and the objective of sharing</w:t>
      </w:r>
      <w:r w:rsidR="005473BD">
        <w:rPr>
          <w:rFonts w:cs="Arial"/>
        </w:rPr>
        <w:t xml:space="preserve"> and contributes to maximising the overall utility of the spectrum</w:t>
      </w:r>
      <w:r w:rsidR="00775FE6" w:rsidRPr="005E1951">
        <w:rPr>
          <w:rFonts w:cs="Arial"/>
        </w:rPr>
        <w:t xml:space="preserve">. </w:t>
      </w:r>
    </w:p>
    <w:p w14:paraId="5102DA37" w14:textId="7E2ADF01" w:rsidR="0081791D" w:rsidRPr="00747EC5" w:rsidRDefault="0081791D" w:rsidP="00091E83">
      <w:pPr>
        <w:pStyle w:val="Heading2"/>
      </w:pPr>
      <w:bookmarkStart w:id="13" w:name="_Toc16054638"/>
      <w:r w:rsidRPr="00747EC5">
        <w:t>What is spectrum sharing?</w:t>
      </w:r>
      <w:bookmarkEnd w:id="13"/>
      <w:r w:rsidRPr="00747EC5">
        <w:t xml:space="preserve"> </w:t>
      </w:r>
    </w:p>
    <w:p w14:paraId="757A4911" w14:textId="6FEFB73C" w:rsidR="0081791D" w:rsidRPr="005E1951" w:rsidRDefault="00117FA2" w:rsidP="000D7782">
      <w:pPr>
        <w:spacing w:before="120" w:after="120" w:line="240" w:lineRule="auto"/>
        <w:rPr>
          <w:rFonts w:cs="Arial"/>
        </w:rPr>
      </w:pPr>
      <w:r>
        <w:rPr>
          <w:rFonts w:cs="Arial"/>
        </w:rPr>
        <w:t>S</w:t>
      </w:r>
      <w:r w:rsidRPr="005E1951">
        <w:rPr>
          <w:rFonts w:cs="Arial"/>
        </w:rPr>
        <w:t xml:space="preserve">pectrum sharing is </w:t>
      </w:r>
      <w:r>
        <w:rPr>
          <w:rFonts w:cs="Arial"/>
        </w:rPr>
        <w:t>primarily concerned with</w:t>
      </w:r>
      <w:r w:rsidR="00793196">
        <w:rPr>
          <w:rFonts w:cs="Arial"/>
        </w:rPr>
        <w:t xml:space="preserve"> optimising spectrum utility by both facilitating</w:t>
      </w:r>
      <w:r w:rsidR="00FE5126">
        <w:rPr>
          <w:rFonts w:cs="Arial"/>
        </w:rPr>
        <w:t xml:space="preserve"> access by multiple users and minimising mutual</w:t>
      </w:r>
      <w:r w:rsidRPr="005E1951">
        <w:rPr>
          <w:rFonts w:cs="Arial"/>
        </w:rPr>
        <w:t xml:space="preserve"> interference. </w:t>
      </w:r>
      <w:r w:rsidR="0081791D" w:rsidRPr="005E1951">
        <w:rPr>
          <w:rFonts w:cs="Arial"/>
        </w:rPr>
        <w:t>Wanted and unwanted radiofrequency emissions</w:t>
      </w:r>
      <w:r w:rsidR="00747EC5">
        <w:rPr>
          <w:rFonts w:cs="Arial"/>
        </w:rPr>
        <w:t>—</w:t>
      </w:r>
      <w:r w:rsidR="0081791D" w:rsidRPr="005E1951">
        <w:rPr>
          <w:rFonts w:cs="Arial"/>
        </w:rPr>
        <w:t xml:space="preserve">often referred to as </w:t>
      </w:r>
      <w:r w:rsidR="00747EC5">
        <w:rPr>
          <w:rFonts w:cs="Arial"/>
        </w:rPr>
        <w:t>‘</w:t>
      </w:r>
      <w:r w:rsidR="0081791D" w:rsidRPr="00091E83">
        <w:rPr>
          <w:rFonts w:cs="Arial"/>
          <w:iCs/>
        </w:rPr>
        <w:t>signals</w:t>
      </w:r>
      <w:r w:rsidR="00747EC5">
        <w:rPr>
          <w:rFonts w:cs="Arial"/>
          <w:iCs/>
        </w:rPr>
        <w:t>’</w:t>
      </w:r>
      <w:r w:rsidR="0081791D" w:rsidRPr="00747EC5">
        <w:rPr>
          <w:rFonts w:cs="Arial"/>
          <w:iCs/>
        </w:rPr>
        <w:t xml:space="preserve"> </w:t>
      </w:r>
      <w:r w:rsidR="0081791D" w:rsidRPr="005E1951">
        <w:rPr>
          <w:rFonts w:cs="Arial"/>
        </w:rPr>
        <w:t>when the emission is intended</w:t>
      </w:r>
      <w:r w:rsidR="00747EC5">
        <w:rPr>
          <w:rFonts w:cs="Arial"/>
        </w:rPr>
        <w:t>—</w:t>
      </w:r>
      <w:r w:rsidR="0081791D" w:rsidRPr="005E1951">
        <w:rPr>
          <w:rFonts w:cs="Arial"/>
        </w:rPr>
        <w:t xml:space="preserve">cannot be entirely isolated. For example, they cannot be contained on a single frequency or range of frequencies or within a defined geographic area. Emissions therefore ‘leak’ into adjacent frequencies and adjacent areas (or otherwise interact with other emissions), albeit at very low levels in some cases.  </w:t>
      </w:r>
    </w:p>
    <w:p w14:paraId="3A579AC0" w14:textId="776F0A71" w:rsidR="0081791D" w:rsidRPr="005E1951" w:rsidRDefault="0081791D" w:rsidP="000D7782">
      <w:pPr>
        <w:spacing w:before="120" w:after="120" w:line="240" w:lineRule="auto"/>
        <w:rPr>
          <w:rFonts w:cs="Arial"/>
        </w:rPr>
      </w:pPr>
      <w:r w:rsidRPr="005E1951">
        <w:rPr>
          <w:rFonts w:cs="Arial"/>
        </w:rPr>
        <w:t xml:space="preserve">When a receiver receives its desired, or ‘wanted’, emission </w:t>
      </w:r>
      <w:r w:rsidR="00A6508B">
        <w:rPr>
          <w:rFonts w:cs="Arial"/>
        </w:rPr>
        <w:t>at the same time as</w:t>
      </w:r>
      <w:r w:rsidRPr="005E1951">
        <w:rPr>
          <w:rFonts w:cs="Arial"/>
        </w:rPr>
        <w:t xml:space="preserve"> an unwanted emission, </w:t>
      </w:r>
      <w:r w:rsidRPr="00091E83">
        <w:rPr>
          <w:rFonts w:cs="Arial"/>
          <w:iCs/>
        </w:rPr>
        <w:t>interference</w:t>
      </w:r>
      <w:r w:rsidRPr="005E1951">
        <w:rPr>
          <w:rFonts w:cs="Arial"/>
        </w:rPr>
        <w:t xml:space="preserve"> occurs. If the unwanted emission does not affect the receiver’s ability to properly interpret the wanted signal, </w:t>
      </w:r>
      <w:r w:rsidR="00184188">
        <w:rPr>
          <w:rFonts w:cs="Arial"/>
        </w:rPr>
        <w:t>and</w:t>
      </w:r>
      <w:r w:rsidRPr="005E1951">
        <w:rPr>
          <w:rFonts w:cs="Arial"/>
        </w:rPr>
        <w:t xml:space="preserve"> the desired communication is possible, the interference level </w:t>
      </w:r>
      <w:r w:rsidR="00DD3DE0">
        <w:rPr>
          <w:rFonts w:cs="Arial"/>
        </w:rPr>
        <w:t>has been</w:t>
      </w:r>
      <w:r w:rsidR="00DD3DE0" w:rsidRPr="005E1951">
        <w:rPr>
          <w:rFonts w:cs="Arial"/>
        </w:rPr>
        <w:t xml:space="preserve"> </w:t>
      </w:r>
      <w:r w:rsidRPr="005E1951">
        <w:rPr>
          <w:rFonts w:cs="Arial"/>
        </w:rPr>
        <w:t xml:space="preserve">adequately </w:t>
      </w:r>
      <w:r w:rsidR="00FA18C1" w:rsidRPr="005E1951">
        <w:rPr>
          <w:rFonts w:cs="Arial"/>
        </w:rPr>
        <w:t>managed,</w:t>
      </w:r>
      <w:r w:rsidRPr="005E1951">
        <w:rPr>
          <w:rFonts w:cs="Arial"/>
        </w:rPr>
        <w:t xml:space="preserve"> and </w:t>
      </w:r>
      <w:r w:rsidRPr="00091E83">
        <w:rPr>
          <w:rFonts w:cs="Arial"/>
          <w:iCs/>
        </w:rPr>
        <w:t>coexistence</w:t>
      </w:r>
      <w:r w:rsidRPr="005E1951">
        <w:rPr>
          <w:rFonts w:cs="Arial"/>
        </w:rPr>
        <w:t xml:space="preserve"> </w:t>
      </w:r>
      <w:r w:rsidR="00DD3DE0">
        <w:rPr>
          <w:rFonts w:cs="Arial"/>
        </w:rPr>
        <w:t>between the wanted and unwanted emissions</w:t>
      </w:r>
      <w:r w:rsidR="00747EC5">
        <w:rPr>
          <w:rFonts w:cs="Arial"/>
        </w:rPr>
        <w:t>—</w:t>
      </w:r>
      <w:r w:rsidR="00DD3DE0">
        <w:rPr>
          <w:rFonts w:cs="Arial"/>
        </w:rPr>
        <w:t xml:space="preserve">noting that </w:t>
      </w:r>
      <w:r w:rsidR="0053375E">
        <w:rPr>
          <w:rFonts w:cs="Arial"/>
        </w:rPr>
        <w:t>one receiver’s unwanted emission is another’s wanted emission</w:t>
      </w:r>
      <w:r w:rsidR="00747EC5">
        <w:rPr>
          <w:rFonts w:cs="Arial"/>
        </w:rPr>
        <w:t>—</w:t>
      </w:r>
      <w:r w:rsidRPr="005E1951">
        <w:rPr>
          <w:rFonts w:cs="Arial"/>
        </w:rPr>
        <w:t xml:space="preserve">is achieved. However, if the ability of the receiver to interpret the wanted signal is compromised </w:t>
      </w:r>
      <w:r w:rsidR="00D61672">
        <w:rPr>
          <w:rFonts w:cs="Arial"/>
        </w:rPr>
        <w:t xml:space="preserve">to the extent that the wanted signal cannot be </w:t>
      </w:r>
      <w:r w:rsidR="00B919DB">
        <w:rPr>
          <w:rFonts w:cs="Arial"/>
        </w:rPr>
        <w:t xml:space="preserve">adequately reproduced by the </w:t>
      </w:r>
      <w:r w:rsidR="00A9600D">
        <w:rPr>
          <w:rFonts w:cs="Arial"/>
        </w:rPr>
        <w:t>receiver</w:t>
      </w:r>
      <w:r w:rsidRPr="005E1951">
        <w:rPr>
          <w:rFonts w:cs="Arial"/>
        </w:rPr>
        <w:t xml:space="preserve">, the interference </w:t>
      </w:r>
      <w:r w:rsidR="00A9600D">
        <w:rPr>
          <w:rFonts w:cs="Arial"/>
        </w:rPr>
        <w:t xml:space="preserve">can be </w:t>
      </w:r>
      <w:r w:rsidR="00FA18C1" w:rsidRPr="005E1951">
        <w:rPr>
          <w:rFonts w:cs="Arial"/>
        </w:rPr>
        <w:t>detrimental,</w:t>
      </w:r>
      <w:r w:rsidRPr="005E1951">
        <w:rPr>
          <w:rFonts w:cs="Arial"/>
        </w:rPr>
        <w:t xml:space="preserve"> </w:t>
      </w:r>
      <w:r w:rsidR="00A9600D">
        <w:rPr>
          <w:rFonts w:cs="Arial"/>
        </w:rPr>
        <w:t>so</w:t>
      </w:r>
      <w:r w:rsidR="00A9600D" w:rsidRPr="005E1951">
        <w:rPr>
          <w:rFonts w:cs="Arial"/>
        </w:rPr>
        <w:t xml:space="preserve"> </w:t>
      </w:r>
      <w:r w:rsidRPr="005E1951">
        <w:rPr>
          <w:rFonts w:cs="Arial"/>
        </w:rPr>
        <w:t xml:space="preserve">coexistence </w:t>
      </w:r>
      <w:r w:rsidR="00A9600D">
        <w:rPr>
          <w:rFonts w:cs="Arial"/>
        </w:rPr>
        <w:t>has</w:t>
      </w:r>
      <w:r w:rsidR="00A9600D" w:rsidRPr="005E1951">
        <w:rPr>
          <w:rFonts w:cs="Arial"/>
        </w:rPr>
        <w:t xml:space="preserve"> </w:t>
      </w:r>
      <w:r w:rsidRPr="005E1951">
        <w:rPr>
          <w:rFonts w:cs="Arial"/>
        </w:rPr>
        <w:t xml:space="preserve">not </w:t>
      </w:r>
      <w:r w:rsidR="00A9600D">
        <w:rPr>
          <w:rFonts w:cs="Arial"/>
        </w:rPr>
        <w:t xml:space="preserve">been </w:t>
      </w:r>
      <w:r w:rsidRPr="005E1951">
        <w:rPr>
          <w:rFonts w:cs="Arial"/>
        </w:rPr>
        <w:t>achieved.</w:t>
      </w:r>
    </w:p>
    <w:p w14:paraId="7ADE9B3E" w14:textId="37710D3B" w:rsidR="00117FA2" w:rsidRDefault="0081791D" w:rsidP="000D7782">
      <w:pPr>
        <w:spacing w:before="120" w:after="120" w:line="240" w:lineRule="auto"/>
        <w:rPr>
          <w:rFonts w:cs="Arial"/>
        </w:rPr>
      </w:pPr>
      <w:r w:rsidRPr="005E1951">
        <w:rPr>
          <w:rFonts w:cs="Arial"/>
        </w:rPr>
        <w:t>Spectrum sharing is the process or technique for manag</w:t>
      </w:r>
      <w:r w:rsidR="00117FA2">
        <w:rPr>
          <w:rFonts w:cs="Arial"/>
        </w:rPr>
        <w:t xml:space="preserve">ing </w:t>
      </w:r>
      <w:r w:rsidR="007D7039">
        <w:rPr>
          <w:rFonts w:cs="Arial"/>
        </w:rPr>
        <w:t>interference</w:t>
      </w:r>
      <w:r w:rsidRPr="005E1951">
        <w:rPr>
          <w:rFonts w:cs="Arial"/>
        </w:rPr>
        <w:t xml:space="preserve"> so the spectrum resource can be utilised by multiple uses (</w:t>
      </w:r>
      <w:r w:rsidRPr="00091E83">
        <w:rPr>
          <w:rFonts w:cs="Arial"/>
          <w:iCs/>
        </w:rPr>
        <w:t>services</w:t>
      </w:r>
      <w:r w:rsidRPr="00A41D2C">
        <w:rPr>
          <w:rFonts w:cs="Arial"/>
          <w:iCs/>
        </w:rPr>
        <w:t xml:space="preserve"> and/or </w:t>
      </w:r>
      <w:r w:rsidRPr="00091E83">
        <w:rPr>
          <w:rFonts w:cs="Arial"/>
          <w:iCs/>
        </w:rPr>
        <w:t>applications</w:t>
      </w:r>
      <w:r w:rsidRPr="005E1951">
        <w:rPr>
          <w:rFonts w:cs="Arial"/>
        </w:rPr>
        <w:t xml:space="preserve">) and individual users (individual licensees, </w:t>
      </w:r>
      <w:r w:rsidRPr="00091E83">
        <w:rPr>
          <w:rFonts w:cs="Arial"/>
          <w:iCs/>
        </w:rPr>
        <w:t>assignments</w:t>
      </w:r>
      <w:r w:rsidRPr="00A41D2C">
        <w:rPr>
          <w:rFonts w:cs="Arial"/>
          <w:iCs/>
        </w:rPr>
        <w:t>)</w:t>
      </w:r>
      <w:r w:rsidR="00503DA7" w:rsidRPr="00A41D2C">
        <w:rPr>
          <w:rFonts w:cs="Arial"/>
          <w:iCs/>
        </w:rPr>
        <w:t xml:space="preserve">, </w:t>
      </w:r>
      <w:r w:rsidR="00503DA7">
        <w:rPr>
          <w:rFonts w:cs="Arial"/>
        </w:rPr>
        <w:t>while maintaining coexistence between those users.</w:t>
      </w:r>
    </w:p>
    <w:p w14:paraId="4DD88753" w14:textId="234EBC95" w:rsidR="0081791D" w:rsidRPr="005E1951" w:rsidRDefault="0081791D" w:rsidP="000D7782">
      <w:pPr>
        <w:spacing w:before="120" w:after="120" w:line="240" w:lineRule="auto"/>
        <w:rPr>
          <w:rFonts w:cs="Arial"/>
        </w:rPr>
      </w:pPr>
      <w:r w:rsidRPr="005E1951">
        <w:rPr>
          <w:rFonts w:cs="Arial"/>
        </w:rPr>
        <w:t>In simple terms, the entire radiofrequency spectrum is shared through a range of technical and administrative arrangements. As outlined in Recommendation ITU-R SM.1132-2</w:t>
      </w:r>
      <w:r w:rsidR="007D7039">
        <w:rPr>
          <w:rStyle w:val="FootnoteReference"/>
          <w:rFonts w:cs="Arial"/>
        </w:rPr>
        <w:footnoteReference w:id="5"/>
      </w:r>
      <w:r w:rsidRPr="005E1951">
        <w:rPr>
          <w:rFonts w:cs="Arial"/>
        </w:rPr>
        <w:t>:</w:t>
      </w:r>
    </w:p>
    <w:p w14:paraId="06CC5140" w14:textId="3DE37D89" w:rsidR="0081791D" w:rsidRPr="005E1951" w:rsidRDefault="00747EC5" w:rsidP="00091E83">
      <w:r>
        <w:t>‘</w:t>
      </w:r>
      <w:r w:rsidR="0081791D" w:rsidRPr="005E1951">
        <w:t xml:space="preserve">Utilisation of the radio spectrum is dependent on the dimensions of frequency, spatial location, time and </w:t>
      </w:r>
      <w:r w:rsidR="0081791D" w:rsidRPr="00091E83">
        <w:rPr>
          <w:iCs/>
        </w:rPr>
        <w:t>signal separation</w:t>
      </w:r>
      <w:r w:rsidR="0081791D" w:rsidRPr="00747EC5">
        <w:rPr>
          <w:iCs/>
        </w:rPr>
        <w:t>.</w:t>
      </w:r>
      <w:r w:rsidR="0081791D" w:rsidRPr="005E1951">
        <w:t xml:space="preserve"> Any sharing of the spectrum will have to </w:t>
      </w:r>
      <w:proofErr w:type="gramStart"/>
      <w:r w:rsidR="0081791D" w:rsidRPr="005E1951">
        <w:t>take into account</w:t>
      </w:r>
      <w:proofErr w:type="gramEnd"/>
      <w:r w:rsidR="0081791D" w:rsidRPr="005E1951">
        <w:t xml:space="preserve"> one or more of these four dimensions. Sharing can be accomplished in a straightforward fashion when any two of these dimensions are in common and the third and/or fourth dimension differs by a degree sufficient to ensure that all the involved services or stations (two or more) can operate satisfactorily.</w:t>
      </w:r>
      <w:r>
        <w:t>’</w:t>
      </w:r>
    </w:p>
    <w:p w14:paraId="6755AC69" w14:textId="67A30D59" w:rsidR="0081791D" w:rsidRPr="005E1951" w:rsidRDefault="0081791D" w:rsidP="000D7782">
      <w:pPr>
        <w:spacing w:before="120" w:after="120" w:line="240" w:lineRule="auto"/>
        <w:rPr>
          <w:rFonts w:cs="Arial"/>
        </w:rPr>
      </w:pPr>
      <w:r w:rsidRPr="005E1951">
        <w:rPr>
          <w:rFonts w:cs="Arial"/>
        </w:rPr>
        <w:t xml:space="preserve">As with all forms of resource sharing, spectrum sharing requires some degree of compromise between multiple uses or users </w:t>
      </w:r>
      <w:r w:rsidR="002C690F">
        <w:rPr>
          <w:rFonts w:cs="Arial"/>
        </w:rPr>
        <w:t>sharing the</w:t>
      </w:r>
      <w:r w:rsidRPr="005E1951">
        <w:rPr>
          <w:rFonts w:cs="Arial"/>
        </w:rPr>
        <w:t xml:space="preserve"> spectrum. This need for compromise, which can range from major to insignificant, is one of the key causes for tension within the spectrum management process. </w:t>
      </w:r>
    </w:p>
    <w:p w14:paraId="5CC41FC5" w14:textId="604A245E" w:rsidR="0081791D" w:rsidRPr="005E1951" w:rsidRDefault="0081791D" w:rsidP="000D7782">
      <w:pPr>
        <w:spacing w:before="120" w:after="120" w:line="240" w:lineRule="auto"/>
        <w:rPr>
          <w:rFonts w:cs="Arial"/>
        </w:rPr>
      </w:pPr>
      <w:r w:rsidRPr="005E1951">
        <w:rPr>
          <w:rFonts w:cs="Arial"/>
        </w:rPr>
        <w:t xml:space="preserve">An example of a major or </w:t>
      </w:r>
      <w:r w:rsidR="006043E4">
        <w:rPr>
          <w:rFonts w:cs="Arial"/>
        </w:rPr>
        <w:t>material</w:t>
      </w:r>
      <w:r w:rsidR="006043E4" w:rsidRPr="005E1951">
        <w:rPr>
          <w:rFonts w:cs="Arial"/>
        </w:rPr>
        <w:t xml:space="preserve"> </w:t>
      </w:r>
      <w:r w:rsidRPr="005E1951">
        <w:rPr>
          <w:rFonts w:cs="Arial"/>
        </w:rPr>
        <w:t>compromise is geographical separation</w:t>
      </w:r>
      <w:r w:rsidR="006043E4">
        <w:rPr>
          <w:rFonts w:cs="Arial"/>
        </w:rPr>
        <w:t>,</w:t>
      </w:r>
      <w:r w:rsidRPr="005E1951">
        <w:rPr>
          <w:rFonts w:cs="Arial"/>
        </w:rPr>
        <w:t xml:space="preserve"> where one use or user is required to </w:t>
      </w:r>
      <w:r w:rsidR="006043E4">
        <w:rPr>
          <w:rFonts w:cs="Arial"/>
        </w:rPr>
        <w:t>be located</w:t>
      </w:r>
      <w:r w:rsidR="00B22E61">
        <w:rPr>
          <w:rFonts w:cs="Arial"/>
        </w:rPr>
        <w:t xml:space="preserve"> at a not inconsiderable distance</w:t>
      </w:r>
      <w:r w:rsidR="006043E4" w:rsidRPr="005E1951">
        <w:rPr>
          <w:rFonts w:cs="Arial"/>
        </w:rPr>
        <w:t xml:space="preserve"> </w:t>
      </w:r>
      <w:r w:rsidR="00B22E61">
        <w:rPr>
          <w:rFonts w:cs="Arial"/>
        </w:rPr>
        <w:t>away from</w:t>
      </w:r>
      <w:r w:rsidR="00225014">
        <w:rPr>
          <w:rFonts w:cs="Arial"/>
        </w:rPr>
        <w:t xml:space="preserve"> the other to ensure coexistence is maintained</w:t>
      </w:r>
      <w:r w:rsidRPr="005E1951">
        <w:rPr>
          <w:rFonts w:cs="Arial"/>
        </w:rPr>
        <w:t xml:space="preserve">. An example of </w:t>
      </w:r>
      <w:r w:rsidR="00225014">
        <w:rPr>
          <w:rFonts w:cs="Arial"/>
        </w:rPr>
        <w:t>a simple</w:t>
      </w:r>
      <w:r w:rsidRPr="005E1951">
        <w:rPr>
          <w:rFonts w:cs="Arial"/>
        </w:rPr>
        <w:t xml:space="preserve"> compromise might be where a frequency is assigned following established rules. While sharing is </w:t>
      </w:r>
      <w:r w:rsidR="00E941B4">
        <w:rPr>
          <w:rFonts w:cs="Arial"/>
        </w:rPr>
        <w:lastRenderedPageBreak/>
        <w:t xml:space="preserve">generally </w:t>
      </w:r>
      <w:r w:rsidR="00743A83">
        <w:rPr>
          <w:rFonts w:cs="Arial"/>
        </w:rPr>
        <w:t>applied</w:t>
      </w:r>
      <w:r w:rsidR="00E941B4" w:rsidRPr="005E1951">
        <w:rPr>
          <w:rFonts w:cs="Arial"/>
        </w:rPr>
        <w:t xml:space="preserve"> </w:t>
      </w:r>
      <w:r w:rsidRPr="005E1951">
        <w:rPr>
          <w:rFonts w:cs="Arial"/>
        </w:rPr>
        <w:t xml:space="preserve">through specific parameters applied to </w:t>
      </w:r>
      <w:r w:rsidR="00743A83">
        <w:rPr>
          <w:rFonts w:cs="Arial"/>
        </w:rPr>
        <w:t>a</w:t>
      </w:r>
      <w:r w:rsidR="00743A83" w:rsidRPr="005E1951">
        <w:rPr>
          <w:rFonts w:cs="Arial"/>
        </w:rPr>
        <w:t xml:space="preserve"> </w:t>
      </w:r>
      <w:r w:rsidRPr="005E1951">
        <w:rPr>
          <w:rFonts w:cs="Arial"/>
        </w:rPr>
        <w:t xml:space="preserve">licence, these parameters do not typically have a material impact because they are fit for the intended purpose. </w:t>
      </w:r>
    </w:p>
    <w:p w14:paraId="34B89ED6" w14:textId="79B60518" w:rsidR="00FA0D66" w:rsidRDefault="00065734" w:rsidP="000D7782">
      <w:pPr>
        <w:spacing w:before="120" w:after="120" w:line="240" w:lineRule="auto"/>
        <w:rPr>
          <w:rFonts w:cs="Arial"/>
        </w:rPr>
      </w:pPr>
      <w:r>
        <w:rPr>
          <w:rFonts w:cs="Arial"/>
        </w:rPr>
        <w:t>In such cases, s</w:t>
      </w:r>
      <w:r w:rsidR="0081791D" w:rsidRPr="005E1951">
        <w:rPr>
          <w:rFonts w:cs="Arial"/>
        </w:rPr>
        <w:t xml:space="preserve">haring takes the form of technical and/or operational restrictions, </w:t>
      </w:r>
      <w:r w:rsidR="00F35352">
        <w:rPr>
          <w:rFonts w:cs="Arial"/>
        </w:rPr>
        <w:t>on one, some or all parties involved</w:t>
      </w:r>
      <w:r w:rsidR="0081791D" w:rsidRPr="005E1951">
        <w:rPr>
          <w:rFonts w:cs="Arial"/>
        </w:rPr>
        <w:t>. These restrictions identify and put in place measures that manage the potential for interference between uses and users. Effective sharing through limiting use/users to certain technical and operational parameters allows spectrum uses and users to coexist</w:t>
      </w:r>
      <w:r w:rsidR="00053F7C">
        <w:rPr>
          <w:rFonts w:cs="Arial"/>
        </w:rPr>
        <w:t>, which is the primary</w:t>
      </w:r>
      <w:r w:rsidR="0081791D" w:rsidRPr="005E1951">
        <w:rPr>
          <w:rFonts w:cs="Arial"/>
        </w:rPr>
        <w:t xml:space="preserve"> objective of </w:t>
      </w:r>
      <w:r w:rsidR="00053F7C">
        <w:rPr>
          <w:rFonts w:cs="Arial"/>
        </w:rPr>
        <w:t xml:space="preserve">spectrum </w:t>
      </w:r>
      <w:r w:rsidR="0081791D" w:rsidRPr="005E1951">
        <w:rPr>
          <w:rFonts w:cs="Arial"/>
        </w:rPr>
        <w:t xml:space="preserve">sharing. </w:t>
      </w:r>
      <w:r w:rsidR="00777766">
        <w:rPr>
          <w:rFonts w:cs="Arial"/>
        </w:rPr>
        <w:t>This</w:t>
      </w:r>
      <w:r w:rsidR="0081791D" w:rsidRPr="005E1951">
        <w:rPr>
          <w:rFonts w:cs="Arial"/>
        </w:rPr>
        <w:t xml:space="preserve"> can lead to increased spectrum utilisation </w:t>
      </w:r>
      <w:r w:rsidR="000819AC">
        <w:rPr>
          <w:rFonts w:cs="Arial"/>
        </w:rPr>
        <w:t>but</w:t>
      </w:r>
      <w:r w:rsidR="0081791D" w:rsidRPr="005E1951">
        <w:rPr>
          <w:rFonts w:cs="Arial"/>
        </w:rPr>
        <w:t xml:space="preserve"> </w:t>
      </w:r>
      <w:r w:rsidR="00BB78F8">
        <w:rPr>
          <w:rFonts w:cs="Arial"/>
        </w:rPr>
        <w:t xml:space="preserve">importantly </w:t>
      </w:r>
      <w:r w:rsidR="0081791D" w:rsidRPr="005E1951">
        <w:rPr>
          <w:rFonts w:cs="Arial"/>
        </w:rPr>
        <w:t xml:space="preserve">does not imply that there will be no interference between different uses/users. </w:t>
      </w:r>
    </w:p>
    <w:p w14:paraId="06ADD39E" w14:textId="79F07753" w:rsidR="0081791D" w:rsidRDefault="00CC201A" w:rsidP="000D7782">
      <w:pPr>
        <w:spacing w:before="120" w:after="120" w:line="240" w:lineRule="auto"/>
        <w:rPr>
          <w:rFonts w:cs="Arial"/>
        </w:rPr>
      </w:pPr>
      <w:r>
        <w:rPr>
          <w:rFonts w:cs="Arial"/>
        </w:rPr>
        <w:t xml:space="preserve">There is always a balance to achieve to optimise efficient spectrum utilisation. </w:t>
      </w:r>
      <w:r w:rsidR="00B226F2">
        <w:rPr>
          <w:rFonts w:cs="Arial"/>
        </w:rPr>
        <w:t xml:space="preserve">An </w:t>
      </w:r>
      <w:r w:rsidR="0081791D" w:rsidRPr="005E1951">
        <w:rPr>
          <w:rFonts w:cs="Arial"/>
        </w:rPr>
        <w:t>objective of ‘no interference</w:t>
      </w:r>
      <w:r w:rsidR="00B32BE6">
        <w:rPr>
          <w:rStyle w:val="FootnoteReference"/>
          <w:rFonts w:cs="Arial"/>
        </w:rPr>
        <w:footnoteReference w:id="6"/>
      </w:r>
      <w:r w:rsidR="0081791D" w:rsidRPr="005E1951">
        <w:rPr>
          <w:rFonts w:cs="Arial"/>
        </w:rPr>
        <w:t xml:space="preserve">’ is likely to result in an overly conservative </w:t>
      </w:r>
      <w:r w:rsidR="00890C94">
        <w:rPr>
          <w:rFonts w:cs="Arial"/>
        </w:rPr>
        <w:t xml:space="preserve">access framework which </w:t>
      </w:r>
      <w:r w:rsidR="00F1494F">
        <w:rPr>
          <w:rFonts w:cs="Arial"/>
        </w:rPr>
        <w:t>fails to yield the full benefits of sharing</w:t>
      </w:r>
      <w:r w:rsidR="006D2B1E">
        <w:rPr>
          <w:rFonts w:cs="Arial"/>
        </w:rPr>
        <w:t>, but interference also needs to be managed in a way that the</w:t>
      </w:r>
      <w:r w:rsidR="0091087C">
        <w:rPr>
          <w:rFonts w:cs="Arial"/>
        </w:rPr>
        <w:t xml:space="preserve"> practical usefulness of the available spectrum is not compromised. </w:t>
      </w:r>
      <w:r w:rsidR="00737066">
        <w:rPr>
          <w:rFonts w:cs="Arial"/>
        </w:rPr>
        <w:t>Also,</w:t>
      </w:r>
      <w:r w:rsidR="00301AC4">
        <w:rPr>
          <w:rFonts w:cs="Arial"/>
        </w:rPr>
        <w:t xml:space="preserve"> the tolerance to interference can reasonably be expected to differ between primary/incumbent and secondary users</w:t>
      </w:r>
      <w:r w:rsidR="00737066">
        <w:rPr>
          <w:rFonts w:cs="Arial"/>
        </w:rPr>
        <w:t xml:space="preserve"> in some cases, for example when the primary use is mission or safety-critical but itinerant and sporadic in nature</w:t>
      </w:r>
      <w:r w:rsidR="00301AC4">
        <w:rPr>
          <w:rFonts w:cs="Arial"/>
        </w:rPr>
        <w:t xml:space="preserve">. </w:t>
      </w:r>
      <w:r w:rsidR="0081791D" w:rsidRPr="005E1951">
        <w:rPr>
          <w:rFonts w:cs="Arial"/>
        </w:rPr>
        <w:t xml:space="preserve"> </w:t>
      </w:r>
    </w:p>
    <w:p w14:paraId="65D1BDE8" w14:textId="0A8D5454" w:rsidR="00FD2948" w:rsidRPr="005E1951" w:rsidRDefault="0093525A" w:rsidP="000D7782">
      <w:pPr>
        <w:spacing w:before="120" w:after="120" w:line="240" w:lineRule="auto"/>
        <w:rPr>
          <w:rFonts w:cs="Arial"/>
        </w:rPr>
      </w:pPr>
      <w:r>
        <w:rPr>
          <w:rFonts w:cs="Arial"/>
        </w:rPr>
        <w:t>This</w:t>
      </w:r>
      <w:r w:rsidR="00FD2948">
        <w:rPr>
          <w:rFonts w:cs="Arial"/>
        </w:rPr>
        <w:t xml:space="preserve"> heterogeneous distribution of burden is put into effect by a form of ranking, tiering or prioritisation, which may be informed by government policy, operational criticality or market settings.</w:t>
      </w:r>
    </w:p>
    <w:p w14:paraId="48A86C3A" w14:textId="77777777" w:rsidR="000C01A7" w:rsidRPr="00747EC5" w:rsidRDefault="000C01A7" w:rsidP="00091E83">
      <w:pPr>
        <w:pStyle w:val="Heading2"/>
      </w:pPr>
      <w:bookmarkStart w:id="14" w:name="_Toc16054639"/>
      <w:r w:rsidRPr="00747EC5">
        <w:t>How sharing is achieved</w:t>
      </w:r>
      <w:bookmarkEnd w:id="14"/>
      <w:r w:rsidRPr="00747EC5">
        <w:t xml:space="preserve"> </w:t>
      </w:r>
    </w:p>
    <w:p w14:paraId="67153DA8" w14:textId="77777777" w:rsidR="008F3B11" w:rsidRDefault="00250B12" w:rsidP="000D7782">
      <w:pPr>
        <w:spacing w:before="120" w:after="120" w:line="240" w:lineRule="auto"/>
        <w:rPr>
          <w:rFonts w:cs="Arial"/>
        </w:rPr>
      </w:pPr>
      <w:r>
        <w:rPr>
          <w:rFonts w:cs="Arial"/>
        </w:rPr>
        <w:t xml:space="preserve">Different sharing models are </w:t>
      </w:r>
      <w:r w:rsidR="00466134">
        <w:rPr>
          <w:rFonts w:cs="Arial"/>
        </w:rPr>
        <w:t>underpinned by</w:t>
      </w:r>
      <w:r>
        <w:rPr>
          <w:rFonts w:cs="Arial"/>
        </w:rPr>
        <w:t xml:space="preserve"> varying </w:t>
      </w:r>
      <w:r w:rsidR="00466134">
        <w:rPr>
          <w:rFonts w:cs="Arial"/>
        </w:rPr>
        <w:t xml:space="preserve">combinations of technical and regulatory concepts and </w:t>
      </w:r>
      <w:r w:rsidR="00896919" w:rsidRPr="005E1951">
        <w:rPr>
          <w:rFonts w:cs="Arial"/>
        </w:rPr>
        <w:t>techniques. The aim of these sharing techniques is not to eliminate interference but to manage it such that the resulting operating environment is both known and understood by all parties and is adequate for the intended use</w:t>
      </w:r>
      <w:r w:rsidR="00AD628E">
        <w:rPr>
          <w:rFonts w:cs="Arial"/>
        </w:rPr>
        <w:t>(s) of</w:t>
      </w:r>
      <w:r w:rsidR="006178E3">
        <w:rPr>
          <w:rFonts w:cs="Arial"/>
        </w:rPr>
        <w:t xml:space="preserve"> </w:t>
      </w:r>
      <w:r w:rsidR="0029793B">
        <w:rPr>
          <w:rFonts w:cs="Arial"/>
        </w:rPr>
        <w:t>the shared environment</w:t>
      </w:r>
      <w:r w:rsidR="00896919" w:rsidRPr="005E1951">
        <w:rPr>
          <w:rFonts w:cs="Arial"/>
        </w:rPr>
        <w:t xml:space="preserve">. </w:t>
      </w:r>
    </w:p>
    <w:p w14:paraId="72BD0C26" w14:textId="406E6B40" w:rsidR="00896919" w:rsidRPr="005E1951" w:rsidRDefault="00896919" w:rsidP="00091E83">
      <w:pPr>
        <w:spacing w:before="120" w:after="80" w:line="240" w:lineRule="auto"/>
        <w:rPr>
          <w:rFonts w:cs="Arial"/>
        </w:rPr>
      </w:pPr>
      <w:r w:rsidRPr="005E1951">
        <w:rPr>
          <w:rFonts w:cs="Arial"/>
        </w:rPr>
        <w:t>Sharing techniques are intended to sufficiently isolate use</w:t>
      </w:r>
      <w:r>
        <w:rPr>
          <w:rFonts w:cs="Arial"/>
        </w:rPr>
        <w:t xml:space="preserve">s or </w:t>
      </w:r>
      <w:r w:rsidRPr="005E1951">
        <w:rPr>
          <w:rFonts w:cs="Arial"/>
        </w:rPr>
        <w:t xml:space="preserve">users of the spectrum through controlling one or more </w:t>
      </w:r>
      <w:r w:rsidR="006178E3">
        <w:rPr>
          <w:rFonts w:cs="Arial"/>
        </w:rPr>
        <w:t>broad dimensions</w:t>
      </w:r>
      <w:r w:rsidRPr="005E1951">
        <w:rPr>
          <w:rFonts w:cs="Arial"/>
        </w:rPr>
        <w:t>:</w:t>
      </w:r>
    </w:p>
    <w:p w14:paraId="59880324" w14:textId="42166C6D" w:rsidR="00896919" w:rsidRPr="00747EC5" w:rsidRDefault="001904B4" w:rsidP="00091E83">
      <w:pPr>
        <w:pStyle w:val="ListBullet"/>
      </w:pPr>
      <w:r w:rsidRPr="00091E83">
        <w:t xml:space="preserve">Frequency </w:t>
      </w:r>
      <w:r w:rsidR="00896919" w:rsidRPr="00091E83">
        <w:t>domain sharing</w:t>
      </w:r>
      <w:r w:rsidR="00747EC5">
        <w:t>—</w:t>
      </w:r>
      <w:r w:rsidR="00896919" w:rsidRPr="00747EC5">
        <w:t>separation</w:t>
      </w:r>
      <w:r w:rsidR="000F61F7" w:rsidRPr="00747EC5">
        <w:t xml:space="preserve"> of use</w:t>
      </w:r>
      <w:r w:rsidR="00DE6629" w:rsidRPr="00747EC5">
        <w:t>s/</w:t>
      </w:r>
      <w:r w:rsidR="000F61F7" w:rsidRPr="00747EC5">
        <w:t xml:space="preserve">users based on operating </w:t>
      </w:r>
      <w:r w:rsidR="00896919" w:rsidRPr="00D66192">
        <w:t>frequency</w:t>
      </w:r>
      <w:r w:rsidR="006178E3" w:rsidRPr="00D66192">
        <w:t xml:space="preserve"> (including </w:t>
      </w:r>
      <w:r w:rsidR="00B45322" w:rsidRPr="00D66192">
        <w:t xml:space="preserve">in-band and out-of-band emissions). This is implemented through varying combinations of planning segregation and technology, </w:t>
      </w:r>
      <w:r w:rsidR="00824B0F">
        <w:t>for example,</w:t>
      </w:r>
      <w:r w:rsidR="00B45322" w:rsidRPr="00D66192">
        <w:t xml:space="preserve"> through filtering radiocommunication transmissions </w:t>
      </w:r>
      <w:r w:rsidR="00896919" w:rsidRPr="00D66192">
        <w:t xml:space="preserve">(to </w:t>
      </w:r>
      <w:r w:rsidR="006178E3" w:rsidRPr="00D66192">
        <w:t>constrain</w:t>
      </w:r>
      <w:r w:rsidR="00896919" w:rsidRPr="00285E08">
        <w:t xml:space="preserve"> the transmitted level of out-of-ba</w:t>
      </w:r>
      <w:r w:rsidR="00896919" w:rsidRPr="004D0B7F">
        <w:t>nd emissions</w:t>
      </w:r>
      <w:r w:rsidR="00747EC5">
        <w:t>—</w:t>
      </w:r>
      <w:r w:rsidR="006178E3" w:rsidRPr="00747EC5">
        <w:t>‘leakage rejection’</w:t>
      </w:r>
      <w:r w:rsidR="00896919" w:rsidRPr="00747EC5">
        <w:t>) and</w:t>
      </w:r>
      <w:r w:rsidR="006178E3" w:rsidRPr="00747EC5">
        <w:t>/or</w:t>
      </w:r>
      <w:r w:rsidR="00896919" w:rsidRPr="00747EC5">
        <w:t xml:space="preserve"> receivers (to </w:t>
      </w:r>
      <w:r w:rsidR="006178E3" w:rsidRPr="00747EC5">
        <w:t>constrain</w:t>
      </w:r>
      <w:r w:rsidR="00896919" w:rsidRPr="00747EC5">
        <w:t xml:space="preserve"> the received level emissions</w:t>
      </w:r>
      <w:r w:rsidR="006178E3" w:rsidRPr="00747EC5">
        <w:t xml:space="preserve"> from other</w:t>
      </w:r>
      <w:r w:rsidR="00C178B3" w:rsidRPr="00747EC5">
        <w:t xml:space="preserve"> frequency-adjacent</w:t>
      </w:r>
      <w:r w:rsidR="006178E3" w:rsidRPr="00747EC5">
        <w:t xml:space="preserve"> transmitters</w:t>
      </w:r>
      <w:r w:rsidR="00747EC5">
        <w:t>—</w:t>
      </w:r>
      <w:r w:rsidR="006178E3" w:rsidRPr="00747EC5">
        <w:t>‘selectivity’</w:t>
      </w:r>
      <w:r w:rsidR="00896919" w:rsidRPr="00747EC5">
        <w:t xml:space="preserve">). </w:t>
      </w:r>
    </w:p>
    <w:p w14:paraId="51ED674D" w14:textId="309CD784" w:rsidR="00896919" w:rsidRPr="00D66192" w:rsidRDefault="00896919" w:rsidP="00091E83">
      <w:pPr>
        <w:pStyle w:val="ListBullet"/>
      </w:pPr>
      <w:r w:rsidRPr="00091E83">
        <w:t>Geographic domain sharing</w:t>
      </w:r>
      <w:r w:rsidR="00747EC5">
        <w:t>—</w:t>
      </w:r>
      <w:r w:rsidR="00FD2948" w:rsidRPr="00747EC5">
        <w:t>geographic separation of different devices spatially through both sitin</w:t>
      </w:r>
      <w:r w:rsidR="00FD2948" w:rsidRPr="00D66192">
        <w:t xml:space="preserve">g (distance separation), </w:t>
      </w:r>
      <w:r w:rsidR="006178E3" w:rsidRPr="00D66192">
        <w:t>environmental shielding (</w:t>
      </w:r>
      <w:r w:rsidR="00824B0F">
        <w:t>for example,</w:t>
      </w:r>
      <w:r w:rsidR="006178E3" w:rsidRPr="00D66192">
        <w:t xml:space="preserve"> terrain and other clutter </w:t>
      </w:r>
      <w:r w:rsidR="001764FD" w:rsidRPr="00D66192">
        <w:t xml:space="preserve">such as </w:t>
      </w:r>
      <w:r w:rsidR="006178E3" w:rsidRPr="00D66192">
        <w:t xml:space="preserve">buildings, trees) and diversity of the radiated signal through </w:t>
      </w:r>
      <w:r w:rsidRPr="00D66192">
        <w:t>controlling parameters such as transmission power</w:t>
      </w:r>
      <w:r w:rsidR="006178E3" w:rsidRPr="00D66192">
        <w:t xml:space="preserve"> and</w:t>
      </w:r>
      <w:r w:rsidRPr="00D66192">
        <w:t xml:space="preserve"> antenna characteristics (including height</w:t>
      </w:r>
      <w:r w:rsidR="006178E3" w:rsidRPr="00D66192">
        <w:t>, directivity</w:t>
      </w:r>
      <w:r w:rsidR="00DE6629" w:rsidRPr="00D66192">
        <w:t xml:space="preserve"> and azimuth</w:t>
      </w:r>
      <w:r w:rsidRPr="00D66192">
        <w:t xml:space="preserve">). </w:t>
      </w:r>
    </w:p>
    <w:p w14:paraId="1BA0CC0B" w14:textId="0C04BC59" w:rsidR="00896919" w:rsidRPr="00D66192" w:rsidRDefault="00896919" w:rsidP="00091E83">
      <w:pPr>
        <w:pStyle w:val="ListBullet"/>
      </w:pPr>
      <w:r w:rsidRPr="00091E83">
        <w:t>Time domain sharing</w:t>
      </w:r>
      <w:r w:rsidR="00747EC5">
        <w:t>—</w:t>
      </w:r>
      <w:r w:rsidRPr="00747EC5">
        <w:t xml:space="preserve">separation of different uses/users </w:t>
      </w:r>
      <w:r w:rsidR="00DE6629" w:rsidRPr="00747EC5">
        <w:t>by</w:t>
      </w:r>
      <w:r w:rsidRPr="00747EC5">
        <w:t xml:space="preserve"> time (users are permitted to transmit only at certain </w:t>
      </w:r>
      <w:r w:rsidR="00DE6629" w:rsidRPr="00D66192">
        <w:t>times intervals</w:t>
      </w:r>
      <w:r w:rsidRPr="00D66192">
        <w:t>).</w:t>
      </w:r>
    </w:p>
    <w:p w14:paraId="02C07806" w14:textId="01BD2BEC" w:rsidR="00896919" w:rsidRPr="00D66192" w:rsidRDefault="00896919" w:rsidP="00091E83">
      <w:pPr>
        <w:pStyle w:val="ListBulletLast"/>
      </w:pPr>
      <w:r w:rsidRPr="00091E83">
        <w:t>Signal sharing</w:t>
      </w:r>
      <w:r w:rsidR="00D66192">
        <w:t>—</w:t>
      </w:r>
      <w:r w:rsidRPr="00747EC5">
        <w:t>the use of signal characteristics and other technology</w:t>
      </w:r>
      <w:r w:rsidR="00FB2588" w:rsidRPr="00747EC5">
        <w:t>-</w:t>
      </w:r>
      <w:r w:rsidR="00FD2948" w:rsidRPr="00747EC5">
        <w:t xml:space="preserve">aided </w:t>
      </w:r>
      <w:r w:rsidRPr="00D66192">
        <w:t>techniques to enable the use of the same spectrum by different uses/users (</w:t>
      </w:r>
      <w:r w:rsidR="00824B0F">
        <w:t>for example,</w:t>
      </w:r>
      <w:r w:rsidRPr="00D66192">
        <w:t xml:space="preserve"> spread spectrum techniques). </w:t>
      </w:r>
    </w:p>
    <w:p w14:paraId="2CC9303C" w14:textId="298557F0" w:rsidR="00896919" w:rsidRPr="005E1951" w:rsidRDefault="00AA552F" w:rsidP="00091E83">
      <w:pPr>
        <w:pStyle w:val="ListBullet"/>
        <w:numPr>
          <w:ilvl w:val="0"/>
          <w:numId w:val="0"/>
        </w:numPr>
        <w:spacing w:before="120" w:line="240" w:lineRule="auto"/>
        <w:rPr>
          <w:rFonts w:cs="Arial"/>
        </w:rPr>
      </w:pPr>
      <w:r>
        <w:rPr>
          <w:rFonts w:cs="Arial"/>
        </w:rPr>
        <w:lastRenderedPageBreak/>
        <w:t xml:space="preserve">These </w:t>
      </w:r>
      <w:r w:rsidR="00896919" w:rsidRPr="005E1951">
        <w:rPr>
          <w:rFonts w:cs="Arial"/>
        </w:rPr>
        <w:t xml:space="preserve">techniques </w:t>
      </w:r>
      <w:r w:rsidR="001904B4">
        <w:rPr>
          <w:rFonts w:cs="Arial"/>
        </w:rPr>
        <w:t>are</w:t>
      </w:r>
      <w:r w:rsidR="00896919" w:rsidRPr="005E1951">
        <w:rPr>
          <w:rFonts w:cs="Arial"/>
        </w:rPr>
        <w:t xml:space="preserve"> </w:t>
      </w:r>
      <w:r w:rsidR="00E94C74">
        <w:rPr>
          <w:rFonts w:cs="Arial"/>
        </w:rPr>
        <w:t>employed</w:t>
      </w:r>
      <w:r w:rsidR="00E94C74" w:rsidRPr="005E1951">
        <w:rPr>
          <w:rFonts w:cs="Arial"/>
        </w:rPr>
        <w:t xml:space="preserve"> </w:t>
      </w:r>
      <w:r w:rsidR="00896919" w:rsidRPr="005E1951">
        <w:rPr>
          <w:rFonts w:cs="Arial"/>
        </w:rPr>
        <w:t xml:space="preserve">across the </w:t>
      </w:r>
      <w:r w:rsidR="000545E9">
        <w:rPr>
          <w:rFonts w:cs="Arial"/>
        </w:rPr>
        <w:t xml:space="preserve">various functional </w:t>
      </w:r>
      <w:r w:rsidR="00896919" w:rsidRPr="005E1951">
        <w:rPr>
          <w:rFonts w:cs="Arial"/>
        </w:rPr>
        <w:t>levels of the spectrum management process</w:t>
      </w:r>
      <w:r w:rsidR="00896919">
        <w:rPr>
          <w:rFonts w:cs="Arial"/>
        </w:rPr>
        <w:t xml:space="preserve"> to facilitate spectrum sharing</w:t>
      </w:r>
      <w:r w:rsidR="00896919" w:rsidRPr="005E1951">
        <w:rPr>
          <w:rFonts w:cs="Arial"/>
        </w:rPr>
        <w:t>:</w:t>
      </w:r>
    </w:p>
    <w:p w14:paraId="3D4C2E2A" w14:textId="18713295" w:rsidR="00896919" w:rsidRPr="00D66192" w:rsidRDefault="00896919" w:rsidP="00091E83">
      <w:pPr>
        <w:pStyle w:val="ListBullet"/>
      </w:pPr>
      <w:r w:rsidRPr="00091E83">
        <w:t>Planning level</w:t>
      </w:r>
      <w:r w:rsidR="00347807" w:rsidRPr="00091E83">
        <w:t>:</w:t>
      </w:r>
      <w:r w:rsidRPr="00D66192">
        <w:t xml:space="preserve"> </w:t>
      </w:r>
      <w:r w:rsidR="00D66192">
        <w:t>V</w:t>
      </w:r>
      <w:r w:rsidRPr="00D66192">
        <w:t>ia the design of frequency band arrangements (</w:t>
      </w:r>
      <w:r w:rsidR="00824B0F">
        <w:t>for example,</w:t>
      </w:r>
      <w:r w:rsidR="000C5DDC" w:rsidRPr="00D66192">
        <w:t xml:space="preserve"> Australian Radiofrequency Spectrum Plan (ARSP)</w:t>
      </w:r>
      <w:r w:rsidR="00347807" w:rsidRPr="00D66192">
        <w:t xml:space="preserve">, </w:t>
      </w:r>
      <w:r w:rsidR="00824B0F">
        <w:t>b</w:t>
      </w:r>
      <w:r w:rsidRPr="00D66192">
        <w:t xml:space="preserve">and </w:t>
      </w:r>
      <w:r w:rsidR="00824B0F">
        <w:t>p</w:t>
      </w:r>
      <w:r w:rsidRPr="00D66192">
        <w:t>lans)</w:t>
      </w:r>
      <w:r w:rsidR="00347807" w:rsidRPr="00D66192">
        <w:t>.</w:t>
      </w:r>
      <w:r w:rsidRPr="00D66192">
        <w:t xml:space="preserve"> Here, </w:t>
      </w:r>
      <w:r w:rsidR="00915BCF" w:rsidRPr="00D66192">
        <w:t xml:space="preserve">spectrum uses </w:t>
      </w:r>
      <w:r w:rsidRPr="00D66192">
        <w:t xml:space="preserve">are </w:t>
      </w:r>
      <w:r w:rsidR="00AA552F" w:rsidRPr="00D66192">
        <w:t xml:space="preserve">generally </w:t>
      </w:r>
      <w:r w:rsidR="004955FC" w:rsidRPr="00D66192">
        <w:t>planned</w:t>
      </w:r>
      <w:r w:rsidRPr="00D66192">
        <w:t xml:space="preserve"> </w:t>
      </w:r>
      <w:r w:rsidR="004955FC" w:rsidRPr="00D66192">
        <w:t xml:space="preserve">in the broad frequency domain </w:t>
      </w:r>
      <w:r w:rsidRPr="00D66192">
        <w:t xml:space="preserve">based on their </w:t>
      </w:r>
      <w:r w:rsidR="001904B4" w:rsidRPr="00D66192">
        <w:t xml:space="preserve">broad </w:t>
      </w:r>
      <w:r w:rsidR="000C5DDC" w:rsidRPr="00285E08">
        <w:t>usage</w:t>
      </w:r>
      <w:r w:rsidR="001904B4" w:rsidRPr="004D0B7F">
        <w:t xml:space="preserve"> category </w:t>
      </w:r>
      <w:r w:rsidR="00AA552F" w:rsidRPr="004D0B7F">
        <w:t xml:space="preserve">such as </w:t>
      </w:r>
      <w:r w:rsidR="001904B4" w:rsidRPr="004D0B7F">
        <w:t>radiocommunications</w:t>
      </w:r>
      <w:r w:rsidR="00E01844" w:rsidRPr="004D0B7F">
        <w:t xml:space="preserve"> </w:t>
      </w:r>
      <w:r w:rsidR="00D66192">
        <w:t>‘</w:t>
      </w:r>
      <w:r w:rsidR="001904B4" w:rsidRPr="00D66192">
        <w:t>service</w:t>
      </w:r>
      <w:r w:rsidR="000C5DDC" w:rsidRPr="00D66192">
        <w:t xml:space="preserve"> type</w:t>
      </w:r>
      <w:r w:rsidR="00D66192">
        <w:t>’</w:t>
      </w:r>
      <w:r w:rsidRPr="00D66192">
        <w:t xml:space="preserve"> (</w:t>
      </w:r>
      <w:r w:rsidR="00824B0F">
        <w:t>for example,</w:t>
      </w:r>
      <w:r w:rsidRPr="00D66192">
        <w:t xml:space="preserve"> </w:t>
      </w:r>
      <w:r w:rsidR="00915BCF" w:rsidRPr="00D66192">
        <w:t>f</w:t>
      </w:r>
      <w:r w:rsidRPr="00D66192">
        <w:t>ixed</w:t>
      </w:r>
      <w:r w:rsidR="00915BCF" w:rsidRPr="00D66192">
        <w:t xml:space="preserve">, fixed </w:t>
      </w:r>
      <w:r w:rsidR="00443C04" w:rsidRPr="00D66192">
        <w:t>satellite services</w:t>
      </w:r>
      <w:r w:rsidRPr="00D66192">
        <w:t>)</w:t>
      </w:r>
      <w:r w:rsidR="00915BCF" w:rsidRPr="00D66192">
        <w:t xml:space="preserve"> or application (</w:t>
      </w:r>
      <w:r w:rsidR="00824B0F">
        <w:t>for example,</w:t>
      </w:r>
      <w:r w:rsidR="00915BCF" w:rsidRPr="00D66192">
        <w:t xml:space="preserve"> point-point, point-multipoint, coordinated earth stations, ubiquitous earth stations)</w:t>
      </w:r>
      <w:r w:rsidR="00D66192">
        <w:t>.</w:t>
      </w:r>
    </w:p>
    <w:p w14:paraId="2E93CCDD" w14:textId="39E2E24B" w:rsidR="00896919" w:rsidRPr="00824B0F" w:rsidRDefault="00896919" w:rsidP="00091E83">
      <w:pPr>
        <w:pStyle w:val="ListBullet"/>
      </w:pPr>
      <w:r w:rsidRPr="00091E83">
        <w:t>Assignment and licensing level</w:t>
      </w:r>
      <w:r w:rsidR="00347807" w:rsidRPr="00091E83">
        <w:t>:</w:t>
      </w:r>
      <w:r w:rsidRPr="00D66192">
        <w:t xml:space="preserve"> </w:t>
      </w:r>
      <w:r w:rsidR="00D66192">
        <w:t>T</w:t>
      </w:r>
      <w:r w:rsidRPr="00D66192">
        <w:t xml:space="preserve">hrough </w:t>
      </w:r>
      <w:r w:rsidRPr="00091E83">
        <w:t>coordination</w:t>
      </w:r>
      <w:r w:rsidRPr="00D66192">
        <w:t xml:space="preserve"> of individual frequency assignments and the issuing of licences (</w:t>
      </w:r>
      <w:r w:rsidR="00824B0F">
        <w:t>that is,</w:t>
      </w:r>
      <w:r w:rsidRPr="00D66192">
        <w:t xml:space="preserve"> focussing on ‘users’) based on </w:t>
      </w:r>
      <w:r w:rsidR="008C2A05" w:rsidRPr="00D66192">
        <w:t>technical rulesets</w:t>
      </w:r>
      <w:r w:rsidR="00C345EC" w:rsidRPr="00D66192">
        <w:t xml:space="preserve"> defined </w:t>
      </w:r>
      <w:r w:rsidRPr="00D66192">
        <w:t xml:space="preserve">engineering </w:t>
      </w:r>
      <w:r w:rsidR="00347807" w:rsidRPr="00D66192">
        <w:t>processes</w:t>
      </w:r>
      <w:r w:rsidRPr="00D66192">
        <w:t xml:space="preserve">. </w:t>
      </w:r>
      <w:r w:rsidR="00347807" w:rsidRPr="00D66192">
        <w:t>R</w:t>
      </w:r>
      <w:r w:rsidR="00C345EC" w:rsidRPr="00D66192">
        <w:t>ules defined in</w:t>
      </w:r>
      <w:r w:rsidRPr="00285E08">
        <w:t xml:space="preserve"> </w:t>
      </w:r>
      <w:r w:rsidRPr="004D0B7F">
        <w:t xml:space="preserve">documents developed by the ACMA such as </w:t>
      </w:r>
      <w:r w:rsidR="000C5DDC" w:rsidRPr="004D0B7F">
        <w:t>Radiocommunications Assignment and licensing Instructions (RALI)</w:t>
      </w:r>
      <w:r w:rsidR="00C345EC" w:rsidRPr="002177BA">
        <w:t xml:space="preserve"> are</w:t>
      </w:r>
      <w:r w:rsidR="00347807" w:rsidRPr="002177BA">
        <w:t xml:space="preserve"> existing</w:t>
      </w:r>
      <w:r w:rsidR="00C345EC" w:rsidRPr="002177BA">
        <w:t xml:space="preserve"> </w:t>
      </w:r>
      <w:r w:rsidRPr="002177BA">
        <w:t>example</w:t>
      </w:r>
      <w:r w:rsidR="00C345EC" w:rsidRPr="002177BA">
        <w:t>s</w:t>
      </w:r>
      <w:r w:rsidRPr="009F3DEC">
        <w:t xml:space="preserve"> </w:t>
      </w:r>
      <w:r w:rsidR="00C345EC" w:rsidRPr="009F3DEC">
        <w:t xml:space="preserve">of </w:t>
      </w:r>
      <w:r w:rsidRPr="009F3DEC">
        <w:t xml:space="preserve">the </w:t>
      </w:r>
      <w:r w:rsidR="00C345EC" w:rsidRPr="009F3DEC">
        <w:t xml:space="preserve">application </w:t>
      </w:r>
      <w:r w:rsidRPr="00A41D2C">
        <w:t xml:space="preserve">of </w:t>
      </w:r>
      <w:r w:rsidR="00C345EC" w:rsidRPr="00A41D2C">
        <w:t xml:space="preserve">frequency and geographic </w:t>
      </w:r>
      <w:r w:rsidRPr="00824B0F">
        <w:t xml:space="preserve">domain sharing at the assignment and licensing level. </w:t>
      </w:r>
    </w:p>
    <w:p w14:paraId="7726F853" w14:textId="169FBD08" w:rsidR="00896919" w:rsidRPr="004D0B7F" w:rsidRDefault="00896919" w:rsidP="00091E83">
      <w:pPr>
        <w:pStyle w:val="ListBulletLast"/>
      </w:pPr>
      <w:r w:rsidRPr="00091E83">
        <w:rPr>
          <w:rFonts w:cs="Times New Roman"/>
        </w:rPr>
        <w:t>Operational level</w:t>
      </w:r>
      <w:r w:rsidR="00347807" w:rsidRPr="00091E83">
        <w:rPr>
          <w:rFonts w:cs="Times New Roman"/>
        </w:rPr>
        <w:t>:</w:t>
      </w:r>
      <w:r w:rsidRPr="00D66192">
        <w:t xml:space="preserve"> </w:t>
      </w:r>
      <w:r w:rsidR="00D66192">
        <w:t>O</w:t>
      </w:r>
      <w:r w:rsidRPr="00D66192">
        <w:t xml:space="preserve">n a technology and operational rules basis </w:t>
      </w:r>
      <w:r w:rsidR="00915BCF" w:rsidRPr="00D66192">
        <w:t xml:space="preserve">that </w:t>
      </w:r>
      <w:r w:rsidR="004955FC" w:rsidRPr="00D66192">
        <w:t xml:space="preserve">achieve signal sharing </w:t>
      </w:r>
      <w:r w:rsidRPr="00D66192">
        <w:t>focus</w:t>
      </w:r>
      <w:r w:rsidR="004955FC" w:rsidRPr="00D66192">
        <w:t>sed</w:t>
      </w:r>
      <w:r w:rsidRPr="00D66192">
        <w:t xml:space="preserve"> on </w:t>
      </w:r>
      <w:r w:rsidR="004955FC" w:rsidRPr="00D66192">
        <w:t>device characteristics</w:t>
      </w:r>
      <w:r w:rsidRPr="00D66192">
        <w:t xml:space="preserve"> (</w:t>
      </w:r>
      <w:r w:rsidR="00824B0F">
        <w:t>for example,</w:t>
      </w:r>
      <w:r w:rsidR="00EE72F1">
        <w:t xml:space="preserve"> </w:t>
      </w:r>
      <w:r w:rsidRPr="00D66192">
        <w:t>class licen</w:t>
      </w:r>
      <w:r w:rsidR="00915BCF" w:rsidRPr="00D66192">
        <w:t>c</w:t>
      </w:r>
      <w:r w:rsidRPr="00285E08">
        <w:t>es</w:t>
      </w:r>
      <w:r w:rsidR="00C345EC" w:rsidRPr="004D0B7F">
        <w:t>, standardised devices</w:t>
      </w:r>
      <w:r w:rsidRPr="004D0B7F">
        <w:t>)</w:t>
      </w:r>
      <w:r w:rsidR="00C345EC" w:rsidRPr="004D0B7F">
        <w:t xml:space="preserve">. </w:t>
      </w:r>
    </w:p>
    <w:p w14:paraId="0A9E507F" w14:textId="092398AD" w:rsidR="004B2FB0" w:rsidRPr="00BF1D3F" w:rsidRDefault="00EC19A0" w:rsidP="000D7782">
      <w:pPr>
        <w:pStyle w:val="ListBullet"/>
        <w:numPr>
          <w:ilvl w:val="0"/>
          <w:numId w:val="0"/>
        </w:numPr>
        <w:spacing w:before="120" w:after="120" w:line="240" w:lineRule="auto"/>
        <w:rPr>
          <w:rFonts w:cs="Arial"/>
          <w:i/>
        </w:rPr>
      </w:pPr>
      <w:r>
        <w:rPr>
          <w:rFonts w:cs="Arial"/>
        </w:rPr>
        <w:t xml:space="preserve">Figure 1 touched on where these differing levels of involvement in facilitating sharing fit within the broader sharing concept. They each </w:t>
      </w:r>
      <w:r w:rsidR="00BB6B7D">
        <w:rPr>
          <w:rFonts w:cs="Arial"/>
        </w:rPr>
        <w:t>draw</w:t>
      </w:r>
      <w:r w:rsidR="004B2FB0">
        <w:rPr>
          <w:rFonts w:cs="Arial"/>
        </w:rPr>
        <w:t xml:space="preserve">, to varying degrees, from the range of </w:t>
      </w:r>
      <w:r w:rsidR="00BB6B7D">
        <w:rPr>
          <w:rFonts w:cs="Arial"/>
        </w:rPr>
        <w:t xml:space="preserve">different sharing domains. </w:t>
      </w:r>
      <w:r w:rsidR="005B37F5">
        <w:rPr>
          <w:rFonts w:cs="Arial"/>
        </w:rPr>
        <w:t>F</w:t>
      </w:r>
      <w:r w:rsidR="00BB6B7D">
        <w:rPr>
          <w:rFonts w:cs="Arial"/>
        </w:rPr>
        <w:t xml:space="preserve">requency-based sharing is a common element in </w:t>
      </w:r>
      <w:r w:rsidR="00824B0F">
        <w:rPr>
          <w:rFonts w:cs="Arial"/>
        </w:rPr>
        <w:t>all</w:t>
      </w:r>
      <w:r w:rsidR="00BB6B7D">
        <w:rPr>
          <w:rFonts w:cs="Arial"/>
        </w:rPr>
        <w:t xml:space="preserve"> the above levels and is </w:t>
      </w:r>
      <w:r w:rsidR="00186EAE">
        <w:rPr>
          <w:rFonts w:cs="Arial"/>
        </w:rPr>
        <w:t xml:space="preserve">a </w:t>
      </w:r>
      <w:r w:rsidR="003778FC">
        <w:rPr>
          <w:rFonts w:cs="Arial"/>
        </w:rPr>
        <w:t>focus</w:t>
      </w:r>
      <w:r w:rsidR="00BB6B7D">
        <w:rPr>
          <w:rFonts w:cs="Arial"/>
        </w:rPr>
        <w:t xml:space="preserve"> </w:t>
      </w:r>
      <w:r w:rsidR="004B2FB0">
        <w:rPr>
          <w:rFonts w:cs="Arial"/>
        </w:rPr>
        <w:t xml:space="preserve">at the </w:t>
      </w:r>
      <w:r w:rsidR="005B37F5">
        <w:rPr>
          <w:rFonts w:cs="Arial"/>
        </w:rPr>
        <w:t xml:space="preserve">planning </w:t>
      </w:r>
      <w:r w:rsidR="004B2FB0">
        <w:rPr>
          <w:rFonts w:cs="Arial"/>
        </w:rPr>
        <w:t xml:space="preserve">level. </w:t>
      </w:r>
    </w:p>
    <w:p w14:paraId="113384A4" w14:textId="36213CC4" w:rsidR="00896919" w:rsidRPr="005E1951" w:rsidRDefault="004B2FB0" w:rsidP="000D7782">
      <w:pPr>
        <w:pStyle w:val="ListBullet"/>
        <w:numPr>
          <w:ilvl w:val="0"/>
          <w:numId w:val="0"/>
        </w:numPr>
        <w:spacing w:before="120" w:after="120" w:line="240" w:lineRule="auto"/>
        <w:rPr>
          <w:rFonts w:cs="Arial"/>
        </w:rPr>
      </w:pPr>
      <w:r>
        <w:rPr>
          <w:rFonts w:cs="Arial"/>
        </w:rPr>
        <w:t xml:space="preserve">At the </w:t>
      </w:r>
      <w:r w:rsidR="005B37F5" w:rsidRPr="005E1951">
        <w:rPr>
          <w:rFonts w:cs="Arial"/>
        </w:rPr>
        <w:t xml:space="preserve">assignment and licensing </w:t>
      </w:r>
      <w:r>
        <w:rPr>
          <w:rFonts w:cs="Arial"/>
        </w:rPr>
        <w:t>level</w:t>
      </w:r>
      <w:r w:rsidR="00896919" w:rsidRPr="005E1951">
        <w:rPr>
          <w:rFonts w:cs="Arial"/>
        </w:rPr>
        <w:t xml:space="preserve">, the combination of geographic and </w:t>
      </w:r>
      <w:r w:rsidR="0050063D">
        <w:rPr>
          <w:rFonts w:cs="Arial"/>
        </w:rPr>
        <w:t>frequency-domain</w:t>
      </w:r>
      <w:r w:rsidR="0050063D" w:rsidRPr="005E1951">
        <w:rPr>
          <w:rFonts w:cs="Arial"/>
        </w:rPr>
        <w:t xml:space="preserve"> </w:t>
      </w:r>
      <w:r w:rsidR="005B37F5">
        <w:rPr>
          <w:rFonts w:cs="Arial"/>
        </w:rPr>
        <w:t>separation</w:t>
      </w:r>
      <w:r w:rsidR="005B37F5" w:rsidRPr="005E1951">
        <w:rPr>
          <w:rFonts w:cs="Arial"/>
        </w:rPr>
        <w:t xml:space="preserve"> </w:t>
      </w:r>
      <w:r w:rsidR="004976E3" w:rsidRPr="005E1951">
        <w:rPr>
          <w:rFonts w:cs="Arial"/>
        </w:rPr>
        <w:t>has</w:t>
      </w:r>
      <w:r w:rsidR="00896919" w:rsidRPr="005E1951">
        <w:rPr>
          <w:rFonts w:cs="Arial"/>
        </w:rPr>
        <w:t xml:space="preserve"> most commonly been </w:t>
      </w:r>
      <w:r w:rsidR="005B37F5">
        <w:rPr>
          <w:rFonts w:cs="Arial"/>
        </w:rPr>
        <w:t>applied</w:t>
      </w:r>
      <w:r w:rsidR="005B37F5" w:rsidRPr="005E1951">
        <w:rPr>
          <w:rFonts w:cs="Arial"/>
        </w:rPr>
        <w:t xml:space="preserve"> </w:t>
      </w:r>
      <w:r w:rsidR="00896919" w:rsidRPr="005E1951">
        <w:rPr>
          <w:rFonts w:cs="Arial"/>
        </w:rPr>
        <w:t>to facilitate spectrum sharing</w:t>
      </w:r>
      <w:r w:rsidR="005B37F5">
        <w:rPr>
          <w:rFonts w:cs="Arial"/>
        </w:rPr>
        <w:t>,</w:t>
      </w:r>
      <w:r w:rsidR="0050063D">
        <w:rPr>
          <w:rFonts w:cs="Arial"/>
        </w:rPr>
        <w:t xml:space="preserve"> through coordination</w:t>
      </w:r>
      <w:r w:rsidR="00896919" w:rsidRPr="005E1951">
        <w:rPr>
          <w:rFonts w:cs="Arial"/>
        </w:rPr>
        <w:t xml:space="preserve">. </w:t>
      </w:r>
      <w:r w:rsidR="005B37F5">
        <w:rPr>
          <w:rFonts w:cs="Arial"/>
        </w:rPr>
        <w:t>T</w:t>
      </w:r>
      <w:r w:rsidR="0050063D">
        <w:rPr>
          <w:rFonts w:cs="Arial"/>
        </w:rPr>
        <w:t xml:space="preserve">his has </w:t>
      </w:r>
      <w:r w:rsidR="00896919" w:rsidRPr="005E1951">
        <w:rPr>
          <w:rFonts w:cs="Arial"/>
        </w:rPr>
        <w:t>traditionally been the purview of the regulator</w:t>
      </w:r>
      <w:r w:rsidR="0050063D">
        <w:rPr>
          <w:rFonts w:cs="Arial"/>
        </w:rPr>
        <w:t>, either directly or through delegation to accredited industry professionals</w:t>
      </w:r>
      <w:r w:rsidR="00896919" w:rsidRPr="005E1951">
        <w:rPr>
          <w:rFonts w:cs="Arial"/>
        </w:rPr>
        <w:t xml:space="preserve">. </w:t>
      </w:r>
      <w:r w:rsidR="007C6A79">
        <w:rPr>
          <w:rFonts w:cs="Arial"/>
        </w:rPr>
        <w:t xml:space="preserve"> </w:t>
      </w:r>
    </w:p>
    <w:p w14:paraId="12C572B2" w14:textId="35A4E43D" w:rsidR="009129B5" w:rsidRPr="00FD2CD1" w:rsidRDefault="00052E95" w:rsidP="000D7782">
      <w:pPr>
        <w:pStyle w:val="ListBullet"/>
        <w:numPr>
          <w:ilvl w:val="0"/>
          <w:numId w:val="0"/>
        </w:numPr>
        <w:spacing w:before="120" w:after="120" w:line="240" w:lineRule="auto"/>
      </w:pPr>
      <w:r>
        <w:rPr>
          <w:rFonts w:cs="Arial"/>
        </w:rPr>
        <w:t>T</w:t>
      </w:r>
      <w:r w:rsidR="00896919" w:rsidRPr="005E1951">
        <w:rPr>
          <w:rFonts w:cs="Arial"/>
        </w:rPr>
        <w:t xml:space="preserve">ime domain and signal sharing </w:t>
      </w:r>
      <w:r w:rsidR="0050063D">
        <w:rPr>
          <w:rFonts w:cs="Arial"/>
        </w:rPr>
        <w:t>are</w:t>
      </w:r>
      <w:r>
        <w:rPr>
          <w:rFonts w:cs="Arial"/>
        </w:rPr>
        <w:t xml:space="preserve"> not </w:t>
      </w:r>
      <w:r w:rsidR="004537FF">
        <w:rPr>
          <w:rFonts w:cs="Arial"/>
        </w:rPr>
        <w:t xml:space="preserve">often </w:t>
      </w:r>
      <w:r>
        <w:rPr>
          <w:rFonts w:cs="Arial"/>
        </w:rPr>
        <w:t>applied at the assignment level, given the (in general) technology neutrality of these processes.</w:t>
      </w:r>
      <w:r w:rsidR="00896919" w:rsidRPr="005E1951">
        <w:rPr>
          <w:rFonts w:cs="Arial"/>
        </w:rPr>
        <w:t xml:space="preserve"> </w:t>
      </w:r>
      <w:r w:rsidR="0050063D" w:rsidRPr="005E1951">
        <w:rPr>
          <w:rFonts w:cs="Arial"/>
        </w:rPr>
        <w:t xml:space="preserve">These techniques are </w:t>
      </w:r>
      <w:r>
        <w:rPr>
          <w:rFonts w:cs="Arial"/>
        </w:rPr>
        <w:t xml:space="preserve">instead </w:t>
      </w:r>
      <w:r w:rsidR="0050063D">
        <w:rPr>
          <w:rFonts w:cs="Arial"/>
        </w:rPr>
        <w:t>generally</w:t>
      </w:r>
      <w:r w:rsidR="0050063D" w:rsidRPr="005E1951">
        <w:rPr>
          <w:rFonts w:cs="Arial"/>
        </w:rPr>
        <w:t xml:space="preserve"> </w:t>
      </w:r>
      <w:r>
        <w:rPr>
          <w:rFonts w:cs="Arial"/>
        </w:rPr>
        <w:t>applied</w:t>
      </w:r>
      <w:r w:rsidRPr="005E1951">
        <w:rPr>
          <w:rFonts w:cs="Arial"/>
        </w:rPr>
        <w:t xml:space="preserve"> </w:t>
      </w:r>
      <w:r w:rsidR="0050063D">
        <w:rPr>
          <w:rFonts w:cs="Arial"/>
        </w:rPr>
        <w:t>at the operational level</w:t>
      </w:r>
      <w:r>
        <w:rPr>
          <w:rFonts w:cs="Arial"/>
        </w:rPr>
        <w:t xml:space="preserve"> by</w:t>
      </w:r>
      <w:r w:rsidR="0050063D" w:rsidRPr="005E1951">
        <w:rPr>
          <w:rFonts w:cs="Arial"/>
        </w:rPr>
        <w:t xml:space="preserve"> users </w:t>
      </w:r>
      <w:r w:rsidR="0050063D">
        <w:rPr>
          <w:rFonts w:cs="Arial"/>
        </w:rPr>
        <w:t xml:space="preserve">themselves, albeit in </w:t>
      </w:r>
      <w:r w:rsidR="00035F7C">
        <w:rPr>
          <w:rFonts w:cs="Arial"/>
        </w:rPr>
        <w:t xml:space="preserve">many </w:t>
      </w:r>
      <w:r w:rsidR="0050063D">
        <w:rPr>
          <w:rFonts w:cs="Arial"/>
        </w:rPr>
        <w:t xml:space="preserve">cases unwittingly as the access techniques in these cases are most often built into </w:t>
      </w:r>
      <w:r w:rsidR="004537FF">
        <w:rPr>
          <w:rFonts w:cs="Arial"/>
        </w:rPr>
        <w:t xml:space="preserve">device </w:t>
      </w:r>
      <w:r w:rsidR="0050063D">
        <w:rPr>
          <w:rFonts w:cs="Arial"/>
        </w:rPr>
        <w:t>standards (</w:t>
      </w:r>
      <w:r w:rsidR="00D66192">
        <w:rPr>
          <w:rFonts w:cs="Arial"/>
        </w:rPr>
        <w:t>for example,</w:t>
      </w:r>
      <w:r w:rsidR="0050063D">
        <w:rPr>
          <w:rFonts w:cs="Arial"/>
        </w:rPr>
        <w:t xml:space="preserve"> techniques based on time-division and code-division multiple access schemes).</w:t>
      </w:r>
    </w:p>
    <w:p w14:paraId="3FCF049F" w14:textId="77777777" w:rsidR="0057659C" w:rsidRDefault="0057659C" w:rsidP="000D7782">
      <w:pPr>
        <w:pStyle w:val="Heading2"/>
        <w:spacing w:before="120" w:after="120" w:line="240" w:lineRule="auto"/>
      </w:pPr>
      <w:bookmarkStart w:id="15" w:name="_Ref442698"/>
      <w:bookmarkStart w:id="16" w:name="_Toc863366"/>
      <w:bookmarkEnd w:id="12"/>
    </w:p>
    <w:p w14:paraId="61E48C55" w14:textId="703F8AF6" w:rsidR="00FF3C69" w:rsidRPr="00D66192" w:rsidRDefault="008443D0" w:rsidP="00091E83">
      <w:pPr>
        <w:pStyle w:val="Heading1"/>
      </w:pPr>
      <w:bookmarkStart w:id="17" w:name="_Toc16054640"/>
      <w:bookmarkEnd w:id="15"/>
      <w:bookmarkEnd w:id="16"/>
      <w:r w:rsidRPr="00D66192">
        <w:lastRenderedPageBreak/>
        <w:t>New approaches to sharing</w:t>
      </w:r>
      <w:bookmarkEnd w:id="17"/>
    </w:p>
    <w:p w14:paraId="2E14772A" w14:textId="57D619D0" w:rsidR="00B149B1" w:rsidRDefault="00B149B1" w:rsidP="000D7782">
      <w:pPr>
        <w:spacing w:before="120" w:after="120" w:line="240" w:lineRule="auto"/>
        <w:rPr>
          <w:rFonts w:cs="Arial"/>
          <w:szCs w:val="20"/>
        </w:rPr>
      </w:pPr>
      <w:r>
        <w:rPr>
          <w:rFonts w:cs="Arial"/>
          <w:szCs w:val="20"/>
        </w:rPr>
        <w:t xml:space="preserve">Spectrum sharing techniques have continued to evolve with technology developments and </w:t>
      </w:r>
      <w:r w:rsidR="00810581">
        <w:rPr>
          <w:rFonts w:cs="Arial"/>
          <w:szCs w:val="20"/>
        </w:rPr>
        <w:t xml:space="preserve">in response </w:t>
      </w:r>
      <w:r>
        <w:rPr>
          <w:rFonts w:cs="Arial"/>
          <w:szCs w:val="20"/>
        </w:rPr>
        <w:t xml:space="preserve">to </w:t>
      </w:r>
      <w:r w:rsidR="00810581">
        <w:rPr>
          <w:rFonts w:cs="Arial"/>
          <w:szCs w:val="20"/>
        </w:rPr>
        <w:t>an ever-increa</w:t>
      </w:r>
      <w:r w:rsidR="00267B12">
        <w:rPr>
          <w:rFonts w:cs="Arial"/>
          <w:szCs w:val="20"/>
        </w:rPr>
        <w:t>sing</w:t>
      </w:r>
      <w:r w:rsidR="00810581">
        <w:rPr>
          <w:rFonts w:cs="Arial"/>
          <w:szCs w:val="20"/>
        </w:rPr>
        <w:t xml:space="preserve"> </w:t>
      </w:r>
      <w:r>
        <w:rPr>
          <w:rFonts w:cs="Arial"/>
          <w:szCs w:val="20"/>
        </w:rPr>
        <w:t>spectrum scarcity.</w:t>
      </w:r>
      <w:r w:rsidR="007838EB">
        <w:rPr>
          <w:rFonts w:cs="Arial"/>
          <w:szCs w:val="20"/>
        </w:rPr>
        <w:t xml:space="preserve"> </w:t>
      </w:r>
      <w:r>
        <w:rPr>
          <w:rFonts w:cs="Arial"/>
          <w:szCs w:val="20"/>
        </w:rPr>
        <w:t>A</w:t>
      </w:r>
      <w:r w:rsidR="00C87691" w:rsidRPr="00CA1D0D">
        <w:rPr>
          <w:rFonts w:cs="Arial"/>
          <w:szCs w:val="20"/>
        </w:rPr>
        <w:t xml:space="preserve"> key concept in many new and emerging sharing approaches is that they utilise information on actual spectrum use </w:t>
      </w:r>
      <w:r>
        <w:rPr>
          <w:rFonts w:cs="Arial"/>
          <w:szCs w:val="20"/>
        </w:rPr>
        <w:t xml:space="preserve">rather than </w:t>
      </w:r>
      <w:r w:rsidR="00C87691" w:rsidRPr="00CA1D0D">
        <w:rPr>
          <w:rFonts w:cs="Arial"/>
          <w:szCs w:val="20"/>
        </w:rPr>
        <w:t>authorised/licensed</w:t>
      </w:r>
      <w:r>
        <w:rPr>
          <w:rFonts w:cs="Arial"/>
          <w:szCs w:val="20"/>
        </w:rPr>
        <w:t xml:space="preserve"> use</w:t>
      </w:r>
      <w:r w:rsidR="00C87691" w:rsidRPr="00CA1D0D">
        <w:rPr>
          <w:rFonts w:cs="Arial"/>
          <w:szCs w:val="20"/>
        </w:rPr>
        <w:t xml:space="preserve">. </w:t>
      </w:r>
    </w:p>
    <w:p w14:paraId="76FB9FE6" w14:textId="11D4C544" w:rsidR="00CC201A" w:rsidRDefault="00C87691" w:rsidP="000D7782">
      <w:pPr>
        <w:spacing w:before="120" w:after="120" w:line="240" w:lineRule="auto"/>
        <w:rPr>
          <w:rFonts w:cs="Arial"/>
          <w:szCs w:val="20"/>
        </w:rPr>
      </w:pPr>
      <w:r w:rsidRPr="00CA1D0D">
        <w:rPr>
          <w:rFonts w:cs="Arial"/>
          <w:szCs w:val="20"/>
        </w:rPr>
        <w:t xml:space="preserve">To do this effectively, these approaches usually need to be aware of the </w:t>
      </w:r>
      <w:r w:rsidR="007838EB">
        <w:rPr>
          <w:rFonts w:cs="Arial"/>
          <w:szCs w:val="20"/>
        </w:rPr>
        <w:t xml:space="preserve">local radiofrequency </w:t>
      </w:r>
      <w:r w:rsidRPr="00CA1D0D">
        <w:rPr>
          <w:rFonts w:cs="Arial"/>
          <w:szCs w:val="20"/>
        </w:rPr>
        <w:t>environment to some extent and</w:t>
      </w:r>
      <w:r w:rsidR="007838EB">
        <w:rPr>
          <w:rFonts w:cs="Arial"/>
          <w:szCs w:val="20"/>
        </w:rPr>
        <w:t xml:space="preserve"> be</w:t>
      </w:r>
      <w:r w:rsidRPr="00CA1D0D">
        <w:rPr>
          <w:rFonts w:cs="Arial"/>
          <w:szCs w:val="20"/>
        </w:rPr>
        <w:t xml:space="preserve"> able to react to </w:t>
      </w:r>
      <w:r w:rsidR="00A92486">
        <w:rPr>
          <w:rFonts w:cs="Arial"/>
          <w:szCs w:val="20"/>
        </w:rPr>
        <w:t>changes in that</w:t>
      </w:r>
      <w:r w:rsidRPr="00CA1D0D">
        <w:rPr>
          <w:rFonts w:cs="Arial"/>
          <w:szCs w:val="20"/>
        </w:rPr>
        <w:t xml:space="preserve"> environment in </w:t>
      </w:r>
      <w:r w:rsidR="00A92486">
        <w:rPr>
          <w:rFonts w:cs="Arial"/>
          <w:szCs w:val="20"/>
        </w:rPr>
        <w:t xml:space="preserve">a </w:t>
      </w:r>
      <w:r w:rsidR="00D66192">
        <w:rPr>
          <w:rFonts w:cs="Arial"/>
          <w:szCs w:val="20"/>
        </w:rPr>
        <w:t>timelier</w:t>
      </w:r>
      <w:r w:rsidR="00A92486">
        <w:rPr>
          <w:rFonts w:cs="Arial"/>
          <w:szCs w:val="20"/>
        </w:rPr>
        <w:t xml:space="preserve"> manner tha</w:t>
      </w:r>
      <w:r w:rsidR="00C95F63">
        <w:rPr>
          <w:rFonts w:cs="Arial"/>
          <w:szCs w:val="20"/>
        </w:rPr>
        <w:t>n</w:t>
      </w:r>
      <w:r w:rsidRPr="00CA1D0D">
        <w:rPr>
          <w:rFonts w:cs="Arial"/>
          <w:szCs w:val="20"/>
        </w:rPr>
        <w:t xml:space="preserve"> traditional licensing/authorisation processes</w:t>
      </w:r>
      <w:r w:rsidR="00A92486">
        <w:rPr>
          <w:rFonts w:cs="Arial"/>
          <w:szCs w:val="20"/>
        </w:rPr>
        <w:t xml:space="preserve"> allow</w:t>
      </w:r>
      <w:r w:rsidRPr="00CA1D0D">
        <w:rPr>
          <w:rFonts w:cs="Arial"/>
          <w:szCs w:val="20"/>
        </w:rPr>
        <w:t xml:space="preserve">. </w:t>
      </w:r>
    </w:p>
    <w:p w14:paraId="5F44CA16" w14:textId="5CF7EDFD" w:rsidR="00C87691" w:rsidRPr="00FD2CD1" w:rsidRDefault="00C87691" w:rsidP="000D7782">
      <w:pPr>
        <w:spacing w:before="120" w:after="120" w:line="240" w:lineRule="auto"/>
        <w:rPr>
          <w:rFonts w:cs="Arial"/>
          <w:szCs w:val="20"/>
        </w:rPr>
      </w:pPr>
      <w:r>
        <w:rPr>
          <w:rFonts w:cs="Arial"/>
          <w:szCs w:val="20"/>
        </w:rPr>
        <w:t>These new sharing techniques are often collectively referred to as</w:t>
      </w:r>
      <w:r w:rsidR="00D66192">
        <w:rPr>
          <w:rFonts w:cs="Arial"/>
          <w:szCs w:val="20"/>
        </w:rPr>
        <w:t xml:space="preserve"> </w:t>
      </w:r>
      <w:r>
        <w:rPr>
          <w:rFonts w:cs="Arial"/>
          <w:szCs w:val="20"/>
        </w:rPr>
        <w:t xml:space="preserve">DSA. While there are various specific implementations with different names, all </w:t>
      </w:r>
      <w:r w:rsidRPr="00FD2CD1">
        <w:rPr>
          <w:rFonts w:cs="Arial"/>
          <w:szCs w:val="20"/>
        </w:rPr>
        <w:t xml:space="preserve">typically take advantage of time-based changes in spectrum </w:t>
      </w:r>
      <w:r>
        <w:rPr>
          <w:rFonts w:cs="Arial"/>
          <w:szCs w:val="20"/>
        </w:rPr>
        <w:t>occupancy</w:t>
      </w:r>
      <w:r w:rsidRPr="00FD2CD1">
        <w:rPr>
          <w:rFonts w:cs="Arial"/>
          <w:szCs w:val="20"/>
        </w:rPr>
        <w:t xml:space="preserve"> by </w:t>
      </w:r>
      <w:r>
        <w:rPr>
          <w:rFonts w:cs="Arial"/>
          <w:szCs w:val="20"/>
        </w:rPr>
        <w:t>incumbent</w:t>
      </w:r>
      <w:r w:rsidRPr="00FD2CD1">
        <w:rPr>
          <w:rFonts w:cs="Arial"/>
          <w:szCs w:val="20"/>
        </w:rPr>
        <w:t xml:space="preserve"> users—that is,</w:t>
      </w:r>
      <w:r>
        <w:rPr>
          <w:rFonts w:cs="Arial"/>
          <w:szCs w:val="20"/>
        </w:rPr>
        <w:t xml:space="preserve"> allowing use of spectrum that </w:t>
      </w:r>
      <w:r w:rsidRPr="00FD2CD1">
        <w:rPr>
          <w:rFonts w:cs="Arial"/>
          <w:szCs w:val="20"/>
        </w:rPr>
        <w:t xml:space="preserve">may not </w:t>
      </w:r>
      <w:r>
        <w:rPr>
          <w:rFonts w:cs="Arial"/>
          <w:szCs w:val="20"/>
        </w:rPr>
        <w:t xml:space="preserve">be in </w:t>
      </w:r>
      <w:r w:rsidRPr="00FD2CD1">
        <w:rPr>
          <w:rFonts w:cs="Arial"/>
          <w:szCs w:val="20"/>
        </w:rPr>
        <w:t xml:space="preserve">use in all geographic areas, all the time. </w:t>
      </w:r>
    </w:p>
    <w:p w14:paraId="5558D500" w14:textId="77777777" w:rsidR="00CC201A" w:rsidRDefault="00C87691" w:rsidP="000D7782">
      <w:pPr>
        <w:spacing w:before="120" w:after="120" w:line="240" w:lineRule="auto"/>
        <w:rPr>
          <w:rFonts w:cs="Arial"/>
          <w:szCs w:val="20"/>
        </w:rPr>
      </w:pPr>
      <w:r w:rsidRPr="00FD2CD1">
        <w:rPr>
          <w:rFonts w:cs="Arial"/>
          <w:szCs w:val="20"/>
        </w:rPr>
        <w:t xml:space="preserve">In practice, </w:t>
      </w:r>
      <w:r>
        <w:rPr>
          <w:rFonts w:cs="Arial"/>
          <w:szCs w:val="20"/>
        </w:rPr>
        <w:t>these new</w:t>
      </w:r>
      <w:r w:rsidR="0083266D">
        <w:rPr>
          <w:rFonts w:cs="Arial"/>
          <w:szCs w:val="20"/>
        </w:rPr>
        <w:t xml:space="preserve">er </w:t>
      </w:r>
      <w:r w:rsidRPr="00FD2CD1">
        <w:rPr>
          <w:rFonts w:cs="Arial"/>
          <w:szCs w:val="20"/>
        </w:rPr>
        <w:t>approaches have relied on a hierarchical approach</w:t>
      </w:r>
      <w:r>
        <w:rPr>
          <w:rFonts w:cs="Arial"/>
          <w:szCs w:val="20"/>
        </w:rPr>
        <w:t xml:space="preserve"> for access to spectrum. </w:t>
      </w:r>
    </w:p>
    <w:p w14:paraId="6D09A1E7" w14:textId="2E3228ED" w:rsidR="00C87691" w:rsidRPr="00FD2CD1" w:rsidRDefault="00C87691" w:rsidP="000D7782">
      <w:pPr>
        <w:spacing w:before="120" w:after="120" w:line="240" w:lineRule="auto"/>
        <w:rPr>
          <w:rFonts w:cs="Arial"/>
          <w:szCs w:val="20"/>
        </w:rPr>
      </w:pPr>
      <w:r>
        <w:rPr>
          <w:rFonts w:cs="Arial"/>
          <w:szCs w:val="20"/>
        </w:rPr>
        <w:t>L</w:t>
      </w:r>
      <w:r w:rsidRPr="00FD2CD1">
        <w:rPr>
          <w:rFonts w:cs="Arial"/>
          <w:szCs w:val="20"/>
        </w:rPr>
        <w:t>ower-tier users</w:t>
      </w:r>
      <w:r w:rsidR="00BD2F0D">
        <w:rPr>
          <w:rFonts w:cs="Arial"/>
          <w:szCs w:val="20"/>
        </w:rPr>
        <w:t xml:space="preserve"> must make</w:t>
      </w:r>
      <w:r>
        <w:rPr>
          <w:rFonts w:cs="Arial"/>
          <w:szCs w:val="20"/>
        </w:rPr>
        <w:t xml:space="preserve"> </w:t>
      </w:r>
      <w:r w:rsidRPr="00FD2CD1">
        <w:rPr>
          <w:rFonts w:cs="Arial"/>
          <w:szCs w:val="20"/>
        </w:rPr>
        <w:t xml:space="preserve">way </w:t>
      </w:r>
      <w:r w:rsidR="00BD2F0D">
        <w:rPr>
          <w:rFonts w:cs="Arial"/>
          <w:szCs w:val="20"/>
        </w:rPr>
        <w:t>for</w:t>
      </w:r>
      <w:r w:rsidR="00BD2F0D" w:rsidRPr="00FD2CD1">
        <w:rPr>
          <w:rFonts w:cs="Arial"/>
          <w:szCs w:val="20"/>
        </w:rPr>
        <w:t xml:space="preserve"> </w:t>
      </w:r>
      <w:r w:rsidRPr="00FD2CD1">
        <w:rPr>
          <w:rFonts w:cs="Arial"/>
          <w:szCs w:val="20"/>
        </w:rPr>
        <w:t>higher-tier users</w:t>
      </w:r>
      <w:r>
        <w:rPr>
          <w:rFonts w:cs="Arial"/>
          <w:szCs w:val="20"/>
        </w:rPr>
        <w:t xml:space="preserve"> wherever and whenever that spectrum is required for use</w:t>
      </w:r>
      <w:r w:rsidRPr="00FD2CD1">
        <w:rPr>
          <w:rFonts w:cs="Arial"/>
          <w:szCs w:val="20"/>
        </w:rPr>
        <w:t>. Clarity on tier rights is important as it provides confidence to each user about the terms of access, which allows an assessment of whether the access</w:t>
      </w:r>
      <w:r>
        <w:rPr>
          <w:rFonts w:cs="Arial"/>
          <w:szCs w:val="20"/>
        </w:rPr>
        <w:t xml:space="preserve"> rights on offer</w:t>
      </w:r>
      <w:r w:rsidRPr="00FD2CD1">
        <w:rPr>
          <w:rFonts w:cs="Arial"/>
          <w:szCs w:val="20"/>
        </w:rPr>
        <w:t xml:space="preserve"> </w:t>
      </w:r>
      <w:r w:rsidR="004B1738">
        <w:rPr>
          <w:rFonts w:cs="Arial"/>
          <w:szCs w:val="20"/>
        </w:rPr>
        <w:t>are</w:t>
      </w:r>
      <w:r w:rsidR="004B1738" w:rsidRPr="00FD2CD1">
        <w:rPr>
          <w:rFonts w:cs="Arial"/>
          <w:szCs w:val="20"/>
        </w:rPr>
        <w:t xml:space="preserve"> </w:t>
      </w:r>
      <w:r w:rsidRPr="00FD2CD1">
        <w:rPr>
          <w:rFonts w:cs="Arial"/>
          <w:szCs w:val="20"/>
        </w:rPr>
        <w:t>suitable to their needs.</w:t>
      </w:r>
      <w:r>
        <w:rPr>
          <w:rFonts w:cs="Arial"/>
          <w:szCs w:val="20"/>
        </w:rPr>
        <w:t xml:space="preserve"> In many cases such a model might not provide the level of certainty needed to meet a lower-tier user’s business requirements, in which case a more traditional licensed access to spectrum would be more appropriate. </w:t>
      </w:r>
    </w:p>
    <w:p w14:paraId="25951B0C" w14:textId="0AF35B49" w:rsidR="00C87691" w:rsidRPr="00FD2CD1" w:rsidRDefault="00C87691" w:rsidP="000D7782">
      <w:pPr>
        <w:spacing w:before="120" w:after="120" w:line="240" w:lineRule="auto"/>
        <w:rPr>
          <w:rFonts w:cs="Arial"/>
          <w:szCs w:val="20"/>
        </w:rPr>
      </w:pPr>
      <w:r w:rsidRPr="00FD2CD1">
        <w:rPr>
          <w:rFonts w:cs="Arial"/>
          <w:szCs w:val="20"/>
        </w:rPr>
        <w:t xml:space="preserve">Tiered sharing works best when </w:t>
      </w:r>
      <w:r>
        <w:rPr>
          <w:rFonts w:cs="Arial"/>
          <w:szCs w:val="20"/>
        </w:rPr>
        <w:t>accommodated uses</w:t>
      </w:r>
      <w:r w:rsidRPr="00FD2CD1">
        <w:rPr>
          <w:rFonts w:cs="Arial"/>
          <w:szCs w:val="20"/>
        </w:rPr>
        <w:t xml:space="preserve"> are complementary</w:t>
      </w:r>
      <w:r>
        <w:rPr>
          <w:rFonts w:cs="Arial"/>
          <w:szCs w:val="20"/>
        </w:rPr>
        <w:t>, rather than competing,</w:t>
      </w:r>
      <w:r w:rsidRPr="00FD2CD1">
        <w:rPr>
          <w:rFonts w:cs="Arial"/>
          <w:szCs w:val="20"/>
        </w:rPr>
        <w:t xml:space="preserve"> in nature—for example, when one user’s </w:t>
      </w:r>
      <w:r w:rsidR="00660E9E">
        <w:rPr>
          <w:rFonts w:cs="Arial"/>
          <w:szCs w:val="20"/>
        </w:rPr>
        <w:t>spectrum access</w:t>
      </w:r>
      <w:r w:rsidR="00660E9E" w:rsidRPr="00FD2CD1">
        <w:rPr>
          <w:rFonts w:cs="Arial"/>
          <w:szCs w:val="20"/>
        </w:rPr>
        <w:t xml:space="preserve"> </w:t>
      </w:r>
      <w:r w:rsidRPr="00FD2CD1">
        <w:rPr>
          <w:rFonts w:cs="Arial"/>
          <w:szCs w:val="20"/>
        </w:rPr>
        <w:t xml:space="preserve">is intermittent (often the top-tier user) and the lower-tier user can accept that in some circumstances they will need to </w:t>
      </w:r>
      <w:r>
        <w:rPr>
          <w:rFonts w:cs="Arial"/>
          <w:szCs w:val="20"/>
        </w:rPr>
        <w:t>alter their</w:t>
      </w:r>
      <w:r w:rsidRPr="00FD2CD1">
        <w:rPr>
          <w:rFonts w:cs="Arial"/>
          <w:szCs w:val="20"/>
        </w:rPr>
        <w:t xml:space="preserve"> </w:t>
      </w:r>
      <w:r>
        <w:rPr>
          <w:rFonts w:cs="Arial"/>
          <w:szCs w:val="20"/>
        </w:rPr>
        <w:t>operations</w:t>
      </w:r>
      <w:r w:rsidRPr="00FD2CD1">
        <w:rPr>
          <w:rFonts w:cs="Arial"/>
          <w:szCs w:val="20"/>
        </w:rPr>
        <w:t xml:space="preserve"> </w:t>
      </w:r>
      <w:r>
        <w:rPr>
          <w:rFonts w:cs="Arial"/>
          <w:szCs w:val="20"/>
        </w:rPr>
        <w:t>in some way (including to the possibility of ceasing operation all together) for some</w:t>
      </w:r>
      <w:r w:rsidRPr="00FD2CD1">
        <w:rPr>
          <w:rFonts w:cs="Arial"/>
          <w:szCs w:val="20"/>
        </w:rPr>
        <w:t xml:space="preserve"> period of time. </w:t>
      </w:r>
    </w:p>
    <w:p w14:paraId="3B3E4089" w14:textId="32D41A1A" w:rsidR="00C87691" w:rsidRDefault="00C87691" w:rsidP="000D7782">
      <w:pPr>
        <w:pStyle w:val="ListBullet"/>
        <w:numPr>
          <w:ilvl w:val="0"/>
          <w:numId w:val="0"/>
        </w:numPr>
        <w:spacing w:before="120" w:after="120" w:line="240" w:lineRule="auto"/>
        <w:rPr>
          <w:rFonts w:cs="Arial"/>
        </w:rPr>
      </w:pPr>
      <w:r>
        <w:rPr>
          <w:rFonts w:cs="Arial"/>
          <w:szCs w:val="20"/>
        </w:rPr>
        <w:t xml:space="preserve">The current global scarcity of DSA implementations likely </w:t>
      </w:r>
      <w:r w:rsidR="0083266D">
        <w:rPr>
          <w:rFonts w:cs="Arial"/>
          <w:szCs w:val="20"/>
        </w:rPr>
        <w:t xml:space="preserve">reflects </w:t>
      </w:r>
      <w:r w:rsidRPr="00FD2CD1">
        <w:rPr>
          <w:rFonts w:cs="Arial"/>
          <w:szCs w:val="20"/>
        </w:rPr>
        <w:t>technolog</w:t>
      </w:r>
      <w:r>
        <w:rPr>
          <w:rFonts w:cs="Arial"/>
          <w:szCs w:val="20"/>
        </w:rPr>
        <w:t xml:space="preserve">y </w:t>
      </w:r>
      <w:r w:rsidRPr="00FD2CD1">
        <w:rPr>
          <w:rFonts w:cs="Arial"/>
          <w:szCs w:val="20"/>
        </w:rPr>
        <w:t>limitations, spectrum availability factors and</w:t>
      </w:r>
      <w:r w:rsidR="001E6C74">
        <w:rPr>
          <w:rFonts w:cs="Arial"/>
          <w:szCs w:val="20"/>
        </w:rPr>
        <w:t xml:space="preserve"> an inability </w:t>
      </w:r>
      <w:r w:rsidR="00F93528">
        <w:rPr>
          <w:rFonts w:cs="Arial"/>
          <w:szCs w:val="20"/>
        </w:rPr>
        <w:t>for those models to meet</w:t>
      </w:r>
      <w:r w:rsidRPr="00FD2CD1">
        <w:rPr>
          <w:rFonts w:cs="Arial"/>
          <w:szCs w:val="20"/>
        </w:rPr>
        <w:t xml:space="preserve"> user expectations</w:t>
      </w:r>
      <w:r>
        <w:rPr>
          <w:rFonts w:cs="Arial"/>
          <w:szCs w:val="20"/>
        </w:rPr>
        <w:t xml:space="preserve">/requirements. </w:t>
      </w:r>
    </w:p>
    <w:p w14:paraId="2423CB56" w14:textId="4FA33801" w:rsidR="00C87691" w:rsidRPr="00D66192" w:rsidRDefault="00824B0F" w:rsidP="00091E83">
      <w:pPr>
        <w:pStyle w:val="Heading2"/>
      </w:pPr>
      <w:bookmarkStart w:id="18" w:name="_Toc16054641"/>
      <w:r>
        <w:t>DSA</w:t>
      </w:r>
      <w:r w:rsidR="00030CBC" w:rsidRPr="00D66192">
        <w:t xml:space="preserve"> </w:t>
      </w:r>
      <w:r w:rsidR="00D66192" w:rsidRPr="00D66192">
        <w:t>f</w:t>
      </w:r>
      <w:r w:rsidR="00C87691" w:rsidRPr="00D66192">
        <w:t>ramework</w:t>
      </w:r>
      <w:bookmarkEnd w:id="18"/>
      <w:r w:rsidR="00C87691" w:rsidRPr="00D66192">
        <w:t xml:space="preserve"> </w:t>
      </w:r>
    </w:p>
    <w:p w14:paraId="2D98D505" w14:textId="5A7E4EEE" w:rsidR="00085EC5" w:rsidRDefault="00FA49FB" w:rsidP="00091E83">
      <w:pPr>
        <w:pStyle w:val="ListBulletLast"/>
        <w:numPr>
          <w:ilvl w:val="0"/>
          <w:numId w:val="0"/>
        </w:numPr>
        <w:spacing w:before="120" w:after="80" w:line="240" w:lineRule="auto"/>
      </w:pPr>
      <w:r>
        <w:t xml:space="preserve">Dynamic spectrum access </w:t>
      </w:r>
      <w:r w:rsidR="0036373B">
        <w:t xml:space="preserve">requires a </w:t>
      </w:r>
      <w:r>
        <w:t xml:space="preserve">set of rules and </w:t>
      </w:r>
      <w:r w:rsidR="00676C63">
        <w:t xml:space="preserve">a </w:t>
      </w:r>
      <w:r w:rsidR="0036373B">
        <w:t>decision</w:t>
      </w:r>
      <w:r w:rsidR="0083266D">
        <w:t>-</w:t>
      </w:r>
      <w:r>
        <w:t xml:space="preserve">making process that can operate rapidly with little or no intervention by the regulator. </w:t>
      </w:r>
      <w:r w:rsidR="00221D37">
        <w:t xml:space="preserve">While there are </w:t>
      </w:r>
      <w:r w:rsidR="00636396">
        <w:t>various</w:t>
      </w:r>
      <w:r w:rsidR="00221D37">
        <w:t xml:space="preserve"> specific </w:t>
      </w:r>
      <w:r w:rsidR="00636396">
        <w:t xml:space="preserve">implementations of the DSA concept, each </w:t>
      </w:r>
      <w:r w:rsidR="008864AB">
        <w:t>requires a</w:t>
      </w:r>
      <w:r w:rsidR="00085EC5">
        <w:t xml:space="preserve"> framework that</w:t>
      </w:r>
      <w:r w:rsidR="00514BD7">
        <w:t xml:space="preserve"> </w:t>
      </w:r>
      <w:r w:rsidR="00B67074">
        <w:t>identifies a</w:t>
      </w:r>
      <w:r w:rsidR="00085EC5">
        <w:t>:</w:t>
      </w:r>
    </w:p>
    <w:p w14:paraId="6443F1D6" w14:textId="43A85069" w:rsidR="00085EC5" w:rsidRDefault="006F3868" w:rsidP="00091E83">
      <w:pPr>
        <w:pStyle w:val="ListBullet"/>
      </w:pPr>
      <w:r w:rsidRPr="00091E83">
        <w:rPr>
          <w:bCs/>
        </w:rPr>
        <w:t>hierarchy</w:t>
      </w:r>
      <w:r w:rsidR="008864AB">
        <w:t xml:space="preserve"> of spectrum users (and in some case a </w:t>
      </w:r>
      <w:r w:rsidR="00E219E2">
        <w:t>mechanism</w:t>
      </w:r>
      <w:r w:rsidR="008864AB">
        <w:t xml:space="preserve"> to determine</w:t>
      </w:r>
      <w:r w:rsidR="00E219E2">
        <w:t>/allocate</w:t>
      </w:r>
      <w:r w:rsidR="008864AB">
        <w:t xml:space="preserve"> </w:t>
      </w:r>
      <w:r w:rsidR="00514BD7">
        <w:t>r</w:t>
      </w:r>
      <w:r w:rsidR="00085EC5">
        <w:t xml:space="preserve">ights to </w:t>
      </w:r>
      <w:r w:rsidR="00514BD7">
        <w:t xml:space="preserve">be part of the </w:t>
      </w:r>
      <w:r w:rsidR="00085EC5">
        <w:t xml:space="preserve">various </w:t>
      </w:r>
      <w:r>
        <w:t xml:space="preserve">hierarchal </w:t>
      </w:r>
      <w:r w:rsidR="00514BD7">
        <w:t>layers</w:t>
      </w:r>
      <w:r w:rsidR="00085EC5">
        <w:t>)</w:t>
      </w:r>
    </w:p>
    <w:p w14:paraId="2DFFF1F3" w14:textId="2B21A204" w:rsidR="00514BD7" w:rsidRDefault="00085EC5" w:rsidP="00091E83">
      <w:pPr>
        <w:pStyle w:val="ListBullet"/>
      </w:pPr>
      <w:r>
        <w:t>set o</w:t>
      </w:r>
      <w:r w:rsidR="00B67074">
        <w:t>f</w:t>
      </w:r>
      <w:r>
        <w:t xml:space="preserve"> </w:t>
      </w:r>
      <w:r w:rsidRPr="00091E83">
        <w:rPr>
          <w:bCs/>
        </w:rPr>
        <w:t>rules</w:t>
      </w:r>
      <w:r>
        <w:t xml:space="preserve"> </w:t>
      </w:r>
      <w:r w:rsidR="00514BD7">
        <w:t xml:space="preserve">articulating </w:t>
      </w:r>
      <w:r>
        <w:t xml:space="preserve">the rights and </w:t>
      </w:r>
      <w:r w:rsidR="00514BD7">
        <w:t>responsibilities</w:t>
      </w:r>
      <w:r>
        <w:t xml:space="preserve"> of those user</w:t>
      </w:r>
      <w:r w:rsidR="0081520F">
        <w:t>s in a</w:t>
      </w:r>
      <w:r w:rsidR="00514BD7">
        <w:t xml:space="preserve"> </w:t>
      </w:r>
      <w:r w:rsidR="006F3868">
        <w:t>hierarchy</w:t>
      </w:r>
    </w:p>
    <w:p w14:paraId="264EA037" w14:textId="793AFF86" w:rsidR="00B67074" w:rsidRPr="00D66192" w:rsidRDefault="006F3868" w:rsidP="00091E83">
      <w:pPr>
        <w:pStyle w:val="ListBullet"/>
        <w:rPr>
          <w:bCs/>
        </w:rPr>
      </w:pPr>
      <w:r w:rsidRPr="00091E83">
        <w:rPr>
          <w:bCs/>
        </w:rPr>
        <w:t>mechanism(s)</w:t>
      </w:r>
      <w:r w:rsidR="008864AB" w:rsidRPr="00091E83">
        <w:rPr>
          <w:bCs/>
        </w:rPr>
        <w:t xml:space="preserve"> to </w:t>
      </w:r>
      <w:r w:rsidRPr="00091E83">
        <w:rPr>
          <w:bCs/>
        </w:rPr>
        <w:t>determine</w:t>
      </w:r>
      <w:r w:rsidR="008864AB" w:rsidRPr="00091E83">
        <w:rPr>
          <w:bCs/>
        </w:rPr>
        <w:t xml:space="preserve"> actual</w:t>
      </w:r>
      <w:r w:rsidR="008864AB" w:rsidRPr="00D66192">
        <w:rPr>
          <w:bCs/>
        </w:rPr>
        <w:t xml:space="preserve"> </w:t>
      </w:r>
      <w:r w:rsidR="0078075F" w:rsidRPr="00091E83">
        <w:rPr>
          <w:bCs/>
        </w:rPr>
        <w:t>spectrum use</w:t>
      </w:r>
      <w:r w:rsidR="0078075F" w:rsidRPr="00D66192">
        <w:rPr>
          <w:bCs/>
        </w:rPr>
        <w:t xml:space="preserve"> </w:t>
      </w:r>
      <w:r w:rsidR="008864AB" w:rsidRPr="00D66192">
        <w:rPr>
          <w:bCs/>
        </w:rPr>
        <w:t xml:space="preserve">(as opposed to </w:t>
      </w:r>
      <w:r w:rsidR="00B67074" w:rsidRPr="00D66192">
        <w:rPr>
          <w:bCs/>
        </w:rPr>
        <w:t>authorised/licensed</w:t>
      </w:r>
      <w:r w:rsidR="008864AB" w:rsidRPr="00D66192">
        <w:rPr>
          <w:bCs/>
        </w:rPr>
        <w:t xml:space="preserve">) </w:t>
      </w:r>
      <w:r w:rsidR="00824B0F">
        <w:rPr>
          <w:bCs/>
        </w:rPr>
        <w:t>that is,</w:t>
      </w:r>
      <w:r w:rsidR="00D1304F" w:rsidRPr="00D66192">
        <w:rPr>
          <w:bCs/>
        </w:rPr>
        <w:t xml:space="preserve"> a way to </w:t>
      </w:r>
      <w:r w:rsidR="003B35AD" w:rsidRPr="00D66192">
        <w:rPr>
          <w:bCs/>
        </w:rPr>
        <w:t>understand</w:t>
      </w:r>
      <w:r w:rsidR="00D1304F" w:rsidRPr="00D66192">
        <w:rPr>
          <w:bCs/>
        </w:rPr>
        <w:t xml:space="preserve"> the current spectrum environment</w:t>
      </w:r>
    </w:p>
    <w:p w14:paraId="58F04182" w14:textId="3FCE409C" w:rsidR="00B67074" w:rsidRDefault="0078075F" w:rsidP="00091E83">
      <w:pPr>
        <w:pStyle w:val="ListBulletLast"/>
      </w:pPr>
      <w:r w:rsidRPr="00091E83">
        <w:rPr>
          <w:bCs/>
        </w:rPr>
        <w:t xml:space="preserve">dynamic </w:t>
      </w:r>
      <w:r w:rsidR="00D1304F" w:rsidRPr="00091E83">
        <w:rPr>
          <w:bCs/>
        </w:rPr>
        <w:t>feedback</w:t>
      </w:r>
      <w:r w:rsidR="00D1304F">
        <w:t xml:space="preserve"> or control system to implement changes to spectrum use by users </w:t>
      </w:r>
      <w:r>
        <w:t xml:space="preserve">based on the rules and the current spectrum environment. </w:t>
      </w:r>
    </w:p>
    <w:p w14:paraId="282A9A38" w14:textId="4C32CB4B" w:rsidR="00DA1FAE" w:rsidRDefault="002127EB" w:rsidP="00091E83">
      <w:pPr>
        <w:pStyle w:val="ListBulletLast"/>
        <w:numPr>
          <w:ilvl w:val="0"/>
          <w:numId w:val="0"/>
        </w:numPr>
        <w:spacing w:before="120" w:after="80" w:line="240" w:lineRule="auto"/>
      </w:pPr>
      <w:r>
        <w:t>These elem</w:t>
      </w:r>
      <w:r w:rsidR="00027DD9">
        <w:t xml:space="preserve">ents influence </w:t>
      </w:r>
      <w:r w:rsidR="002421C9">
        <w:t>when a DSA approach</w:t>
      </w:r>
      <w:r w:rsidR="00027DD9">
        <w:t xml:space="preserve"> may make sense. </w:t>
      </w:r>
      <w:r w:rsidR="00DA1FAE">
        <w:t>Some key considerations are:</w:t>
      </w:r>
    </w:p>
    <w:p w14:paraId="61114197" w14:textId="61CD49B7" w:rsidR="00ED65DD" w:rsidRPr="0089797C" w:rsidRDefault="009A0E80" w:rsidP="00091E83">
      <w:pPr>
        <w:pStyle w:val="ListNumber"/>
        <w:numPr>
          <w:ilvl w:val="0"/>
          <w:numId w:val="29"/>
        </w:numPr>
        <w:rPr>
          <w:szCs w:val="20"/>
        </w:rPr>
      </w:pPr>
      <w:r>
        <w:t>I</w:t>
      </w:r>
      <w:r w:rsidR="00DA1FAE">
        <w:t xml:space="preserve">s there a viable hierarchy of spectrum users that </w:t>
      </w:r>
      <w:r w:rsidR="00C360DF">
        <w:t xml:space="preserve">are </w:t>
      </w:r>
      <w:r w:rsidR="00513A00">
        <w:t>complimentary</w:t>
      </w:r>
      <w:r w:rsidR="00C360DF">
        <w:t xml:space="preserve"> to each other?</w:t>
      </w:r>
      <w:r w:rsidR="00513A00">
        <w:t xml:space="preserve"> </w:t>
      </w:r>
      <w:r w:rsidR="00027DD9">
        <w:t>For example,</w:t>
      </w:r>
      <w:r w:rsidR="00544CE5">
        <w:t xml:space="preserve"> </w:t>
      </w:r>
      <w:r w:rsidR="00E5284E">
        <w:t>is one use/user</w:t>
      </w:r>
      <w:r w:rsidR="00ED65DD" w:rsidRPr="0089797C">
        <w:rPr>
          <w:szCs w:val="20"/>
        </w:rPr>
        <w:t xml:space="preserve"> infrequent and/or itinerant basis</w:t>
      </w:r>
      <w:r w:rsidR="00544CE5" w:rsidRPr="0089797C">
        <w:rPr>
          <w:szCs w:val="20"/>
        </w:rPr>
        <w:t xml:space="preserve"> on one of the users in the </w:t>
      </w:r>
      <w:r w:rsidR="00DA1FAE">
        <w:t>hierarchy</w:t>
      </w:r>
      <w:r w:rsidRPr="0089797C">
        <w:rPr>
          <w:szCs w:val="20"/>
        </w:rPr>
        <w:t>?</w:t>
      </w:r>
    </w:p>
    <w:p w14:paraId="68630D07" w14:textId="01AFEB93" w:rsidR="00513A00" w:rsidRDefault="00513A00" w:rsidP="00091E83">
      <w:pPr>
        <w:pStyle w:val="ListNumber"/>
        <w:rPr>
          <w:szCs w:val="20"/>
        </w:rPr>
      </w:pPr>
      <w:r>
        <w:rPr>
          <w:szCs w:val="20"/>
        </w:rPr>
        <w:lastRenderedPageBreak/>
        <w:t xml:space="preserve">How </w:t>
      </w:r>
      <w:r w:rsidR="00D7708A">
        <w:rPr>
          <w:szCs w:val="20"/>
        </w:rPr>
        <w:t xml:space="preserve">is hierarchical </w:t>
      </w:r>
      <w:r>
        <w:rPr>
          <w:szCs w:val="20"/>
        </w:rPr>
        <w:t xml:space="preserve">status </w:t>
      </w:r>
      <w:r w:rsidR="00D7708A">
        <w:rPr>
          <w:szCs w:val="20"/>
        </w:rPr>
        <w:t>determined</w:t>
      </w:r>
      <w:r w:rsidR="00E624D0">
        <w:rPr>
          <w:szCs w:val="20"/>
        </w:rPr>
        <w:t>?</w:t>
      </w:r>
      <w:r w:rsidR="009A0E80">
        <w:rPr>
          <w:szCs w:val="20"/>
        </w:rPr>
        <w:t xml:space="preserve"> In other words which user is the </w:t>
      </w:r>
      <w:r w:rsidR="009242D5">
        <w:rPr>
          <w:szCs w:val="20"/>
        </w:rPr>
        <w:t>higher tier user?</w:t>
      </w:r>
    </w:p>
    <w:p w14:paraId="4FD27573" w14:textId="74D75B39" w:rsidR="00513A00" w:rsidRDefault="00E5284E" w:rsidP="00091E83">
      <w:pPr>
        <w:pStyle w:val="ListNumber"/>
        <w:rPr>
          <w:szCs w:val="20"/>
        </w:rPr>
      </w:pPr>
      <w:r>
        <w:rPr>
          <w:szCs w:val="20"/>
        </w:rPr>
        <w:t xml:space="preserve">What rights </w:t>
      </w:r>
      <w:r w:rsidR="00D7708A">
        <w:rPr>
          <w:szCs w:val="20"/>
        </w:rPr>
        <w:t xml:space="preserve">do </w:t>
      </w:r>
      <w:r>
        <w:rPr>
          <w:szCs w:val="20"/>
        </w:rPr>
        <w:t xml:space="preserve">each tier </w:t>
      </w:r>
      <w:r w:rsidR="009242D5">
        <w:rPr>
          <w:szCs w:val="20"/>
        </w:rPr>
        <w:t xml:space="preserve">of user </w:t>
      </w:r>
      <w:r>
        <w:rPr>
          <w:szCs w:val="20"/>
        </w:rPr>
        <w:t>have</w:t>
      </w:r>
      <w:r w:rsidR="009242D5">
        <w:rPr>
          <w:szCs w:val="20"/>
        </w:rPr>
        <w:t>?</w:t>
      </w:r>
      <w:r>
        <w:rPr>
          <w:szCs w:val="20"/>
        </w:rPr>
        <w:t xml:space="preserve"> </w:t>
      </w:r>
      <w:r w:rsidR="007D4EF7">
        <w:rPr>
          <w:szCs w:val="20"/>
        </w:rPr>
        <w:t>For h</w:t>
      </w:r>
      <w:r>
        <w:rPr>
          <w:szCs w:val="20"/>
        </w:rPr>
        <w:t xml:space="preserve">ow long </w:t>
      </w:r>
      <w:r w:rsidR="009242D5">
        <w:rPr>
          <w:szCs w:val="20"/>
        </w:rPr>
        <w:t>do</w:t>
      </w:r>
      <w:r w:rsidR="007D4EF7">
        <w:rPr>
          <w:szCs w:val="20"/>
        </w:rPr>
        <w:t>es a lower tier operator</w:t>
      </w:r>
      <w:r w:rsidR="009242D5">
        <w:rPr>
          <w:szCs w:val="20"/>
        </w:rPr>
        <w:t xml:space="preserve"> have to</w:t>
      </w:r>
      <w:r>
        <w:rPr>
          <w:szCs w:val="20"/>
        </w:rPr>
        <w:t xml:space="preserve"> </w:t>
      </w:r>
      <w:r w:rsidR="00E624D0">
        <w:rPr>
          <w:szCs w:val="20"/>
        </w:rPr>
        <w:t>switch</w:t>
      </w:r>
      <w:r>
        <w:rPr>
          <w:szCs w:val="20"/>
        </w:rPr>
        <w:t xml:space="preserve"> off or </w:t>
      </w:r>
      <w:r w:rsidR="009242D5">
        <w:rPr>
          <w:szCs w:val="20"/>
        </w:rPr>
        <w:t>change their operation</w:t>
      </w:r>
      <w:r w:rsidR="00D16976">
        <w:rPr>
          <w:szCs w:val="20"/>
        </w:rPr>
        <w:t xml:space="preserve"> </w:t>
      </w:r>
      <w:r w:rsidR="009242D5">
        <w:rPr>
          <w:szCs w:val="20"/>
        </w:rPr>
        <w:t xml:space="preserve">to </w:t>
      </w:r>
      <w:r w:rsidR="00D16976">
        <w:rPr>
          <w:szCs w:val="20"/>
        </w:rPr>
        <w:t>permit the higher tier user access</w:t>
      </w:r>
      <w:r>
        <w:rPr>
          <w:szCs w:val="20"/>
        </w:rPr>
        <w:t>?</w:t>
      </w:r>
      <w:r w:rsidR="00D16976">
        <w:rPr>
          <w:szCs w:val="20"/>
        </w:rPr>
        <w:t xml:space="preserve"> </w:t>
      </w:r>
      <w:r w:rsidR="001F0937">
        <w:rPr>
          <w:szCs w:val="20"/>
        </w:rPr>
        <w:t xml:space="preserve">Should </w:t>
      </w:r>
      <w:r w:rsidR="00D16976">
        <w:rPr>
          <w:szCs w:val="20"/>
        </w:rPr>
        <w:t>there</w:t>
      </w:r>
      <w:r w:rsidR="001F0937">
        <w:rPr>
          <w:szCs w:val="20"/>
        </w:rPr>
        <w:t xml:space="preserve"> be</w:t>
      </w:r>
      <w:r w:rsidR="00D16976">
        <w:rPr>
          <w:szCs w:val="20"/>
        </w:rPr>
        <w:t xml:space="preserve"> a limit to how often and for how long a user has to ‘yield’ to a higher user? </w:t>
      </w:r>
    </w:p>
    <w:p w14:paraId="7FD6EE33" w14:textId="6467BE97" w:rsidR="00E5284E" w:rsidRDefault="007D2938" w:rsidP="00091E83">
      <w:pPr>
        <w:pStyle w:val="ListNumber"/>
        <w:rPr>
          <w:szCs w:val="20"/>
        </w:rPr>
      </w:pPr>
      <w:r>
        <w:rPr>
          <w:szCs w:val="20"/>
        </w:rPr>
        <w:t xml:space="preserve">How </w:t>
      </w:r>
      <w:r w:rsidR="00E34B9A">
        <w:rPr>
          <w:szCs w:val="20"/>
        </w:rPr>
        <w:t>is the</w:t>
      </w:r>
      <w:r w:rsidR="00C35689">
        <w:rPr>
          <w:szCs w:val="20"/>
        </w:rPr>
        <w:t xml:space="preserve"> system </w:t>
      </w:r>
      <w:r w:rsidR="00E34B9A">
        <w:rPr>
          <w:szCs w:val="20"/>
        </w:rPr>
        <w:t>made</w:t>
      </w:r>
      <w:r w:rsidR="00C35689">
        <w:rPr>
          <w:szCs w:val="20"/>
        </w:rPr>
        <w:t xml:space="preserve"> aware of actual spectrum usage? </w:t>
      </w:r>
      <w:r w:rsidR="00F928D1">
        <w:rPr>
          <w:szCs w:val="20"/>
        </w:rPr>
        <w:t>For example, d</w:t>
      </w:r>
      <w:r w:rsidR="00C35689">
        <w:rPr>
          <w:szCs w:val="20"/>
        </w:rPr>
        <w:t>ifferent options such as spectrum sensing and geolocation reporting/databases, are available.</w:t>
      </w:r>
    </w:p>
    <w:p w14:paraId="5FD1265D" w14:textId="22D4D796" w:rsidR="007D2938" w:rsidRDefault="007D2938" w:rsidP="00091E83">
      <w:pPr>
        <w:pStyle w:val="ListNumber"/>
        <w:rPr>
          <w:szCs w:val="20"/>
        </w:rPr>
      </w:pPr>
      <w:r>
        <w:rPr>
          <w:szCs w:val="20"/>
        </w:rPr>
        <w:t xml:space="preserve">How </w:t>
      </w:r>
      <w:r w:rsidR="0039286D">
        <w:rPr>
          <w:szCs w:val="20"/>
        </w:rPr>
        <w:t>is</w:t>
      </w:r>
      <w:r w:rsidR="009A0E80">
        <w:rPr>
          <w:szCs w:val="20"/>
        </w:rPr>
        <w:t xml:space="preserve"> the feedback loop</w:t>
      </w:r>
      <w:r w:rsidR="0039286D">
        <w:rPr>
          <w:szCs w:val="20"/>
        </w:rPr>
        <w:t xml:space="preserve"> implemented</w:t>
      </w:r>
      <w:r w:rsidR="009A0E80">
        <w:rPr>
          <w:szCs w:val="20"/>
        </w:rPr>
        <w:t>?</w:t>
      </w:r>
      <w:r>
        <w:rPr>
          <w:szCs w:val="20"/>
        </w:rPr>
        <w:t xml:space="preserve"> </w:t>
      </w:r>
      <w:r w:rsidR="00F928D1">
        <w:rPr>
          <w:szCs w:val="20"/>
        </w:rPr>
        <w:t>For example, d</w:t>
      </w:r>
      <w:r w:rsidR="00C35689">
        <w:rPr>
          <w:szCs w:val="20"/>
        </w:rPr>
        <w:t>ifferent options such as direct human intervention and automated, computer access systems, are possible.</w:t>
      </w:r>
    </w:p>
    <w:p w14:paraId="5723284E" w14:textId="157378C7" w:rsidR="001C7365" w:rsidRDefault="001C7365" w:rsidP="00091E83">
      <w:pPr>
        <w:pStyle w:val="ListNumber"/>
        <w:rPr>
          <w:szCs w:val="20"/>
        </w:rPr>
      </w:pPr>
      <w:r>
        <w:rPr>
          <w:szCs w:val="20"/>
        </w:rPr>
        <w:t xml:space="preserve">Who pays for the system? </w:t>
      </w:r>
      <w:r w:rsidR="00F928D1">
        <w:rPr>
          <w:szCs w:val="20"/>
        </w:rPr>
        <w:t>Governments</w:t>
      </w:r>
      <w:r>
        <w:rPr>
          <w:szCs w:val="20"/>
        </w:rPr>
        <w:t xml:space="preserve">? </w:t>
      </w:r>
      <w:r w:rsidR="00F928D1">
        <w:rPr>
          <w:szCs w:val="20"/>
        </w:rPr>
        <w:t xml:space="preserve">Regulators? </w:t>
      </w:r>
      <w:r>
        <w:rPr>
          <w:szCs w:val="20"/>
        </w:rPr>
        <w:t xml:space="preserve">Users? A third-party spectrum </w:t>
      </w:r>
      <w:r w:rsidR="005C382B">
        <w:rPr>
          <w:szCs w:val="20"/>
        </w:rPr>
        <w:t xml:space="preserve">access </w:t>
      </w:r>
      <w:r>
        <w:rPr>
          <w:szCs w:val="20"/>
        </w:rPr>
        <w:t xml:space="preserve">broker/facilitator? </w:t>
      </w:r>
    </w:p>
    <w:p w14:paraId="4EDDE66C" w14:textId="547A1E43" w:rsidR="004829F6" w:rsidRDefault="00C0165A" w:rsidP="00091E83">
      <w:pPr>
        <w:pStyle w:val="ListNumberLast"/>
      </w:pPr>
      <w:r>
        <w:t xml:space="preserve">Is </w:t>
      </w:r>
      <w:r w:rsidR="004829F6">
        <w:t>t</w:t>
      </w:r>
      <w:r>
        <w:t xml:space="preserve">his </w:t>
      </w:r>
      <w:r w:rsidR="001F7CA8">
        <w:t>approach</w:t>
      </w:r>
      <w:r w:rsidR="00C35689">
        <w:t>,</w:t>
      </w:r>
      <w:r w:rsidR="004829F6">
        <w:t xml:space="preserve"> </w:t>
      </w:r>
      <w:r w:rsidR="001F7CA8">
        <w:t>on balance</w:t>
      </w:r>
      <w:r w:rsidR="00C35689">
        <w:t>,</w:t>
      </w:r>
      <w:r w:rsidR="001F7CA8">
        <w:t xml:space="preserve"> </w:t>
      </w:r>
      <w:r w:rsidR="00596ACF">
        <w:t xml:space="preserve">economically </w:t>
      </w:r>
      <w:r w:rsidR="001F7CA8">
        <w:t>viable</w:t>
      </w:r>
      <w:r w:rsidR="004829F6">
        <w:t xml:space="preserve">? </w:t>
      </w:r>
      <w:r w:rsidR="00596ACF">
        <w:t>C</w:t>
      </w:r>
      <w:r w:rsidR="001F7CA8">
        <w:t>osts</w:t>
      </w:r>
      <w:r w:rsidR="004829F6">
        <w:t xml:space="preserve"> </w:t>
      </w:r>
      <w:r w:rsidR="00596ACF">
        <w:t xml:space="preserve">might not </w:t>
      </w:r>
      <w:r w:rsidR="004F4376">
        <w:t>be</w:t>
      </w:r>
      <w:r w:rsidR="004829F6">
        <w:t xml:space="preserve"> just monetary</w:t>
      </w:r>
      <w:r w:rsidR="004F4376">
        <w:t>; they could also come in the form</w:t>
      </w:r>
      <w:r w:rsidR="001F7CA8">
        <w:t xml:space="preserve"> of </w:t>
      </w:r>
      <w:r w:rsidR="004F4376">
        <w:t xml:space="preserve">administrative </w:t>
      </w:r>
      <w:r w:rsidR="001F7CA8">
        <w:t xml:space="preserve">burden, reduced certainty and/or flexibility for users and reduced spectrum utility for </w:t>
      </w:r>
      <w:r w:rsidR="00A576F7">
        <w:t xml:space="preserve">lower </w:t>
      </w:r>
      <w:r w:rsidR="001F7CA8">
        <w:t>tier</w:t>
      </w:r>
      <w:r w:rsidR="00A576F7">
        <w:t xml:space="preserve"> </w:t>
      </w:r>
      <w:r w:rsidR="001F7CA8">
        <w:t>or user</w:t>
      </w:r>
      <w:r w:rsidR="00A576F7">
        <w:t>s</w:t>
      </w:r>
      <w:r w:rsidR="001F7CA8">
        <w:t>. In some case a more traditional sharing model might make more sense.</w:t>
      </w:r>
    </w:p>
    <w:p w14:paraId="117A88CA" w14:textId="457909FC" w:rsidR="0083266D" w:rsidRDefault="00B678E9" w:rsidP="00091E83">
      <w:pPr>
        <w:spacing w:before="120" w:after="80" w:line="240" w:lineRule="auto"/>
      </w:pPr>
      <w:r>
        <w:t>T</w:t>
      </w:r>
      <w:r w:rsidR="002421C9">
        <w:t xml:space="preserve">here are multiple </w:t>
      </w:r>
      <w:r w:rsidR="008B549F">
        <w:t xml:space="preserve">approaches </w:t>
      </w:r>
      <w:r>
        <w:t xml:space="preserve">to dynamic sharing </w:t>
      </w:r>
      <w:r w:rsidR="008B549F">
        <w:t xml:space="preserve">implemented or </w:t>
      </w:r>
      <w:r w:rsidR="00EA6B38">
        <w:t>contemplated</w:t>
      </w:r>
      <w:r w:rsidR="008B549F">
        <w:t xml:space="preserve"> around the world.</w:t>
      </w:r>
      <w:r w:rsidR="00EA6B38">
        <w:t xml:space="preserve"> Examples include: </w:t>
      </w:r>
    </w:p>
    <w:p w14:paraId="1DE97B47" w14:textId="77777777" w:rsidR="0083266D" w:rsidRDefault="00EA6B38" w:rsidP="00091E83">
      <w:pPr>
        <w:pStyle w:val="ListBullet"/>
      </w:pPr>
      <w:r>
        <w:t>TV whitespace systems (</w:t>
      </w:r>
      <w:r w:rsidR="00F54AB3">
        <w:t>multiple</w:t>
      </w:r>
      <w:r>
        <w:t xml:space="preserve"> variants</w:t>
      </w:r>
      <w:r w:rsidR="00F54AB3">
        <w:t xml:space="preserve"> in the US and UK for example</w:t>
      </w:r>
      <w:r>
        <w:t>)</w:t>
      </w:r>
    </w:p>
    <w:p w14:paraId="314F246F" w14:textId="37DF9F8F" w:rsidR="0083266D" w:rsidRDefault="00F54AB3" w:rsidP="00091E83">
      <w:pPr>
        <w:pStyle w:val="ListBullet"/>
      </w:pPr>
      <w:r>
        <w:t>CBRS in the US</w:t>
      </w:r>
    </w:p>
    <w:p w14:paraId="780FAB5F" w14:textId="18F9125C" w:rsidR="002421C9" w:rsidRDefault="00F54AB3" w:rsidP="00091E83">
      <w:pPr>
        <w:pStyle w:val="ListBulletLast"/>
      </w:pPr>
      <w:r>
        <w:t xml:space="preserve">various </w:t>
      </w:r>
      <w:r w:rsidR="00946B9E">
        <w:t xml:space="preserve">Licensed Shared Access (LSA) models in Europe. </w:t>
      </w:r>
      <w:r w:rsidR="00EA6B38">
        <w:t xml:space="preserve"> </w:t>
      </w:r>
    </w:p>
    <w:p w14:paraId="7514E90D" w14:textId="5716ABED" w:rsidR="00C32C77" w:rsidRDefault="00B53270" w:rsidP="00091E83">
      <w:pPr>
        <w:pStyle w:val="ListBulletLast"/>
        <w:numPr>
          <w:ilvl w:val="0"/>
          <w:numId w:val="0"/>
        </w:numPr>
        <w:spacing w:before="120" w:after="80" w:line="240" w:lineRule="auto"/>
      </w:pPr>
      <w:r>
        <w:t xml:space="preserve">These all </w:t>
      </w:r>
      <w:r w:rsidR="00544DB7">
        <w:t>employ various combinations of the broad dynamic access-enabling schemes described in the following sections</w:t>
      </w:r>
      <w:r w:rsidR="00C32C77">
        <w:t>, being:</w:t>
      </w:r>
    </w:p>
    <w:p w14:paraId="5DAF9CEF" w14:textId="4ED2EE6F" w:rsidR="00C32C77" w:rsidRPr="00D66192" w:rsidRDefault="00D66192" w:rsidP="00091E83">
      <w:pPr>
        <w:pStyle w:val="ListBullet"/>
      </w:pPr>
      <w:r>
        <w:t>t</w:t>
      </w:r>
      <w:r w:rsidR="00C32C77" w:rsidRPr="00D66192">
        <w:t>iered access models</w:t>
      </w:r>
      <w:r w:rsidR="008A10E2" w:rsidRPr="00D66192">
        <w:t xml:space="preserve"> (including a pre-emption variation on this model described below)</w:t>
      </w:r>
    </w:p>
    <w:p w14:paraId="447DE5B7" w14:textId="02B25BE2" w:rsidR="008A10E2" w:rsidRPr="00D66192" w:rsidRDefault="00D66192" w:rsidP="00091E83">
      <w:pPr>
        <w:pStyle w:val="ListBullet"/>
      </w:pPr>
      <w:r>
        <w:t>s</w:t>
      </w:r>
      <w:r w:rsidR="008A10E2" w:rsidRPr="00D66192">
        <w:t>pectrum sensing models</w:t>
      </w:r>
    </w:p>
    <w:p w14:paraId="7D78B358" w14:textId="0F7BAF91" w:rsidR="008A10E2" w:rsidRPr="00D66192" w:rsidRDefault="00D66192" w:rsidP="00091E83">
      <w:pPr>
        <w:pStyle w:val="ListBulletLast"/>
      </w:pPr>
      <w:r>
        <w:t>k</w:t>
      </w:r>
      <w:r w:rsidR="008A10E2" w:rsidRPr="00D66192">
        <w:t xml:space="preserve">nowledge base-enabled models involving </w:t>
      </w:r>
      <w:r w:rsidR="004F631E" w:rsidRPr="00D66192">
        <w:t xml:space="preserve">incorporation of </w:t>
      </w:r>
      <w:r w:rsidR="008A10E2" w:rsidRPr="00D66192">
        <w:t xml:space="preserve">geo-location </w:t>
      </w:r>
      <w:r w:rsidR="004F631E" w:rsidRPr="00D66192">
        <w:t>or databases.</w:t>
      </w:r>
    </w:p>
    <w:p w14:paraId="1BCE8ACD" w14:textId="02B034AF" w:rsidR="00C32C77" w:rsidRDefault="00394DD7" w:rsidP="000D7782">
      <w:pPr>
        <w:pStyle w:val="ListBulletLast"/>
        <w:numPr>
          <w:ilvl w:val="0"/>
          <w:numId w:val="0"/>
        </w:numPr>
        <w:spacing w:before="120" w:after="120" w:line="240" w:lineRule="auto"/>
      </w:pPr>
      <w:r>
        <w:t xml:space="preserve">In practice, </w:t>
      </w:r>
      <w:r w:rsidR="00E0159C">
        <w:t>dynamic sharing is most likely to be implemented through a combination of these models a</w:t>
      </w:r>
      <w:r w:rsidR="00421FBF">
        <w:t xml:space="preserve">nd the below sections describe possible combinations and linkages between </w:t>
      </w:r>
      <w:r w:rsidR="00E0159C">
        <w:t>them</w:t>
      </w:r>
      <w:r w:rsidR="00421FBF">
        <w:t>.</w:t>
      </w:r>
    </w:p>
    <w:p w14:paraId="1141A7C2" w14:textId="39BCC18F" w:rsidR="000D291B" w:rsidRPr="00D66192" w:rsidRDefault="00D6632F" w:rsidP="00091E83">
      <w:pPr>
        <w:pStyle w:val="Heading2"/>
      </w:pPr>
      <w:bookmarkStart w:id="19" w:name="_Ref8080649"/>
      <w:bookmarkStart w:id="20" w:name="_Toc863367"/>
      <w:bookmarkStart w:id="21" w:name="_Toc16054642"/>
      <w:r w:rsidRPr="00D66192">
        <w:t xml:space="preserve">A </w:t>
      </w:r>
      <w:r w:rsidR="00D66192">
        <w:t>g</w:t>
      </w:r>
      <w:r w:rsidRPr="00D66192">
        <w:t xml:space="preserve">eneric </w:t>
      </w:r>
      <w:r w:rsidR="00D66192">
        <w:t>h</w:t>
      </w:r>
      <w:r w:rsidR="005814AF" w:rsidRPr="00D66192">
        <w:t>ierarch</w:t>
      </w:r>
      <w:r w:rsidR="00D11307" w:rsidRPr="00D66192">
        <w:t>ic</w:t>
      </w:r>
      <w:r w:rsidR="005814AF" w:rsidRPr="00D66192">
        <w:t xml:space="preserve">al </w:t>
      </w:r>
      <w:r w:rsidRPr="00D66192">
        <w:t xml:space="preserve">or </w:t>
      </w:r>
      <w:r w:rsidR="00D66192">
        <w:t>t</w:t>
      </w:r>
      <w:r w:rsidRPr="00D66192">
        <w:t xml:space="preserve">iered </w:t>
      </w:r>
      <w:r w:rsidR="00D66192">
        <w:t>a</w:t>
      </w:r>
      <w:r w:rsidR="000D291B" w:rsidRPr="00D66192">
        <w:t xml:space="preserve">ccess </w:t>
      </w:r>
      <w:r w:rsidR="00D66192">
        <w:t>m</w:t>
      </w:r>
      <w:r w:rsidR="000D291B" w:rsidRPr="00D66192">
        <w:t>odel</w:t>
      </w:r>
      <w:bookmarkEnd w:id="19"/>
      <w:bookmarkEnd w:id="21"/>
      <w:r w:rsidR="000D291B" w:rsidRPr="00D66192">
        <w:t xml:space="preserve"> </w:t>
      </w:r>
    </w:p>
    <w:p w14:paraId="4B3F2921" w14:textId="5C31987C" w:rsidR="000D291B" w:rsidRPr="00FD2CD1" w:rsidRDefault="000D291B" w:rsidP="00091E83">
      <w:pPr>
        <w:spacing w:before="120" w:after="80" w:line="240" w:lineRule="auto"/>
        <w:rPr>
          <w:rFonts w:cs="Arial"/>
          <w:szCs w:val="20"/>
        </w:rPr>
      </w:pPr>
      <w:r>
        <w:rPr>
          <w:rFonts w:cs="Arial"/>
          <w:szCs w:val="20"/>
        </w:rPr>
        <w:t>A tiered</w:t>
      </w:r>
      <w:r w:rsidRPr="00FD2CD1">
        <w:rPr>
          <w:rFonts w:cs="Arial"/>
          <w:szCs w:val="20"/>
        </w:rPr>
        <w:t xml:space="preserve"> access </w:t>
      </w:r>
      <w:r w:rsidR="00D6632F">
        <w:rPr>
          <w:rFonts w:cs="Arial"/>
          <w:szCs w:val="20"/>
        </w:rPr>
        <w:t>model</w:t>
      </w:r>
      <w:r w:rsidRPr="00FD2CD1">
        <w:rPr>
          <w:rFonts w:cs="Arial"/>
          <w:szCs w:val="20"/>
        </w:rPr>
        <w:t xml:space="preserve"> </w:t>
      </w:r>
      <w:r>
        <w:rPr>
          <w:rFonts w:cs="Arial"/>
          <w:szCs w:val="20"/>
        </w:rPr>
        <w:t>sets out</w:t>
      </w:r>
      <w:r w:rsidRPr="00FD2CD1">
        <w:rPr>
          <w:rFonts w:cs="Arial"/>
          <w:szCs w:val="20"/>
        </w:rPr>
        <w:t xml:space="preserve"> a hierarchical structure which defines users as </w:t>
      </w:r>
      <w:r>
        <w:rPr>
          <w:rFonts w:cs="Arial"/>
          <w:szCs w:val="20"/>
        </w:rPr>
        <w:t xml:space="preserve">being </w:t>
      </w:r>
      <w:r w:rsidRPr="00FD2CD1">
        <w:rPr>
          <w:rFonts w:cs="Arial"/>
          <w:szCs w:val="20"/>
        </w:rPr>
        <w:t>primary or secondary</w:t>
      </w:r>
      <w:r w:rsidR="00B925E6">
        <w:rPr>
          <w:rFonts w:cs="Arial"/>
          <w:szCs w:val="20"/>
        </w:rPr>
        <w:t xml:space="preserve"> (or </w:t>
      </w:r>
      <w:r w:rsidR="00D71102">
        <w:rPr>
          <w:rFonts w:cs="Arial"/>
          <w:szCs w:val="20"/>
        </w:rPr>
        <w:t>even</w:t>
      </w:r>
      <w:r w:rsidR="00B925E6">
        <w:rPr>
          <w:rFonts w:cs="Arial"/>
          <w:szCs w:val="20"/>
        </w:rPr>
        <w:t xml:space="preserve"> tertiary)</w:t>
      </w:r>
      <w:r w:rsidRPr="00FD2CD1">
        <w:rPr>
          <w:rFonts w:cs="Arial"/>
          <w:szCs w:val="20"/>
        </w:rPr>
        <w:t xml:space="preserve">. </w:t>
      </w:r>
      <w:r>
        <w:rPr>
          <w:rFonts w:cs="Arial"/>
          <w:szCs w:val="20"/>
        </w:rPr>
        <w:t>A</w:t>
      </w:r>
      <w:r w:rsidRPr="00FD2CD1">
        <w:rPr>
          <w:rFonts w:cs="Arial"/>
          <w:szCs w:val="20"/>
        </w:rPr>
        <w:t xml:space="preserve">ccess </w:t>
      </w:r>
      <w:r w:rsidR="00B204BC">
        <w:rPr>
          <w:rFonts w:cs="Arial"/>
          <w:szCs w:val="20"/>
        </w:rPr>
        <w:t xml:space="preserve">rules are implemented in a </w:t>
      </w:r>
      <w:r w:rsidR="00536E0C">
        <w:rPr>
          <w:rFonts w:cs="Arial"/>
          <w:szCs w:val="20"/>
        </w:rPr>
        <w:t xml:space="preserve">system which includes </w:t>
      </w:r>
      <w:r>
        <w:rPr>
          <w:rFonts w:cs="Arial"/>
          <w:szCs w:val="20"/>
        </w:rPr>
        <w:t>a database</w:t>
      </w:r>
      <w:r w:rsidR="00536E0C">
        <w:rPr>
          <w:rFonts w:cs="Arial"/>
          <w:szCs w:val="20"/>
        </w:rPr>
        <w:t xml:space="preserve"> that</w:t>
      </w:r>
      <w:r>
        <w:rPr>
          <w:rFonts w:cs="Arial"/>
          <w:szCs w:val="20"/>
        </w:rPr>
        <w:t xml:space="preserve"> </w:t>
      </w:r>
      <w:r w:rsidRPr="00FD2CD1">
        <w:rPr>
          <w:rFonts w:cs="Arial"/>
          <w:szCs w:val="20"/>
        </w:rPr>
        <w:t>contain</w:t>
      </w:r>
      <w:r w:rsidR="00536E0C">
        <w:rPr>
          <w:rFonts w:cs="Arial"/>
          <w:szCs w:val="20"/>
        </w:rPr>
        <w:t>s</w:t>
      </w:r>
      <w:r w:rsidRPr="00FD2CD1">
        <w:rPr>
          <w:rFonts w:cs="Arial"/>
          <w:szCs w:val="20"/>
        </w:rPr>
        <w:t xml:space="preserve"> technical </w:t>
      </w:r>
      <w:r>
        <w:rPr>
          <w:rFonts w:cs="Arial"/>
          <w:szCs w:val="20"/>
        </w:rPr>
        <w:t xml:space="preserve">and </w:t>
      </w:r>
      <w:r w:rsidRPr="00FD2CD1">
        <w:rPr>
          <w:rFonts w:cs="Arial"/>
          <w:szCs w:val="20"/>
        </w:rPr>
        <w:t xml:space="preserve">operational characteristics </w:t>
      </w:r>
      <w:r>
        <w:rPr>
          <w:rFonts w:cs="Arial"/>
          <w:szCs w:val="20"/>
        </w:rPr>
        <w:t>which</w:t>
      </w:r>
      <w:r w:rsidRPr="00FD2CD1">
        <w:rPr>
          <w:rFonts w:cs="Arial"/>
          <w:szCs w:val="20"/>
        </w:rPr>
        <w:t xml:space="preserve"> determine the operational ‘footprint’ for each user</w:t>
      </w:r>
      <w:r w:rsidR="00536E0C">
        <w:rPr>
          <w:rFonts w:cs="Arial"/>
          <w:szCs w:val="20"/>
        </w:rPr>
        <w:t>. This spectrum footprint</w:t>
      </w:r>
      <w:r>
        <w:rPr>
          <w:rFonts w:cs="Arial"/>
          <w:szCs w:val="20"/>
        </w:rPr>
        <w:t xml:space="preserve"> is derived from a range of</w:t>
      </w:r>
      <w:r w:rsidRPr="00FD2CD1">
        <w:rPr>
          <w:rFonts w:cs="Arial"/>
          <w:szCs w:val="20"/>
        </w:rPr>
        <w:t xml:space="preserve"> metrics such as the amount of spectrum </w:t>
      </w:r>
      <w:r>
        <w:rPr>
          <w:rFonts w:cs="Arial"/>
          <w:szCs w:val="20"/>
        </w:rPr>
        <w:t>accessed</w:t>
      </w:r>
      <w:r w:rsidRPr="00FD2CD1">
        <w:rPr>
          <w:rFonts w:cs="Arial"/>
          <w:szCs w:val="20"/>
        </w:rPr>
        <w:t xml:space="preserve">, </w:t>
      </w:r>
      <w:r>
        <w:rPr>
          <w:rFonts w:cs="Arial"/>
          <w:szCs w:val="20"/>
        </w:rPr>
        <w:t>likely</w:t>
      </w:r>
      <w:r w:rsidRPr="00FD2CD1">
        <w:rPr>
          <w:rFonts w:cs="Arial"/>
          <w:szCs w:val="20"/>
        </w:rPr>
        <w:t xml:space="preserve"> duration </w:t>
      </w:r>
      <w:r>
        <w:rPr>
          <w:rFonts w:cs="Arial"/>
          <w:szCs w:val="20"/>
        </w:rPr>
        <w:t>of operation</w:t>
      </w:r>
      <w:r w:rsidRPr="00FD2CD1">
        <w:rPr>
          <w:rFonts w:cs="Arial"/>
          <w:szCs w:val="20"/>
        </w:rPr>
        <w:t xml:space="preserve">, location </w:t>
      </w:r>
      <w:r>
        <w:rPr>
          <w:rFonts w:cs="Arial"/>
          <w:szCs w:val="20"/>
        </w:rPr>
        <w:t>and physical</w:t>
      </w:r>
      <w:r w:rsidRPr="00FD2CD1">
        <w:rPr>
          <w:rFonts w:cs="Arial"/>
          <w:szCs w:val="20"/>
        </w:rPr>
        <w:t xml:space="preserve"> device </w:t>
      </w:r>
      <w:r>
        <w:rPr>
          <w:rFonts w:cs="Arial"/>
          <w:szCs w:val="20"/>
        </w:rPr>
        <w:t xml:space="preserve">characteristics </w:t>
      </w:r>
      <w:r w:rsidR="00824B0F">
        <w:rPr>
          <w:rFonts w:cs="Arial"/>
          <w:szCs w:val="20"/>
        </w:rPr>
        <w:t>(</w:t>
      </w:r>
      <w:r w:rsidRPr="00FD2CD1">
        <w:rPr>
          <w:rFonts w:cs="Arial"/>
          <w:szCs w:val="20"/>
        </w:rPr>
        <w:t>such as transmitter powers</w:t>
      </w:r>
      <w:r w:rsidR="00824B0F">
        <w:rPr>
          <w:rFonts w:cs="Arial"/>
          <w:szCs w:val="20"/>
        </w:rPr>
        <w:t xml:space="preserve">, </w:t>
      </w:r>
      <w:r w:rsidRPr="00FD2CD1">
        <w:rPr>
          <w:rFonts w:cs="Arial"/>
          <w:szCs w:val="20"/>
        </w:rPr>
        <w:t xml:space="preserve">antenna </w:t>
      </w:r>
      <w:r>
        <w:rPr>
          <w:rFonts w:cs="Arial"/>
          <w:szCs w:val="20"/>
        </w:rPr>
        <w:t>parameters</w:t>
      </w:r>
      <w:r w:rsidR="00824B0F">
        <w:rPr>
          <w:rFonts w:cs="Arial"/>
          <w:szCs w:val="20"/>
        </w:rPr>
        <w:t>)</w:t>
      </w:r>
      <w:r>
        <w:rPr>
          <w:rFonts w:cs="Arial"/>
          <w:szCs w:val="20"/>
        </w:rPr>
        <w:t>.</w:t>
      </w:r>
      <w:r w:rsidRPr="00FD2CD1">
        <w:rPr>
          <w:rFonts w:cs="Arial"/>
          <w:szCs w:val="20"/>
        </w:rPr>
        <w:t xml:space="preserve"> </w:t>
      </w:r>
      <w:r>
        <w:rPr>
          <w:rFonts w:cs="Arial"/>
          <w:szCs w:val="20"/>
        </w:rPr>
        <w:t>U</w:t>
      </w:r>
      <w:r w:rsidRPr="00FD2CD1">
        <w:rPr>
          <w:rFonts w:cs="Arial"/>
          <w:szCs w:val="20"/>
        </w:rPr>
        <w:t xml:space="preserve">sers </w:t>
      </w:r>
      <w:r>
        <w:rPr>
          <w:rFonts w:cs="Arial"/>
          <w:szCs w:val="20"/>
        </w:rPr>
        <w:t xml:space="preserve">are assigned access to spectrum by the </w:t>
      </w:r>
      <w:r w:rsidR="00B925E6">
        <w:rPr>
          <w:rFonts w:cs="Arial"/>
          <w:szCs w:val="20"/>
        </w:rPr>
        <w:t>system</w:t>
      </w:r>
      <w:r w:rsidRPr="00FD2CD1">
        <w:rPr>
          <w:rFonts w:cs="Arial"/>
          <w:szCs w:val="20"/>
        </w:rPr>
        <w:t xml:space="preserve"> </w:t>
      </w:r>
      <w:r>
        <w:rPr>
          <w:rFonts w:cs="Arial"/>
          <w:szCs w:val="20"/>
        </w:rPr>
        <w:t xml:space="preserve">in accordance with their assigned </w:t>
      </w:r>
      <w:r w:rsidRPr="00FD2CD1">
        <w:rPr>
          <w:rFonts w:cs="Arial"/>
          <w:szCs w:val="20"/>
        </w:rPr>
        <w:t xml:space="preserve">priority </w:t>
      </w:r>
      <w:r>
        <w:rPr>
          <w:rFonts w:cs="Arial"/>
          <w:szCs w:val="20"/>
        </w:rPr>
        <w:t>level</w:t>
      </w:r>
      <w:r w:rsidRPr="00FD2CD1">
        <w:rPr>
          <w:rFonts w:cs="Arial"/>
          <w:szCs w:val="20"/>
        </w:rPr>
        <w:t>.</w:t>
      </w:r>
      <w:r w:rsidR="00591CD4">
        <w:rPr>
          <w:rFonts w:cs="Arial"/>
          <w:szCs w:val="20"/>
        </w:rPr>
        <w:t xml:space="preserve"> Multiple access</w:t>
      </w:r>
      <w:r w:rsidR="002E1823">
        <w:rPr>
          <w:rFonts w:cs="Arial"/>
          <w:szCs w:val="20"/>
        </w:rPr>
        <w:t xml:space="preserve"> </w:t>
      </w:r>
      <w:r w:rsidRPr="00FD2CD1">
        <w:rPr>
          <w:rFonts w:cs="Arial"/>
          <w:szCs w:val="20"/>
        </w:rPr>
        <w:t xml:space="preserve">tiers </w:t>
      </w:r>
      <w:r w:rsidR="00591CD4">
        <w:rPr>
          <w:rFonts w:cs="Arial"/>
          <w:szCs w:val="20"/>
        </w:rPr>
        <w:t xml:space="preserve">can be </w:t>
      </w:r>
      <w:r>
        <w:rPr>
          <w:rFonts w:cs="Arial"/>
          <w:szCs w:val="20"/>
        </w:rPr>
        <w:t>defined</w:t>
      </w:r>
      <w:r w:rsidR="00CE55E9">
        <w:rPr>
          <w:rFonts w:cs="Arial"/>
          <w:szCs w:val="20"/>
        </w:rPr>
        <w:t>, including</w:t>
      </w:r>
      <w:r>
        <w:rPr>
          <w:rFonts w:cs="Arial"/>
          <w:szCs w:val="20"/>
        </w:rPr>
        <w:t>:</w:t>
      </w:r>
      <w:r w:rsidRPr="00FD2CD1">
        <w:rPr>
          <w:rFonts w:cs="Arial"/>
          <w:szCs w:val="20"/>
        </w:rPr>
        <w:t xml:space="preserve"> </w:t>
      </w:r>
    </w:p>
    <w:p w14:paraId="5119BEB0" w14:textId="77777777" w:rsidR="000D291B" w:rsidRPr="00FD2CD1" w:rsidRDefault="000D291B" w:rsidP="00091E83">
      <w:pPr>
        <w:pStyle w:val="ListNumber"/>
        <w:numPr>
          <w:ilvl w:val="0"/>
          <w:numId w:val="30"/>
        </w:numPr>
      </w:pPr>
      <w:r w:rsidRPr="00FD2CD1">
        <w:t>Incumbent users have the highest priority of access. These services will typically be licensed under normal licensing conditions</w:t>
      </w:r>
      <w:r>
        <w:t xml:space="preserve"> and, under the rules governing secondary access, should not </w:t>
      </w:r>
      <w:r w:rsidRPr="00FD2CD1">
        <w:t>be</w:t>
      </w:r>
      <w:r>
        <w:t xml:space="preserve"> adversely</w:t>
      </w:r>
      <w:r w:rsidRPr="00FD2CD1">
        <w:t xml:space="preserve"> impacted </w:t>
      </w:r>
      <w:r>
        <w:t>by</w:t>
      </w:r>
      <w:r w:rsidRPr="00FD2CD1">
        <w:t xml:space="preserve"> </w:t>
      </w:r>
      <w:r>
        <w:t xml:space="preserve">shared access by </w:t>
      </w:r>
      <w:r w:rsidRPr="00FD2CD1">
        <w:t xml:space="preserve">other users. </w:t>
      </w:r>
    </w:p>
    <w:p w14:paraId="63B54EC3" w14:textId="77777777" w:rsidR="000D291B" w:rsidRPr="00FD2CD1" w:rsidRDefault="000D291B" w:rsidP="00091E83">
      <w:pPr>
        <w:pStyle w:val="ListNumber"/>
      </w:pPr>
      <w:r>
        <w:lastRenderedPageBreak/>
        <w:t>Highest p</w:t>
      </w:r>
      <w:r w:rsidRPr="00FD2CD1">
        <w:t>riority</w:t>
      </w:r>
      <w:r>
        <w:t xml:space="preserve"> of </w:t>
      </w:r>
      <w:r w:rsidRPr="00091E83">
        <w:rPr>
          <w:iCs/>
        </w:rPr>
        <w:t>secondary</w:t>
      </w:r>
      <w:r w:rsidRPr="00D66192">
        <w:rPr>
          <w:iCs/>
        </w:rPr>
        <w:t xml:space="preserve"> </w:t>
      </w:r>
      <w:r w:rsidRPr="00FD2CD1">
        <w:t>access</w:t>
      </w:r>
      <w:r>
        <w:t>. Must alter (or cease) o</w:t>
      </w:r>
      <w:r w:rsidRPr="00FD2CD1">
        <w:t>peration</w:t>
      </w:r>
      <w:r>
        <w:t xml:space="preserve"> upon</w:t>
      </w:r>
      <w:r w:rsidRPr="00FD2CD1">
        <w:t xml:space="preserve"> the detected operation </w:t>
      </w:r>
      <w:r>
        <w:t>of an</w:t>
      </w:r>
      <w:r w:rsidRPr="00FD2CD1">
        <w:t xml:space="preserve"> incumbent user. </w:t>
      </w:r>
    </w:p>
    <w:p w14:paraId="3D9B6D1A" w14:textId="6EDC1357" w:rsidR="000D291B" w:rsidRPr="00FD2CD1" w:rsidRDefault="000206C1" w:rsidP="00091E83">
      <w:pPr>
        <w:pStyle w:val="ListNumberLast"/>
      </w:pPr>
      <w:r>
        <w:t>L</w:t>
      </w:r>
      <w:r w:rsidR="000D291B" w:rsidRPr="00FD2CD1">
        <w:t xml:space="preserve">owest </w:t>
      </w:r>
      <w:r w:rsidR="000D291B">
        <w:t xml:space="preserve">priority </w:t>
      </w:r>
      <w:r>
        <w:t>of access</w:t>
      </w:r>
      <w:r w:rsidR="000D291B" w:rsidRPr="00FD2CD1">
        <w:t xml:space="preserve">. </w:t>
      </w:r>
      <w:r w:rsidR="000D291B">
        <w:t>N</w:t>
      </w:r>
      <w:r w:rsidR="000D291B" w:rsidRPr="00FD2CD1">
        <w:t xml:space="preserve">o interference </w:t>
      </w:r>
      <w:r w:rsidR="000D291B">
        <w:t>can</w:t>
      </w:r>
      <w:r w:rsidR="000D291B" w:rsidRPr="00FD2CD1">
        <w:t xml:space="preserve"> be caused to priority 1 and 2 users, and no protection will be afforded from interference </w:t>
      </w:r>
      <w:r w:rsidR="007D2D80">
        <w:t>from</w:t>
      </w:r>
      <w:r w:rsidR="007D2D80" w:rsidRPr="00FD2CD1">
        <w:t xml:space="preserve"> </w:t>
      </w:r>
      <w:r w:rsidR="000D291B" w:rsidRPr="00FD2CD1">
        <w:t>priority 1 and 2 users as well as other tier 3 users operating within their licence conditions.</w:t>
      </w:r>
    </w:p>
    <w:p w14:paraId="5E49CB05" w14:textId="77777777" w:rsidR="00CC201A" w:rsidRDefault="0083266D" w:rsidP="000D7782">
      <w:pPr>
        <w:spacing w:before="120" w:after="120" w:line="240" w:lineRule="auto"/>
        <w:rPr>
          <w:rFonts w:cs="Arial"/>
          <w:szCs w:val="20"/>
        </w:rPr>
      </w:pPr>
      <w:r>
        <w:rPr>
          <w:rFonts w:cs="Arial"/>
          <w:szCs w:val="20"/>
        </w:rPr>
        <w:t>I</w:t>
      </w:r>
      <w:r w:rsidR="000D291B" w:rsidRPr="00FD2CD1">
        <w:rPr>
          <w:rFonts w:cs="Arial"/>
          <w:szCs w:val="20"/>
        </w:rPr>
        <w:t xml:space="preserve">f spectrum is not needed by one tier of user, it can be accessed by another </w:t>
      </w:r>
      <w:r w:rsidR="000D291B">
        <w:rPr>
          <w:rFonts w:cs="Arial"/>
          <w:szCs w:val="20"/>
        </w:rPr>
        <w:t xml:space="preserve">based on </w:t>
      </w:r>
      <w:r w:rsidR="00E94088">
        <w:rPr>
          <w:rFonts w:cs="Arial"/>
          <w:szCs w:val="20"/>
        </w:rPr>
        <w:t>the established rules of</w:t>
      </w:r>
      <w:r w:rsidR="00892112">
        <w:rPr>
          <w:rFonts w:cs="Arial"/>
          <w:szCs w:val="20"/>
        </w:rPr>
        <w:t xml:space="preserve"> th</w:t>
      </w:r>
      <w:r w:rsidR="00E94088">
        <w:rPr>
          <w:rFonts w:cs="Arial"/>
          <w:szCs w:val="20"/>
        </w:rPr>
        <w:t xml:space="preserve">e </w:t>
      </w:r>
      <w:r w:rsidR="00892112">
        <w:rPr>
          <w:rFonts w:cs="Arial"/>
          <w:szCs w:val="20"/>
        </w:rPr>
        <w:t xml:space="preserve">DSA </w:t>
      </w:r>
      <w:r w:rsidR="00E94088">
        <w:rPr>
          <w:rFonts w:cs="Arial"/>
          <w:szCs w:val="20"/>
        </w:rPr>
        <w:t>system.</w:t>
      </w:r>
    </w:p>
    <w:p w14:paraId="6BC92D83" w14:textId="0B29C0B4" w:rsidR="00216DE5" w:rsidRDefault="007D2D80" w:rsidP="000D7782">
      <w:pPr>
        <w:spacing w:before="120" w:after="120" w:line="240" w:lineRule="auto"/>
        <w:rPr>
          <w:rFonts w:cs="Arial"/>
          <w:szCs w:val="20"/>
        </w:rPr>
      </w:pPr>
      <w:r>
        <w:rPr>
          <w:rFonts w:cs="Arial"/>
          <w:szCs w:val="20"/>
        </w:rPr>
        <w:t xml:space="preserve">Under </w:t>
      </w:r>
      <w:r w:rsidR="00E94088">
        <w:rPr>
          <w:rFonts w:cs="Arial"/>
          <w:szCs w:val="20"/>
        </w:rPr>
        <w:t>this model</w:t>
      </w:r>
      <w:r w:rsidR="0083266D">
        <w:rPr>
          <w:rFonts w:cs="Arial"/>
          <w:szCs w:val="20"/>
        </w:rPr>
        <w:t>,</w:t>
      </w:r>
      <w:r w:rsidR="00E94088">
        <w:rPr>
          <w:rFonts w:cs="Arial"/>
          <w:szCs w:val="20"/>
        </w:rPr>
        <w:t xml:space="preserve"> the rules are </w:t>
      </w:r>
      <w:r w:rsidR="00892112">
        <w:rPr>
          <w:rFonts w:cs="Arial"/>
          <w:szCs w:val="20"/>
        </w:rPr>
        <w:t>implemented</w:t>
      </w:r>
      <w:r w:rsidR="00E94088">
        <w:rPr>
          <w:rFonts w:cs="Arial"/>
          <w:szCs w:val="20"/>
        </w:rPr>
        <w:t xml:space="preserve"> within an automated system </w:t>
      </w:r>
      <w:r w:rsidR="00892112">
        <w:rPr>
          <w:rFonts w:cs="Arial"/>
          <w:szCs w:val="20"/>
        </w:rPr>
        <w:t>that includes a</w:t>
      </w:r>
      <w:r w:rsidR="000D291B">
        <w:rPr>
          <w:rFonts w:cs="Arial"/>
          <w:szCs w:val="20"/>
        </w:rPr>
        <w:t xml:space="preserve"> database</w:t>
      </w:r>
      <w:r w:rsidR="00892112">
        <w:rPr>
          <w:rFonts w:cs="Arial"/>
          <w:szCs w:val="20"/>
        </w:rPr>
        <w:t xml:space="preserve"> </w:t>
      </w:r>
      <w:r w:rsidR="000D291B">
        <w:rPr>
          <w:rFonts w:cs="Arial"/>
          <w:szCs w:val="20"/>
        </w:rPr>
        <w:t xml:space="preserve">to record system parameters </w:t>
      </w:r>
      <w:r w:rsidR="00D56872">
        <w:rPr>
          <w:rFonts w:cs="Arial"/>
          <w:szCs w:val="20"/>
        </w:rPr>
        <w:t xml:space="preserve">(in </w:t>
      </w:r>
      <w:r w:rsidR="00B27DF9">
        <w:rPr>
          <w:rFonts w:cs="Arial"/>
          <w:szCs w:val="20"/>
        </w:rPr>
        <w:t xml:space="preserve">a </w:t>
      </w:r>
      <w:proofErr w:type="gramStart"/>
      <w:r w:rsidR="00D56872">
        <w:rPr>
          <w:rFonts w:cs="Arial"/>
          <w:szCs w:val="20"/>
        </w:rPr>
        <w:t>particular location</w:t>
      </w:r>
      <w:proofErr w:type="gramEnd"/>
      <w:r w:rsidR="00D56872">
        <w:rPr>
          <w:rFonts w:cs="Arial"/>
          <w:szCs w:val="20"/>
        </w:rPr>
        <w:t xml:space="preserve"> and operating parameters) </w:t>
      </w:r>
      <w:r w:rsidR="000D291B">
        <w:rPr>
          <w:rFonts w:cs="Arial"/>
          <w:szCs w:val="20"/>
        </w:rPr>
        <w:t>to manage interference potential between prospective access seekers</w:t>
      </w:r>
      <w:r w:rsidR="0004142E">
        <w:rPr>
          <w:rFonts w:cs="Arial"/>
          <w:szCs w:val="20"/>
        </w:rPr>
        <w:t xml:space="preserve"> at the various system tiers</w:t>
      </w:r>
      <w:r w:rsidR="000D291B" w:rsidRPr="00FD2CD1">
        <w:rPr>
          <w:rFonts w:cs="Arial"/>
          <w:szCs w:val="20"/>
        </w:rPr>
        <w:t>.</w:t>
      </w:r>
      <w:r w:rsidR="0029725C">
        <w:rPr>
          <w:rFonts w:cs="Arial"/>
          <w:szCs w:val="20"/>
        </w:rPr>
        <w:t xml:space="preserve"> </w:t>
      </w:r>
      <w:r w:rsidR="00CC201A">
        <w:rPr>
          <w:rFonts w:cs="Arial"/>
          <w:szCs w:val="20"/>
        </w:rPr>
        <w:t xml:space="preserve">Managing spectrum </w:t>
      </w:r>
      <w:r w:rsidR="0009074B">
        <w:rPr>
          <w:rFonts w:cs="Arial"/>
          <w:szCs w:val="20"/>
        </w:rPr>
        <w:t>use is</w:t>
      </w:r>
      <w:r w:rsidR="0029725C">
        <w:rPr>
          <w:rFonts w:cs="Arial"/>
          <w:szCs w:val="20"/>
        </w:rPr>
        <w:t xml:space="preserve"> </w:t>
      </w:r>
      <w:r w:rsidR="002D2BC0">
        <w:rPr>
          <w:rFonts w:cs="Arial"/>
          <w:szCs w:val="20"/>
        </w:rPr>
        <w:t>achieved</w:t>
      </w:r>
      <w:r w:rsidR="0029725C">
        <w:rPr>
          <w:rFonts w:cs="Arial"/>
          <w:szCs w:val="20"/>
        </w:rPr>
        <w:t xml:space="preserve"> through the systems </w:t>
      </w:r>
      <w:r w:rsidR="002D2BC0">
        <w:rPr>
          <w:rFonts w:cs="Arial"/>
          <w:szCs w:val="20"/>
        </w:rPr>
        <w:t>issuing</w:t>
      </w:r>
      <w:r w:rsidR="0029725C">
        <w:rPr>
          <w:rFonts w:cs="Arial"/>
          <w:szCs w:val="20"/>
        </w:rPr>
        <w:t xml:space="preserve"> </w:t>
      </w:r>
      <w:r w:rsidR="004976E3">
        <w:rPr>
          <w:rFonts w:cs="Arial"/>
          <w:szCs w:val="20"/>
        </w:rPr>
        <w:t>commands</w:t>
      </w:r>
      <w:r w:rsidR="0029725C">
        <w:rPr>
          <w:rFonts w:cs="Arial"/>
          <w:szCs w:val="20"/>
        </w:rPr>
        <w:t xml:space="preserve"> to </w:t>
      </w:r>
      <w:r w:rsidR="002D2BC0">
        <w:rPr>
          <w:rFonts w:cs="Arial"/>
          <w:szCs w:val="20"/>
        </w:rPr>
        <w:t>devices</w:t>
      </w:r>
      <w:r w:rsidR="0029725C">
        <w:rPr>
          <w:rFonts w:cs="Arial"/>
          <w:szCs w:val="20"/>
        </w:rPr>
        <w:t xml:space="preserve"> </w:t>
      </w:r>
      <w:r w:rsidR="002D2BC0">
        <w:rPr>
          <w:rFonts w:cs="Arial"/>
          <w:szCs w:val="20"/>
        </w:rPr>
        <w:t>operating i</w:t>
      </w:r>
      <w:r w:rsidR="0027402F">
        <w:rPr>
          <w:rFonts w:cs="Arial"/>
          <w:szCs w:val="20"/>
        </w:rPr>
        <w:t xml:space="preserve">n the </w:t>
      </w:r>
      <w:r w:rsidR="002D2BC0">
        <w:rPr>
          <w:rFonts w:cs="Arial"/>
          <w:szCs w:val="20"/>
        </w:rPr>
        <w:t>DSA system to operate in a certain way (for example</w:t>
      </w:r>
      <w:r w:rsidR="00824B0F">
        <w:rPr>
          <w:rFonts w:cs="Arial"/>
          <w:szCs w:val="20"/>
        </w:rPr>
        <w:t>,</w:t>
      </w:r>
      <w:r w:rsidR="002D2BC0">
        <w:rPr>
          <w:rFonts w:cs="Arial"/>
          <w:szCs w:val="20"/>
        </w:rPr>
        <w:t xml:space="preserve"> </w:t>
      </w:r>
      <w:r w:rsidR="0027402F">
        <w:rPr>
          <w:rFonts w:cs="Arial"/>
          <w:szCs w:val="20"/>
        </w:rPr>
        <w:t>switching</w:t>
      </w:r>
      <w:r w:rsidR="002D2BC0">
        <w:rPr>
          <w:rFonts w:cs="Arial"/>
          <w:szCs w:val="20"/>
        </w:rPr>
        <w:t xml:space="preserve"> off when and where a higher tier user is present).</w:t>
      </w:r>
      <w:r w:rsidR="0029725C">
        <w:rPr>
          <w:rFonts w:cs="Arial"/>
          <w:szCs w:val="20"/>
        </w:rPr>
        <w:t xml:space="preserve"> </w:t>
      </w:r>
      <w:r w:rsidR="000D291B" w:rsidRPr="00FD2CD1">
        <w:rPr>
          <w:rFonts w:cs="Arial"/>
          <w:szCs w:val="20"/>
        </w:rPr>
        <w:t xml:space="preserve"> </w:t>
      </w:r>
    </w:p>
    <w:p w14:paraId="0EB54542" w14:textId="5BD28225" w:rsidR="000D291B" w:rsidRDefault="008A34BF" w:rsidP="000D7782">
      <w:pPr>
        <w:spacing w:before="120" w:after="120" w:line="240" w:lineRule="auto"/>
        <w:rPr>
          <w:rFonts w:cs="Arial"/>
          <w:szCs w:val="20"/>
        </w:rPr>
      </w:pPr>
      <w:r>
        <w:rPr>
          <w:rFonts w:cs="Arial"/>
          <w:szCs w:val="20"/>
        </w:rPr>
        <w:t>To determine where the actual spectrum</w:t>
      </w:r>
      <w:r w:rsidR="0027402F">
        <w:rPr>
          <w:rFonts w:cs="Arial"/>
          <w:szCs w:val="20"/>
        </w:rPr>
        <w:t xml:space="preserve"> is used (as opposed to where it could be used)</w:t>
      </w:r>
      <w:r w:rsidR="00F86B25">
        <w:rPr>
          <w:rFonts w:cs="Arial"/>
          <w:szCs w:val="20"/>
        </w:rPr>
        <w:t xml:space="preserve"> these systems </w:t>
      </w:r>
      <w:r w:rsidR="00A443A9">
        <w:rPr>
          <w:rFonts w:cs="Arial"/>
          <w:szCs w:val="20"/>
        </w:rPr>
        <w:t xml:space="preserve">may </w:t>
      </w:r>
      <w:r w:rsidR="001C7365">
        <w:rPr>
          <w:rFonts w:cs="Arial"/>
          <w:szCs w:val="20"/>
        </w:rPr>
        <w:t>utilise</w:t>
      </w:r>
      <w:r w:rsidR="00F86B25">
        <w:rPr>
          <w:rFonts w:cs="Arial"/>
          <w:szCs w:val="20"/>
        </w:rPr>
        <w:t xml:space="preserve"> a </w:t>
      </w:r>
      <w:r w:rsidR="001C7365">
        <w:rPr>
          <w:rFonts w:cs="Arial"/>
          <w:szCs w:val="20"/>
        </w:rPr>
        <w:t>geolocat</w:t>
      </w:r>
      <w:r w:rsidR="000503B0">
        <w:rPr>
          <w:rFonts w:cs="Arial"/>
          <w:szCs w:val="20"/>
        </w:rPr>
        <w:t>ion</w:t>
      </w:r>
      <w:r w:rsidR="00F86B25">
        <w:rPr>
          <w:rFonts w:cs="Arial"/>
          <w:szCs w:val="20"/>
        </w:rPr>
        <w:t xml:space="preserve"> reporting system that provide</w:t>
      </w:r>
      <w:r w:rsidR="00A443A9">
        <w:rPr>
          <w:rFonts w:cs="Arial"/>
          <w:szCs w:val="20"/>
        </w:rPr>
        <w:t>s</w:t>
      </w:r>
      <w:r w:rsidR="00F86B25">
        <w:rPr>
          <w:rFonts w:cs="Arial"/>
          <w:szCs w:val="20"/>
        </w:rPr>
        <w:t xml:space="preserve"> </w:t>
      </w:r>
      <w:r w:rsidR="0029725C">
        <w:rPr>
          <w:rFonts w:cs="Arial"/>
          <w:szCs w:val="20"/>
        </w:rPr>
        <w:t>location</w:t>
      </w:r>
      <w:r w:rsidR="00F86B25">
        <w:rPr>
          <w:rFonts w:cs="Arial"/>
          <w:szCs w:val="20"/>
        </w:rPr>
        <w:t xml:space="preserve"> (and use) data to the system</w:t>
      </w:r>
      <w:r w:rsidR="0029725C">
        <w:rPr>
          <w:rFonts w:cs="Arial"/>
          <w:szCs w:val="20"/>
        </w:rPr>
        <w:t xml:space="preserve"> to permit the access</w:t>
      </w:r>
      <w:r w:rsidR="001C7365">
        <w:rPr>
          <w:rFonts w:cs="Arial"/>
          <w:szCs w:val="20"/>
        </w:rPr>
        <w:t xml:space="preserve"> rules</w:t>
      </w:r>
      <w:r w:rsidR="0029725C">
        <w:rPr>
          <w:rFonts w:cs="Arial"/>
          <w:szCs w:val="20"/>
        </w:rPr>
        <w:t xml:space="preserve"> to be </w:t>
      </w:r>
      <w:r w:rsidR="008436F5">
        <w:rPr>
          <w:rFonts w:cs="Arial"/>
          <w:szCs w:val="20"/>
        </w:rPr>
        <w:t xml:space="preserve">dynamically </w:t>
      </w:r>
      <w:r w:rsidR="0029725C">
        <w:rPr>
          <w:rFonts w:cs="Arial"/>
          <w:szCs w:val="20"/>
        </w:rPr>
        <w:t xml:space="preserve">applied. </w:t>
      </w:r>
      <w:r w:rsidR="000503B0">
        <w:rPr>
          <w:rFonts w:cs="Arial"/>
          <w:szCs w:val="20"/>
        </w:rPr>
        <w:t>Some</w:t>
      </w:r>
      <w:r w:rsidR="000D291B">
        <w:rPr>
          <w:rFonts w:cs="Arial"/>
          <w:szCs w:val="20"/>
        </w:rPr>
        <w:t xml:space="preserve"> </w:t>
      </w:r>
      <w:r w:rsidR="000503B0">
        <w:rPr>
          <w:rFonts w:cs="Arial"/>
          <w:szCs w:val="20"/>
        </w:rPr>
        <w:t xml:space="preserve">approaches </w:t>
      </w:r>
      <w:r w:rsidR="00D41F72">
        <w:rPr>
          <w:rFonts w:cs="Arial"/>
          <w:szCs w:val="20"/>
        </w:rPr>
        <w:t xml:space="preserve">might </w:t>
      </w:r>
      <w:r w:rsidR="000503B0">
        <w:rPr>
          <w:rFonts w:cs="Arial"/>
          <w:szCs w:val="20"/>
        </w:rPr>
        <w:t>also use</w:t>
      </w:r>
      <w:r w:rsidR="00D56872">
        <w:rPr>
          <w:rFonts w:cs="Arial"/>
          <w:szCs w:val="20"/>
        </w:rPr>
        <w:t xml:space="preserve"> a </w:t>
      </w:r>
      <w:r w:rsidR="000D291B">
        <w:rPr>
          <w:rFonts w:cs="Arial"/>
          <w:szCs w:val="20"/>
        </w:rPr>
        <w:t xml:space="preserve">sensing network </w:t>
      </w:r>
      <w:r w:rsidR="0099006D">
        <w:rPr>
          <w:rFonts w:cs="Arial"/>
          <w:szCs w:val="20"/>
        </w:rPr>
        <w:t xml:space="preserve">(see </w:t>
      </w:r>
      <w:r w:rsidR="0099006D" w:rsidRPr="00091E83">
        <w:rPr>
          <w:rFonts w:cs="Arial"/>
          <w:iCs/>
          <w:szCs w:val="20"/>
        </w:rPr>
        <w:fldChar w:fldCharType="begin"/>
      </w:r>
      <w:r w:rsidR="0099006D" w:rsidRPr="002E69B4">
        <w:rPr>
          <w:rFonts w:cs="Arial"/>
          <w:i/>
          <w:szCs w:val="20"/>
        </w:rPr>
        <w:instrText xml:space="preserve"> REF _Ref8080315 \h </w:instrText>
      </w:r>
      <w:r w:rsidR="00AE3945" w:rsidRPr="002E69B4">
        <w:rPr>
          <w:rFonts w:cs="Arial"/>
          <w:i/>
          <w:szCs w:val="20"/>
        </w:rPr>
        <w:instrText xml:space="preserve"> \* MERGEFORMAT </w:instrText>
      </w:r>
      <w:r w:rsidR="0099006D" w:rsidRPr="00091E83">
        <w:rPr>
          <w:rFonts w:cs="Arial"/>
          <w:iCs/>
          <w:szCs w:val="20"/>
        </w:rPr>
      </w:r>
      <w:r w:rsidR="0099006D" w:rsidRPr="00091E83">
        <w:rPr>
          <w:rFonts w:cs="Arial"/>
          <w:iCs/>
          <w:szCs w:val="20"/>
        </w:rPr>
        <w:fldChar w:fldCharType="separate"/>
      </w:r>
      <w:r w:rsidR="0099006D" w:rsidRPr="002E69B4">
        <w:rPr>
          <w:i/>
        </w:rPr>
        <w:t xml:space="preserve">Spectrum </w:t>
      </w:r>
      <w:r w:rsidR="00824B0F">
        <w:rPr>
          <w:iCs/>
        </w:rPr>
        <w:t>s</w:t>
      </w:r>
      <w:r w:rsidR="0099006D" w:rsidRPr="002E69B4">
        <w:rPr>
          <w:i/>
        </w:rPr>
        <w:t>ensing</w:t>
      </w:r>
      <w:r w:rsidR="0099006D" w:rsidRPr="00091E83">
        <w:rPr>
          <w:rFonts w:cs="Arial"/>
          <w:iCs/>
          <w:szCs w:val="20"/>
        </w:rPr>
        <w:fldChar w:fldCharType="end"/>
      </w:r>
      <w:r w:rsidR="0099006D">
        <w:rPr>
          <w:rFonts w:cs="Arial"/>
          <w:szCs w:val="20"/>
        </w:rPr>
        <w:t xml:space="preserve"> discussion below) </w:t>
      </w:r>
      <w:r w:rsidR="000D291B">
        <w:rPr>
          <w:rFonts w:cs="Arial"/>
          <w:szCs w:val="20"/>
        </w:rPr>
        <w:t xml:space="preserve">to </w:t>
      </w:r>
      <w:r w:rsidR="000D291B" w:rsidRPr="00FD2CD1">
        <w:rPr>
          <w:rFonts w:cs="Arial"/>
          <w:szCs w:val="20"/>
        </w:rPr>
        <w:t xml:space="preserve">detect </w:t>
      </w:r>
      <w:r w:rsidR="000D291B">
        <w:rPr>
          <w:rFonts w:cs="Arial"/>
          <w:szCs w:val="20"/>
        </w:rPr>
        <w:t>the presence</w:t>
      </w:r>
      <w:r w:rsidR="000D291B" w:rsidRPr="00FD2CD1">
        <w:rPr>
          <w:rFonts w:cs="Arial"/>
          <w:szCs w:val="20"/>
        </w:rPr>
        <w:t xml:space="preserve"> </w:t>
      </w:r>
      <w:r w:rsidR="00FC753E">
        <w:rPr>
          <w:rFonts w:cs="Arial"/>
          <w:szCs w:val="20"/>
        </w:rPr>
        <w:t xml:space="preserve">(or otherwise) </w:t>
      </w:r>
      <w:r w:rsidR="000D291B" w:rsidRPr="00FD2CD1">
        <w:rPr>
          <w:rFonts w:cs="Arial"/>
          <w:szCs w:val="20"/>
        </w:rPr>
        <w:t>of</w:t>
      </w:r>
      <w:r w:rsidR="00FC753E">
        <w:rPr>
          <w:rFonts w:cs="Arial"/>
          <w:szCs w:val="20"/>
        </w:rPr>
        <w:t xml:space="preserve"> higher</w:t>
      </w:r>
      <w:r w:rsidR="000D291B" w:rsidRPr="00FD2CD1">
        <w:rPr>
          <w:rFonts w:cs="Arial"/>
          <w:szCs w:val="20"/>
        </w:rPr>
        <w:t xml:space="preserve"> users</w:t>
      </w:r>
      <w:r w:rsidR="000D291B">
        <w:rPr>
          <w:rFonts w:cs="Arial"/>
          <w:szCs w:val="20"/>
        </w:rPr>
        <w:t xml:space="preserve"> </w:t>
      </w:r>
      <w:r w:rsidR="00FC753E">
        <w:rPr>
          <w:rFonts w:cs="Arial"/>
          <w:szCs w:val="20"/>
        </w:rPr>
        <w:t xml:space="preserve">to inform </w:t>
      </w:r>
      <w:r w:rsidR="000503B0">
        <w:rPr>
          <w:rFonts w:cs="Arial"/>
          <w:szCs w:val="20"/>
        </w:rPr>
        <w:t xml:space="preserve">the </w:t>
      </w:r>
      <w:r w:rsidR="00AF3F0E">
        <w:rPr>
          <w:rFonts w:cs="Arial"/>
          <w:szCs w:val="20"/>
        </w:rPr>
        <w:t>systems decision-making</w:t>
      </w:r>
      <w:r w:rsidR="000503B0">
        <w:rPr>
          <w:rFonts w:cs="Arial"/>
          <w:szCs w:val="20"/>
        </w:rPr>
        <w:t xml:space="preserve"> process</w:t>
      </w:r>
      <w:r w:rsidR="002B11AF">
        <w:rPr>
          <w:rFonts w:cs="Arial"/>
          <w:szCs w:val="20"/>
        </w:rPr>
        <w:t xml:space="preserve"> (such as a central controller for the area)</w:t>
      </w:r>
      <w:r w:rsidR="000D291B" w:rsidRPr="00FD2CD1">
        <w:rPr>
          <w:rFonts w:cs="Arial"/>
          <w:szCs w:val="20"/>
        </w:rPr>
        <w:t xml:space="preserve">. </w:t>
      </w:r>
      <w:r w:rsidR="000D291B">
        <w:rPr>
          <w:rFonts w:cs="Arial"/>
          <w:szCs w:val="20"/>
        </w:rPr>
        <w:t xml:space="preserve">Protection of priority 1 users may be reinforced by the application of exclusion zones in areas where interference potential to tier 1 users from tier 2 or 3 users </w:t>
      </w:r>
      <w:proofErr w:type="gramStart"/>
      <w:r w:rsidR="0083492B">
        <w:rPr>
          <w:rFonts w:cs="Arial"/>
          <w:szCs w:val="20"/>
        </w:rPr>
        <w:t xml:space="preserve">is </w:t>
      </w:r>
      <w:r w:rsidR="000D291B">
        <w:rPr>
          <w:rFonts w:cs="Arial"/>
          <w:szCs w:val="20"/>
        </w:rPr>
        <w:t xml:space="preserve">considered </w:t>
      </w:r>
      <w:r w:rsidR="0083492B">
        <w:rPr>
          <w:rFonts w:cs="Arial"/>
          <w:szCs w:val="20"/>
        </w:rPr>
        <w:t>to be</w:t>
      </w:r>
      <w:proofErr w:type="gramEnd"/>
      <w:r w:rsidR="0083492B">
        <w:rPr>
          <w:rFonts w:cs="Arial"/>
          <w:szCs w:val="20"/>
        </w:rPr>
        <w:t xml:space="preserve"> too </w:t>
      </w:r>
      <w:r w:rsidR="000D291B">
        <w:rPr>
          <w:rFonts w:cs="Arial"/>
          <w:szCs w:val="20"/>
        </w:rPr>
        <w:t>high.</w:t>
      </w:r>
      <w:r w:rsidR="00462635" w:rsidRPr="00462635">
        <w:rPr>
          <w:rFonts w:cs="Arial"/>
          <w:szCs w:val="20"/>
        </w:rPr>
        <w:t xml:space="preserve"> </w:t>
      </w:r>
      <w:r w:rsidR="00462635">
        <w:rPr>
          <w:rFonts w:cs="Arial"/>
          <w:szCs w:val="20"/>
        </w:rPr>
        <w:t xml:space="preserve">This is depicted in Figure </w:t>
      </w:r>
      <w:r w:rsidR="00C42BEB">
        <w:rPr>
          <w:rFonts w:cs="Arial"/>
          <w:szCs w:val="20"/>
        </w:rPr>
        <w:t>2</w:t>
      </w:r>
      <w:r w:rsidR="00462635">
        <w:rPr>
          <w:rFonts w:cs="Arial"/>
          <w:szCs w:val="20"/>
        </w:rPr>
        <w:t>.</w:t>
      </w:r>
    </w:p>
    <w:p w14:paraId="31C12419" w14:textId="5D9FF5B2" w:rsidR="00843063" w:rsidRDefault="0010658A" w:rsidP="000D7782">
      <w:pPr>
        <w:spacing w:before="120" w:after="120" w:line="240" w:lineRule="auto"/>
        <w:rPr>
          <w:rFonts w:cs="Arial"/>
          <w:szCs w:val="20"/>
        </w:rPr>
      </w:pPr>
      <w:r>
        <w:rPr>
          <w:rFonts w:cs="Arial"/>
          <w:szCs w:val="20"/>
        </w:rPr>
        <w:t xml:space="preserve">Combining </w:t>
      </w:r>
      <w:r w:rsidR="00843063">
        <w:rPr>
          <w:rFonts w:cs="Arial"/>
          <w:szCs w:val="20"/>
        </w:rPr>
        <w:t xml:space="preserve">real-time device geolocation </w:t>
      </w:r>
      <w:r>
        <w:rPr>
          <w:rFonts w:cs="Arial"/>
          <w:szCs w:val="20"/>
        </w:rPr>
        <w:t>with</w:t>
      </w:r>
      <w:r w:rsidR="00843063">
        <w:rPr>
          <w:rFonts w:cs="Arial"/>
          <w:szCs w:val="20"/>
        </w:rPr>
        <w:t xml:space="preserve"> sensing networks allows spectrum occupancy to be determined in real time, providing for more responsive sharing and </w:t>
      </w:r>
      <w:r w:rsidR="00FC12D3">
        <w:rPr>
          <w:rFonts w:cs="Arial"/>
          <w:szCs w:val="20"/>
        </w:rPr>
        <w:t xml:space="preserve">more </w:t>
      </w:r>
      <w:r w:rsidR="00843063">
        <w:rPr>
          <w:rFonts w:cs="Arial"/>
          <w:szCs w:val="20"/>
        </w:rPr>
        <w:t xml:space="preserve">efficient use of spectrum. </w:t>
      </w:r>
    </w:p>
    <w:p w14:paraId="411934FF" w14:textId="35D7AD98" w:rsidR="00E0159C" w:rsidRDefault="00444032" w:rsidP="000D7782">
      <w:pPr>
        <w:spacing w:before="120" w:after="120" w:line="240" w:lineRule="auto"/>
        <w:rPr>
          <w:rFonts w:cs="Arial"/>
          <w:szCs w:val="20"/>
        </w:rPr>
      </w:pPr>
      <w:r>
        <w:rPr>
          <w:rFonts w:cs="Arial"/>
          <w:szCs w:val="20"/>
        </w:rPr>
        <w:t>T</w:t>
      </w:r>
      <w:r w:rsidR="00E0159C">
        <w:rPr>
          <w:rFonts w:cs="Arial"/>
          <w:szCs w:val="20"/>
        </w:rPr>
        <w:t xml:space="preserve">his model is supported by the deployment of infrastructure, such as a dedicated spectrum access system (SAS) and associated database (and potentially a complimentary fixed sensor network, as is the case in the US), </w:t>
      </w:r>
      <w:r>
        <w:rPr>
          <w:rFonts w:cs="Arial"/>
          <w:szCs w:val="20"/>
        </w:rPr>
        <w:t xml:space="preserve">and as such  </w:t>
      </w:r>
      <w:r w:rsidR="00E0159C">
        <w:rPr>
          <w:rFonts w:cs="Arial"/>
          <w:szCs w:val="20"/>
        </w:rPr>
        <w:t xml:space="preserve">is potentially costlier to implement than a simple cognitive device-based sensing model). </w:t>
      </w:r>
    </w:p>
    <w:p w14:paraId="7F12E509" w14:textId="77777777" w:rsidR="00E0159C" w:rsidRDefault="00E0159C" w:rsidP="00091E83">
      <w:pPr>
        <w:spacing w:before="120" w:after="80" w:line="240" w:lineRule="auto"/>
        <w:rPr>
          <w:rFonts w:cs="Arial"/>
          <w:szCs w:val="20"/>
        </w:rPr>
      </w:pPr>
      <w:r>
        <w:rPr>
          <w:rFonts w:cs="Arial"/>
          <w:szCs w:val="20"/>
        </w:rPr>
        <w:t>Issues that need to be considered when implementing this type of approach include:</w:t>
      </w:r>
    </w:p>
    <w:p w14:paraId="12E998A3" w14:textId="2E2B6621" w:rsidR="00E0159C" w:rsidRDefault="00E0159C" w:rsidP="00091E83">
      <w:pPr>
        <w:pStyle w:val="ListBullet"/>
      </w:pPr>
      <w:r>
        <w:t>responsibility for the development and deployment of the system</w:t>
      </w:r>
    </w:p>
    <w:p w14:paraId="26915D30" w14:textId="51F9C585" w:rsidR="00E0159C" w:rsidRDefault="00E0159C" w:rsidP="00091E83">
      <w:pPr>
        <w:pStyle w:val="ListBullet"/>
      </w:pPr>
      <w:r>
        <w:t>degree of automation or human decision making in the system</w:t>
      </w:r>
    </w:p>
    <w:p w14:paraId="31B0C837" w14:textId="761B6EBB" w:rsidR="00E0159C" w:rsidRDefault="00E0159C" w:rsidP="00091E83">
      <w:pPr>
        <w:pStyle w:val="ListBullet"/>
      </w:pPr>
      <w:r>
        <w:t>financial management and ongoing system support</w:t>
      </w:r>
    </w:p>
    <w:p w14:paraId="65FDAE49" w14:textId="77777777" w:rsidR="00E0159C" w:rsidRDefault="00E0159C" w:rsidP="00091E83">
      <w:pPr>
        <w:pStyle w:val="ListBullet"/>
      </w:pPr>
      <w:r>
        <w:t xml:space="preserve">quality standards, for to ensure priority 1 users </w:t>
      </w:r>
      <w:proofErr w:type="gramStart"/>
      <w:r>
        <w:t>can be protected at all times</w:t>
      </w:r>
      <w:proofErr w:type="gramEnd"/>
      <w:r>
        <w:t>.</w:t>
      </w:r>
    </w:p>
    <w:p w14:paraId="0DCEB9F6" w14:textId="77777777" w:rsidR="00E0159C" w:rsidRDefault="00E0159C" w:rsidP="000D7782">
      <w:pPr>
        <w:spacing w:before="120" w:after="120" w:line="240" w:lineRule="auto"/>
        <w:rPr>
          <w:rFonts w:cs="Arial"/>
          <w:szCs w:val="20"/>
        </w:rPr>
      </w:pPr>
    </w:p>
    <w:p w14:paraId="78A1AE30" w14:textId="77777777" w:rsidR="000F355D" w:rsidRDefault="000F355D" w:rsidP="000D7782">
      <w:pPr>
        <w:pStyle w:val="ACMATableHeader"/>
        <w:numPr>
          <w:ilvl w:val="0"/>
          <w:numId w:val="0"/>
        </w:numPr>
        <w:spacing w:before="120" w:after="120"/>
        <w:ind w:left="1136" w:hanging="1136"/>
      </w:pPr>
    </w:p>
    <w:p w14:paraId="584E0322" w14:textId="77777777" w:rsidR="000F355D" w:rsidRDefault="000F355D" w:rsidP="000D7782">
      <w:pPr>
        <w:pStyle w:val="ACMATableHeader"/>
        <w:numPr>
          <w:ilvl w:val="0"/>
          <w:numId w:val="0"/>
        </w:numPr>
        <w:spacing w:before="120" w:after="120"/>
        <w:ind w:left="1136" w:hanging="1136"/>
      </w:pPr>
    </w:p>
    <w:p w14:paraId="4638A03F" w14:textId="77777777" w:rsidR="000F355D" w:rsidRDefault="000F355D" w:rsidP="000D7782">
      <w:pPr>
        <w:pStyle w:val="ACMATableHeader"/>
        <w:numPr>
          <w:ilvl w:val="0"/>
          <w:numId w:val="0"/>
        </w:numPr>
        <w:spacing w:before="120" w:after="120"/>
        <w:ind w:left="1136" w:hanging="1136"/>
      </w:pPr>
    </w:p>
    <w:p w14:paraId="12D027DD" w14:textId="77777777" w:rsidR="000F355D" w:rsidRDefault="000F355D" w:rsidP="000D7782">
      <w:pPr>
        <w:pStyle w:val="ACMATableHeader"/>
        <w:numPr>
          <w:ilvl w:val="0"/>
          <w:numId w:val="0"/>
        </w:numPr>
        <w:spacing w:before="120" w:after="120"/>
        <w:ind w:left="1136" w:hanging="1136"/>
      </w:pPr>
    </w:p>
    <w:p w14:paraId="56223313" w14:textId="77777777" w:rsidR="000F355D" w:rsidRDefault="000F355D" w:rsidP="000D7782">
      <w:pPr>
        <w:pStyle w:val="ACMATableHeader"/>
        <w:numPr>
          <w:ilvl w:val="0"/>
          <w:numId w:val="0"/>
        </w:numPr>
        <w:spacing w:before="120" w:after="120"/>
        <w:ind w:left="1136" w:hanging="1136"/>
      </w:pPr>
    </w:p>
    <w:p w14:paraId="24F945AB" w14:textId="77777777" w:rsidR="002101D9" w:rsidRDefault="002101D9" w:rsidP="000D7782">
      <w:pPr>
        <w:pStyle w:val="ACMATableHeader"/>
        <w:numPr>
          <w:ilvl w:val="0"/>
          <w:numId w:val="0"/>
        </w:numPr>
        <w:spacing w:before="120" w:after="120"/>
        <w:ind w:left="1136" w:hanging="1136"/>
      </w:pPr>
    </w:p>
    <w:p w14:paraId="4DDF464F" w14:textId="58064E68" w:rsidR="00AF3F0E" w:rsidRDefault="00FE5126" w:rsidP="00091E83">
      <w:pPr>
        <w:pStyle w:val="ACMAFigureHeader"/>
        <w:keepNext/>
        <w:rPr>
          <w:noProof/>
        </w:rPr>
      </w:pPr>
      <w:r>
        <w:lastRenderedPageBreak/>
        <w:t xml:space="preserve">Integrating spectrum </w:t>
      </w:r>
      <w:r w:rsidR="00B73A61">
        <w:t>s</w:t>
      </w:r>
      <w:r w:rsidR="00AF3F0E">
        <w:t xml:space="preserve">ensing </w:t>
      </w:r>
      <w:r>
        <w:t>in a tiered sharing system</w:t>
      </w:r>
      <w:r w:rsidR="00B73A61">
        <w:rPr>
          <w:noProof/>
        </w:rPr>
        <w:t>.</w:t>
      </w:r>
    </w:p>
    <w:p w14:paraId="21DF3F2E" w14:textId="29D677A7" w:rsidR="00AF3F0E" w:rsidRDefault="00462635" w:rsidP="000D7782">
      <w:pPr>
        <w:pStyle w:val="ACMATableHeader"/>
        <w:numPr>
          <w:ilvl w:val="0"/>
          <w:numId w:val="0"/>
        </w:numPr>
        <w:spacing w:before="120" w:after="120"/>
      </w:pPr>
      <w:r>
        <w:rPr>
          <w:noProof/>
        </w:rPr>
        <w:drawing>
          <wp:inline distT="0" distB="0" distL="0" distR="0" wp14:anchorId="23B90854" wp14:editId="7A0FE081">
            <wp:extent cx="4871085" cy="3747770"/>
            <wp:effectExtent l="0" t="0" r="5715" b="5080"/>
            <wp:docPr id="10" name="Picture 10" descr="Integrating spectrum sensing in a tiered shar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871085" cy="3747770"/>
                    </a:xfrm>
                    <a:prstGeom prst="rect">
                      <a:avLst/>
                    </a:prstGeom>
                  </pic:spPr>
                </pic:pic>
              </a:graphicData>
            </a:graphic>
          </wp:inline>
        </w:drawing>
      </w:r>
      <w:r w:rsidR="00AF3F0E">
        <w:t xml:space="preserve"> </w:t>
      </w:r>
    </w:p>
    <w:p w14:paraId="3785D59F" w14:textId="77777777" w:rsidR="000D291B" w:rsidRPr="00ED65DD" w:rsidRDefault="000D291B" w:rsidP="00091E83">
      <w:pPr>
        <w:pStyle w:val="Heading3"/>
      </w:pPr>
      <w:bookmarkStart w:id="22" w:name="_Toc16054643"/>
      <w:r>
        <w:t>Pre-emption model</w:t>
      </w:r>
      <w:bookmarkEnd w:id="22"/>
    </w:p>
    <w:p w14:paraId="2461053D" w14:textId="01896191" w:rsidR="000D291B" w:rsidRDefault="000D291B" w:rsidP="003821C1">
      <w:r>
        <w:t xml:space="preserve">This </w:t>
      </w:r>
      <w:r w:rsidR="00ED72C4">
        <w:t xml:space="preserve">model </w:t>
      </w:r>
      <w:r w:rsidR="00D021BF">
        <w:t xml:space="preserve">is a </w:t>
      </w:r>
      <w:r w:rsidR="000A0D93">
        <w:t xml:space="preserve">variation </w:t>
      </w:r>
      <w:r w:rsidR="00D021BF">
        <w:t xml:space="preserve">on the </w:t>
      </w:r>
      <w:r w:rsidR="003F3862">
        <w:t xml:space="preserve">generic tiered </w:t>
      </w:r>
      <w:r>
        <w:t>sharing model</w:t>
      </w:r>
      <w:r w:rsidR="00D021BF">
        <w:t xml:space="preserve"> discussed above</w:t>
      </w:r>
      <w:r w:rsidR="00061B9E">
        <w:t xml:space="preserve"> </w:t>
      </w:r>
      <w:r w:rsidR="007475D2">
        <w:t xml:space="preserve">that </w:t>
      </w:r>
      <w:r>
        <w:t xml:space="preserve">has been conceived by the ACMA as an alternative approach for when tier 1 use characteristics are not, or cannot be, sensed or contained in a database. It draws from the tiered access model in that there is an assumed tier 1 incumbent licensed user, but further assumes there is no knowledge base associated with that user’s operations. Logically this might apply in the case of </w:t>
      </w:r>
      <w:r w:rsidR="0037536F">
        <w:t xml:space="preserve">spectrum use that is </w:t>
      </w:r>
      <w:r>
        <w:t>itinerant or sporadic</w:t>
      </w:r>
      <w:r w:rsidR="0037536F">
        <w:t xml:space="preserve"> in nature, such as some government applications</w:t>
      </w:r>
      <w:r>
        <w:t>.</w:t>
      </w:r>
    </w:p>
    <w:p w14:paraId="0933C853" w14:textId="77777777" w:rsidR="00444032" w:rsidRDefault="000D291B" w:rsidP="00444032">
      <w:r w:rsidRPr="00FD2CD1">
        <w:t xml:space="preserve">Pre-emptive shared access </w:t>
      </w:r>
      <w:r w:rsidR="00ED72C4">
        <w:t xml:space="preserve">offers a relatively simple implementation model, </w:t>
      </w:r>
      <w:r w:rsidR="006D1749">
        <w:t>as</w:t>
      </w:r>
      <w:r>
        <w:t xml:space="preserve"> it </w:t>
      </w:r>
      <w:r w:rsidRPr="00FD2CD1">
        <w:t xml:space="preserve">does not require any </w:t>
      </w:r>
      <w:r>
        <w:t>complementary infrastructure or databases.</w:t>
      </w:r>
      <w:r w:rsidRPr="00FD2CD1">
        <w:t xml:space="preserve"> </w:t>
      </w:r>
      <w:r>
        <w:t>It</w:t>
      </w:r>
      <w:r w:rsidRPr="00FD2CD1">
        <w:t xml:space="preserve"> classifies users </w:t>
      </w:r>
      <w:r>
        <w:t xml:space="preserve">hierarchically in a similar way to that of </w:t>
      </w:r>
      <w:r w:rsidR="006D1749">
        <w:t xml:space="preserve">a </w:t>
      </w:r>
      <w:r>
        <w:t xml:space="preserve">tiered approach, where the tier 1 </w:t>
      </w:r>
      <w:r w:rsidRPr="00FD2CD1">
        <w:t xml:space="preserve">service </w:t>
      </w:r>
      <w:r>
        <w:t>would likely</w:t>
      </w:r>
      <w:r w:rsidRPr="00FD2CD1">
        <w:t xml:space="preserve"> be an </w:t>
      </w:r>
      <w:r>
        <w:t xml:space="preserve">existing </w:t>
      </w:r>
      <w:r w:rsidRPr="00FD2CD1">
        <w:t>incumbent</w:t>
      </w:r>
      <w:r>
        <w:t xml:space="preserve"> licensee and tier 2 </w:t>
      </w:r>
      <w:r w:rsidR="005C3753">
        <w:t xml:space="preserve">(or lower) </w:t>
      </w:r>
      <w:r>
        <w:t>users</w:t>
      </w:r>
      <w:r w:rsidRPr="00FD2CD1">
        <w:t xml:space="preserve"> would be </w:t>
      </w:r>
      <w:r>
        <w:t>secondary access</w:t>
      </w:r>
      <w:r w:rsidR="007D5A72">
        <w:t xml:space="preserve"> </w:t>
      </w:r>
      <w:r>
        <w:t>seekers.</w:t>
      </w:r>
    </w:p>
    <w:p w14:paraId="3912ABC9" w14:textId="75383AC7" w:rsidR="000D291B" w:rsidRPr="00FD2CD1" w:rsidRDefault="000D291B" w:rsidP="00444032">
      <w:r>
        <w:t>As with the tiered access model, s</w:t>
      </w:r>
      <w:r w:rsidRPr="00FD2CD1">
        <w:t xml:space="preserve">econdary access </w:t>
      </w:r>
      <w:r>
        <w:t>would be</w:t>
      </w:r>
      <w:r w:rsidRPr="00FD2CD1">
        <w:t xml:space="preserve"> </w:t>
      </w:r>
      <w:r>
        <w:t>entirely contingent on</w:t>
      </w:r>
      <w:r w:rsidR="005C3753">
        <w:t xml:space="preserve"> meeting</w:t>
      </w:r>
      <w:r w:rsidRPr="00FD2CD1">
        <w:t xml:space="preserve"> the </w:t>
      </w:r>
      <w:r>
        <w:t>operational</w:t>
      </w:r>
      <w:r w:rsidRPr="00FD2CD1">
        <w:t xml:space="preserve"> requirements of the primary user</w:t>
      </w:r>
      <w:r>
        <w:t xml:space="preserve"> and lower tier users may need to alter or cease operation</w:t>
      </w:r>
      <w:r w:rsidRPr="00FD2CD1">
        <w:t xml:space="preserve"> for periods of time in order to prevent interference </w:t>
      </w:r>
      <w:r>
        <w:t>to</w:t>
      </w:r>
      <w:r w:rsidRPr="00FD2CD1">
        <w:t xml:space="preserve"> primary users. </w:t>
      </w:r>
      <w:r>
        <w:t>Presence of primary use</w:t>
      </w:r>
      <w:r w:rsidR="00A55A19">
        <w:t>r</w:t>
      </w:r>
      <w:r>
        <w:t xml:space="preserve">s might also bring temporary </w:t>
      </w:r>
      <w:r w:rsidRPr="00FD2CD1">
        <w:t xml:space="preserve">protection zones </w:t>
      </w:r>
      <w:r>
        <w:t>into effect.</w:t>
      </w:r>
    </w:p>
    <w:p w14:paraId="1C550175" w14:textId="0E70A3F6" w:rsidR="000D291B" w:rsidRDefault="000D291B" w:rsidP="003821C1">
      <w:r w:rsidRPr="00FD2CD1">
        <w:t>The</w:t>
      </w:r>
      <w:r>
        <w:t xml:space="preserve"> principle difference of this approach is that awareness of the presence of tier 1 users would be informed through a simple</w:t>
      </w:r>
      <w:r w:rsidRPr="00FD2CD1">
        <w:t xml:space="preserve"> notification process</w:t>
      </w:r>
      <w:r>
        <w:t>, where tier 1 users provide advance notice of their intention to operate in each area on a given frequency(s).</w:t>
      </w:r>
      <w:r w:rsidRPr="00FD2CD1">
        <w:t xml:space="preserve"> The notification process and </w:t>
      </w:r>
      <w:r>
        <w:t>actions/</w:t>
      </w:r>
      <w:r w:rsidRPr="00FD2CD1">
        <w:t>mitigation</w:t>
      </w:r>
      <w:r>
        <w:t>s to be taken by lower tier users subject to notification</w:t>
      </w:r>
      <w:r w:rsidRPr="00FD2CD1">
        <w:t xml:space="preserve"> would be specified in licen</w:t>
      </w:r>
      <w:r w:rsidR="00331D17">
        <w:t>c</w:t>
      </w:r>
      <w:r w:rsidRPr="00FD2CD1">
        <w:t xml:space="preserve">e conditions </w:t>
      </w:r>
      <w:r>
        <w:t xml:space="preserve">for secondary access. A notification ‘portal’ </w:t>
      </w:r>
      <w:r w:rsidR="00BA6B82">
        <w:t>could</w:t>
      </w:r>
      <w:r>
        <w:t xml:space="preserve"> be established as a single point of contact to avoid administrative burden on the tier 1 user.</w:t>
      </w:r>
    </w:p>
    <w:p w14:paraId="51117635" w14:textId="04FAC480" w:rsidR="00E02921" w:rsidRDefault="000D291B" w:rsidP="000D7782">
      <w:pPr>
        <w:spacing w:before="120" w:after="120" w:line="240" w:lineRule="auto"/>
        <w:rPr>
          <w:rFonts w:cs="Arial"/>
          <w:szCs w:val="20"/>
        </w:rPr>
      </w:pPr>
      <w:r>
        <w:rPr>
          <w:rFonts w:cs="Arial"/>
          <w:szCs w:val="20"/>
        </w:rPr>
        <w:lastRenderedPageBreak/>
        <w:t>This approach best lends itself to cases where tier 1 access is itinerant and infrequent within a given area and lower tier access is supported by fixed infrastructure (</w:t>
      </w:r>
      <w:r w:rsidR="00363C94">
        <w:rPr>
          <w:rFonts w:cs="Arial"/>
          <w:szCs w:val="20"/>
        </w:rPr>
        <w:t>for example,</w:t>
      </w:r>
      <w:r>
        <w:rPr>
          <w:rFonts w:cs="Arial"/>
          <w:szCs w:val="20"/>
        </w:rPr>
        <w:t xml:space="preserve"> fixed networks or mobile networks served by base stations, as opposed to </w:t>
      </w:r>
      <w:r w:rsidR="0060359F">
        <w:rPr>
          <w:rFonts w:cs="Arial"/>
          <w:szCs w:val="20"/>
        </w:rPr>
        <w:t xml:space="preserve">nomadic or </w:t>
      </w:r>
      <w:r>
        <w:rPr>
          <w:rFonts w:cs="Arial"/>
          <w:szCs w:val="20"/>
        </w:rPr>
        <w:t xml:space="preserve">ambulatory systems). </w:t>
      </w:r>
    </w:p>
    <w:p w14:paraId="34B115EC" w14:textId="1D51AC3D" w:rsidR="000D291B" w:rsidRDefault="000D291B" w:rsidP="000D7782">
      <w:pPr>
        <w:spacing w:before="120" w:after="120" w:line="240" w:lineRule="auto"/>
      </w:pPr>
      <w:r>
        <w:rPr>
          <w:rFonts w:cs="Arial"/>
          <w:szCs w:val="20"/>
        </w:rPr>
        <w:t xml:space="preserve">In many cases an occasional, localised </w:t>
      </w:r>
      <w:r w:rsidRPr="00FD2CD1">
        <w:rPr>
          <w:rFonts w:cs="Arial"/>
          <w:szCs w:val="20"/>
        </w:rPr>
        <w:t>reduc</w:t>
      </w:r>
      <w:r>
        <w:rPr>
          <w:rFonts w:cs="Arial"/>
          <w:szCs w:val="20"/>
        </w:rPr>
        <w:t>tion in</w:t>
      </w:r>
      <w:r w:rsidRPr="00FD2CD1">
        <w:rPr>
          <w:rFonts w:cs="Arial"/>
          <w:szCs w:val="20"/>
        </w:rPr>
        <w:t xml:space="preserve"> capacity</w:t>
      </w:r>
      <w:r>
        <w:rPr>
          <w:rFonts w:cs="Arial"/>
          <w:szCs w:val="20"/>
        </w:rPr>
        <w:t xml:space="preserve"> or coverage on certain frequencies might not be tolerable for potential secondary access seekers</w:t>
      </w:r>
      <w:r w:rsidR="00444032">
        <w:rPr>
          <w:rFonts w:cs="Arial"/>
          <w:szCs w:val="20"/>
        </w:rPr>
        <w:t>. T</w:t>
      </w:r>
      <w:r>
        <w:rPr>
          <w:rFonts w:cs="Arial"/>
          <w:szCs w:val="20"/>
        </w:rPr>
        <w:t>his model would therefore not be suitable for them and they should seek more traditional licensed access. However, this</w:t>
      </w:r>
      <w:r w:rsidRPr="00FD2CD1">
        <w:rPr>
          <w:rFonts w:cs="Arial"/>
          <w:szCs w:val="20"/>
        </w:rPr>
        <w:t xml:space="preserve"> access method has the advantage of being simpl</w:t>
      </w:r>
      <w:r>
        <w:rPr>
          <w:rFonts w:cs="Arial"/>
          <w:szCs w:val="20"/>
        </w:rPr>
        <w:t>e</w:t>
      </w:r>
      <w:r w:rsidRPr="00FD2CD1">
        <w:rPr>
          <w:rFonts w:cs="Arial"/>
          <w:szCs w:val="20"/>
        </w:rPr>
        <w:t xml:space="preserve"> and would not require </w:t>
      </w:r>
      <w:r>
        <w:rPr>
          <w:rFonts w:cs="Arial"/>
          <w:szCs w:val="20"/>
        </w:rPr>
        <w:t>supporting infrastructure</w:t>
      </w:r>
      <w:r w:rsidRPr="00FD2CD1">
        <w:rPr>
          <w:rFonts w:cs="Arial"/>
          <w:szCs w:val="20"/>
        </w:rPr>
        <w:t xml:space="preserve"> such as </w:t>
      </w:r>
      <w:r>
        <w:rPr>
          <w:rFonts w:cs="Arial"/>
          <w:szCs w:val="20"/>
        </w:rPr>
        <w:t>fixed sensor networks</w:t>
      </w:r>
      <w:r w:rsidRPr="00FD2CD1">
        <w:rPr>
          <w:rFonts w:cs="Arial"/>
          <w:szCs w:val="20"/>
        </w:rPr>
        <w:t xml:space="preserve"> or databases to </w:t>
      </w:r>
      <w:r>
        <w:rPr>
          <w:rFonts w:cs="Arial"/>
          <w:szCs w:val="20"/>
        </w:rPr>
        <w:t>manage access</w:t>
      </w:r>
      <w:r w:rsidR="008F41BC">
        <w:rPr>
          <w:rFonts w:cs="Arial"/>
          <w:szCs w:val="20"/>
        </w:rPr>
        <w:t xml:space="preserve"> and might be attractive to some access seekers that can tolerate occasion loss of access.</w:t>
      </w:r>
    </w:p>
    <w:p w14:paraId="727B9582" w14:textId="23511860" w:rsidR="00FF3C69" w:rsidRPr="00363C94" w:rsidRDefault="0036373B" w:rsidP="00091E83">
      <w:pPr>
        <w:pStyle w:val="Heading2"/>
      </w:pPr>
      <w:bookmarkStart w:id="23" w:name="_Ref8080315"/>
      <w:bookmarkStart w:id="24" w:name="_Toc16054644"/>
      <w:r w:rsidRPr="00363C94">
        <w:t>Spectrum</w:t>
      </w:r>
      <w:r w:rsidR="009129B5" w:rsidRPr="00363C94">
        <w:t xml:space="preserve"> </w:t>
      </w:r>
      <w:r w:rsidR="00363C94" w:rsidRPr="00363C94">
        <w:t>s</w:t>
      </w:r>
      <w:r w:rsidRPr="00363C94">
        <w:t>ensing</w:t>
      </w:r>
      <w:bookmarkEnd w:id="23"/>
      <w:bookmarkEnd w:id="24"/>
      <w:r w:rsidRPr="00363C94">
        <w:t xml:space="preserve"> </w:t>
      </w:r>
      <w:bookmarkEnd w:id="20"/>
    </w:p>
    <w:p w14:paraId="4EEC4570" w14:textId="7920E55A" w:rsidR="009129B5" w:rsidRPr="00FD2CD1" w:rsidRDefault="009129B5" w:rsidP="000D7782">
      <w:pPr>
        <w:spacing w:before="120" w:after="120" w:line="240" w:lineRule="auto"/>
        <w:rPr>
          <w:rFonts w:cs="Arial"/>
          <w:szCs w:val="20"/>
        </w:rPr>
      </w:pPr>
      <w:r w:rsidRPr="00FD2CD1">
        <w:rPr>
          <w:rFonts w:cs="Arial"/>
          <w:szCs w:val="20"/>
        </w:rPr>
        <w:t xml:space="preserve">The core </w:t>
      </w:r>
      <w:r w:rsidR="0036373B">
        <w:rPr>
          <w:rFonts w:cs="Arial"/>
          <w:szCs w:val="20"/>
        </w:rPr>
        <w:t xml:space="preserve">premise of </w:t>
      </w:r>
      <w:r w:rsidR="00B75357">
        <w:rPr>
          <w:rFonts w:cs="Arial"/>
          <w:szCs w:val="20"/>
        </w:rPr>
        <w:t xml:space="preserve">a </w:t>
      </w:r>
      <w:r w:rsidR="0036373B">
        <w:rPr>
          <w:rFonts w:cs="Arial"/>
          <w:szCs w:val="20"/>
        </w:rPr>
        <w:t>sensing</w:t>
      </w:r>
      <w:r w:rsidRPr="00FD2CD1">
        <w:rPr>
          <w:rFonts w:cs="Arial"/>
          <w:szCs w:val="20"/>
        </w:rPr>
        <w:t xml:space="preserve"> model is th</w:t>
      </w:r>
      <w:r w:rsidR="0036373B">
        <w:rPr>
          <w:rFonts w:cs="Arial"/>
          <w:szCs w:val="20"/>
        </w:rPr>
        <w:t>at</w:t>
      </w:r>
      <w:r w:rsidRPr="00FD2CD1">
        <w:rPr>
          <w:rFonts w:cs="Arial"/>
          <w:szCs w:val="20"/>
        </w:rPr>
        <w:t xml:space="preserve"> devices</w:t>
      </w:r>
      <w:r w:rsidR="00D57F3D">
        <w:rPr>
          <w:rFonts w:cs="Arial"/>
          <w:szCs w:val="20"/>
        </w:rPr>
        <w:t xml:space="preserve"> or supporting </w:t>
      </w:r>
      <w:r w:rsidR="007F33C5">
        <w:rPr>
          <w:rFonts w:cs="Arial"/>
          <w:szCs w:val="20"/>
        </w:rPr>
        <w:t>infrastructure</w:t>
      </w:r>
      <w:r w:rsidRPr="00FD2CD1">
        <w:rPr>
          <w:rFonts w:cs="Arial"/>
          <w:szCs w:val="20"/>
        </w:rPr>
        <w:t xml:space="preserve"> </w:t>
      </w:r>
      <w:r w:rsidR="0053245A">
        <w:rPr>
          <w:rFonts w:cs="Arial"/>
          <w:szCs w:val="20"/>
        </w:rPr>
        <w:t>can</w:t>
      </w:r>
      <w:r w:rsidRPr="00FD2CD1">
        <w:rPr>
          <w:rFonts w:cs="Arial"/>
          <w:szCs w:val="20"/>
        </w:rPr>
        <w:t xml:space="preserve"> detect which communications channels are in use and which are available to be </w:t>
      </w:r>
      <w:r w:rsidR="0036373B">
        <w:rPr>
          <w:rFonts w:cs="Arial"/>
          <w:szCs w:val="20"/>
        </w:rPr>
        <w:t>accessed</w:t>
      </w:r>
      <w:r w:rsidRPr="00FD2CD1">
        <w:rPr>
          <w:rFonts w:cs="Arial"/>
          <w:szCs w:val="20"/>
        </w:rPr>
        <w:t xml:space="preserve"> in real time. </w:t>
      </w:r>
      <w:r w:rsidR="00B75357">
        <w:rPr>
          <w:rFonts w:cs="Arial"/>
          <w:szCs w:val="20"/>
        </w:rPr>
        <w:t>C</w:t>
      </w:r>
      <w:r w:rsidR="0036373B">
        <w:rPr>
          <w:rFonts w:cs="Arial"/>
          <w:szCs w:val="20"/>
        </w:rPr>
        <w:t>hannel availability varies by locatio</w:t>
      </w:r>
      <w:r w:rsidR="00363C94">
        <w:rPr>
          <w:rFonts w:cs="Arial"/>
          <w:szCs w:val="20"/>
        </w:rPr>
        <w:t>n—</w:t>
      </w:r>
      <w:r w:rsidRPr="00FD2CD1">
        <w:rPr>
          <w:rFonts w:cs="Arial"/>
          <w:szCs w:val="20"/>
        </w:rPr>
        <w:t xml:space="preserve">a channel that may be in use in one location </w:t>
      </w:r>
      <w:r w:rsidR="00916373">
        <w:rPr>
          <w:rFonts w:cs="Arial"/>
          <w:szCs w:val="20"/>
        </w:rPr>
        <w:t>might</w:t>
      </w:r>
      <w:r w:rsidRPr="00FD2CD1">
        <w:rPr>
          <w:rFonts w:cs="Arial"/>
          <w:szCs w:val="20"/>
        </w:rPr>
        <w:t xml:space="preserve"> be available at another location.</w:t>
      </w:r>
      <w:r w:rsidR="00BA00A8">
        <w:rPr>
          <w:rFonts w:cs="Arial"/>
          <w:szCs w:val="20"/>
        </w:rPr>
        <w:t xml:space="preserve"> </w:t>
      </w:r>
      <w:r w:rsidRPr="00FD2CD1">
        <w:rPr>
          <w:rFonts w:cs="Arial"/>
          <w:szCs w:val="20"/>
        </w:rPr>
        <w:t xml:space="preserve">Some models have a learning function which can determine </w:t>
      </w:r>
      <w:r w:rsidR="0036373B">
        <w:rPr>
          <w:rFonts w:cs="Arial"/>
          <w:szCs w:val="20"/>
        </w:rPr>
        <w:t>which</w:t>
      </w:r>
      <w:r w:rsidRPr="00FD2CD1">
        <w:rPr>
          <w:rFonts w:cs="Arial"/>
          <w:szCs w:val="20"/>
        </w:rPr>
        <w:t xml:space="preserve"> channels are more frequently available for a given location and </w:t>
      </w:r>
      <w:r w:rsidR="00AE3945">
        <w:rPr>
          <w:rFonts w:cs="Arial"/>
          <w:szCs w:val="20"/>
        </w:rPr>
        <w:t>sets</w:t>
      </w:r>
      <w:r w:rsidR="0036373B">
        <w:rPr>
          <w:rFonts w:cs="Arial"/>
          <w:szCs w:val="20"/>
        </w:rPr>
        <w:t xml:space="preserve"> weights its scanning algorithm accordingly</w:t>
      </w:r>
      <w:r w:rsidRPr="00FD2CD1">
        <w:rPr>
          <w:rFonts w:cs="Arial"/>
          <w:szCs w:val="20"/>
        </w:rPr>
        <w:t xml:space="preserve">. </w:t>
      </w:r>
    </w:p>
    <w:p w14:paraId="3CCE6EEE" w14:textId="1E86000C" w:rsidR="009129B5" w:rsidRDefault="009129B5" w:rsidP="000D7782">
      <w:pPr>
        <w:spacing w:before="120" w:after="120" w:line="240" w:lineRule="auto"/>
        <w:rPr>
          <w:rFonts w:cs="Arial"/>
          <w:szCs w:val="20"/>
        </w:rPr>
      </w:pPr>
      <w:r w:rsidRPr="00FD2CD1">
        <w:rPr>
          <w:rFonts w:cs="Arial"/>
          <w:szCs w:val="20"/>
        </w:rPr>
        <w:t xml:space="preserve">Once free channels are identified, </w:t>
      </w:r>
      <w:r w:rsidR="00C265AC">
        <w:rPr>
          <w:rFonts w:cs="Arial"/>
          <w:szCs w:val="20"/>
        </w:rPr>
        <w:t xml:space="preserve">channel allocation can either </w:t>
      </w:r>
      <w:r w:rsidRPr="00FD2CD1">
        <w:rPr>
          <w:rFonts w:cs="Arial"/>
          <w:szCs w:val="20"/>
        </w:rPr>
        <w:t xml:space="preserve">be </w:t>
      </w:r>
      <w:r w:rsidR="00773A55" w:rsidRPr="00FD2CD1">
        <w:rPr>
          <w:rFonts w:cs="Arial"/>
          <w:szCs w:val="20"/>
        </w:rPr>
        <w:t xml:space="preserve">done </w:t>
      </w:r>
      <w:r w:rsidR="00773A55">
        <w:rPr>
          <w:rFonts w:cs="Arial"/>
          <w:szCs w:val="20"/>
        </w:rPr>
        <w:t>cooperatively</w:t>
      </w:r>
      <w:r w:rsidR="00C265AC">
        <w:rPr>
          <w:rFonts w:cs="Arial"/>
          <w:szCs w:val="20"/>
        </w:rPr>
        <w:t xml:space="preserve">, through </w:t>
      </w:r>
      <w:r w:rsidRPr="00FD2CD1">
        <w:rPr>
          <w:rFonts w:cs="Arial"/>
          <w:szCs w:val="20"/>
        </w:rPr>
        <w:t xml:space="preserve">active negotiation with other </w:t>
      </w:r>
      <w:r w:rsidR="00C265AC">
        <w:rPr>
          <w:rFonts w:cs="Arial"/>
          <w:szCs w:val="20"/>
        </w:rPr>
        <w:t>nearby devices operating on the same platform</w:t>
      </w:r>
      <w:r w:rsidR="00D57F3D">
        <w:rPr>
          <w:rFonts w:cs="Arial"/>
          <w:szCs w:val="20"/>
        </w:rPr>
        <w:t xml:space="preserve"> (by either device-to-device or network interfaces, depending on the model used)</w:t>
      </w:r>
      <w:r w:rsidR="00C265AC">
        <w:rPr>
          <w:rFonts w:cs="Arial"/>
          <w:szCs w:val="20"/>
        </w:rPr>
        <w:t>,</w:t>
      </w:r>
      <w:r w:rsidRPr="00FD2CD1">
        <w:rPr>
          <w:rFonts w:cs="Arial"/>
          <w:szCs w:val="20"/>
        </w:rPr>
        <w:t xml:space="preserve"> or </w:t>
      </w:r>
      <w:r w:rsidR="00C265AC">
        <w:rPr>
          <w:rFonts w:cs="Arial"/>
          <w:szCs w:val="20"/>
        </w:rPr>
        <w:t xml:space="preserve">independently </w:t>
      </w:r>
      <w:r w:rsidRPr="00FD2CD1">
        <w:rPr>
          <w:rFonts w:cs="Arial"/>
          <w:szCs w:val="20"/>
        </w:rPr>
        <w:t xml:space="preserve">through a </w:t>
      </w:r>
      <w:r w:rsidR="00C265AC">
        <w:rPr>
          <w:rFonts w:cs="Arial"/>
          <w:szCs w:val="20"/>
        </w:rPr>
        <w:t xml:space="preserve">simple </w:t>
      </w:r>
      <w:r w:rsidRPr="00FD2CD1">
        <w:rPr>
          <w:rFonts w:cs="Arial"/>
          <w:szCs w:val="20"/>
        </w:rPr>
        <w:t>passive sens</w:t>
      </w:r>
      <w:r w:rsidR="00C265AC">
        <w:rPr>
          <w:rFonts w:cs="Arial"/>
          <w:szCs w:val="20"/>
        </w:rPr>
        <w:t>e-and-avoid approach</w:t>
      </w:r>
      <w:r w:rsidRPr="00FD2CD1">
        <w:rPr>
          <w:rFonts w:cs="Arial"/>
          <w:szCs w:val="20"/>
        </w:rPr>
        <w:t xml:space="preserve">. </w:t>
      </w:r>
      <w:r w:rsidR="00C265AC">
        <w:rPr>
          <w:rFonts w:cs="Arial"/>
          <w:szCs w:val="20"/>
        </w:rPr>
        <w:t>S</w:t>
      </w:r>
      <w:r w:rsidRPr="00FD2CD1">
        <w:rPr>
          <w:rFonts w:cs="Arial"/>
          <w:szCs w:val="20"/>
        </w:rPr>
        <w:t xml:space="preserve">pectrum sensing does not </w:t>
      </w:r>
      <w:r w:rsidR="00D57F3D">
        <w:rPr>
          <w:rFonts w:cs="Arial"/>
          <w:szCs w:val="20"/>
        </w:rPr>
        <w:t xml:space="preserve">necessarily </w:t>
      </w:r>
      <w:r w:rsidRPr="00FD2CD1">
        <w:rPr>
          <w:rFonts w:cs="Arial"/>
          <w:szCs w:val="20"/>
        </w:rPr>
        <w:t xml:space="preserve">rely on any external </w:t>
      </w:r>
      <w:r w:rsidR="0036373B">
        <w:rPr>
          <w:rFonts w:cs="Arial"/>
          <w:szCs w:val="20"/>
        </w:rPr>
        <w:t>knowledge base (</w:t>
      </w:r>
      <w:r w:rsidR="00EE72F1">
        <w:rPr>
          <w:rFonts w:cs="Arial"/>
          <w:szCs w:val="20"/>
        </w:rPr>
        <w:t>for example,</w:t>
      </w:r>
      <w:r w:rsidR="0036373B">
        <w:rPr>
          <w:rFonts w:cs="Arial"/>
          <w:szCs w:val="20"/>
        </w:rPr>
        <w:t xml:space="preserve"> </w:t>
      </w:r>
      <w:r w:rsidR="00614690">
        <w:rPr>
          <w:rFonts w:cs="Arial"/>
          <w:szCs w:val="20"/>
        </w:rPr>
        <w:t>database</w:t>
      </w:r>
      <w:r w:rsidR="0036373B">
        <w:rPr>
          <w:rFonts w:cs="Arial"/>
          <w:szCs w:val="20"/>
        </w:rPr>
        <w:t>)</w:t>
      </w:r>
      <w:r w:rsidR="00614690">
        <w:rPr>
          <w:rFonts w:cs="Arial"/>
          <w:szCs w:val="20"/>
        </w:rPr>
        <w:t xml:space="preserve"> </w:t>
      </w:r>
      <w:r w:rsidRPr="00FD2CD1">
        <w:rPr>
          <w:rFonts w:cs="Arial"/>
          <w:szCs w:val="20"/>
        </w:rPr>
        <w:t xml:space="preserve">to obtain </w:t>
      </w:r>
      <w:r w:rsidR="00C265AC">
        <w:rPr>
          <w:rFonts w:cs="Arial"/>
          <w:szCs w:val="20"/>
        </w:rPr>
        <w:t>information on</w:t>
      </w:r>
      <w:r w:rsidRPr="00FD2CD1">
        <w:rPr>
          <w:rFonts w:cs="Arial"/>
          <w:szCs w:val="20"/>
        </w:rPr>
        <w:t xml:space="preserve"> spectrum usage patterns</w:t>
      </w:r>
      <w:r w:rsidR="00BE71D9">
        <w:rPr>
          <w:rFonts w:cs="Arial"/>
          <w:szCs w:val="20"/>
        </w:rPr>
        <w:t>, rather it</w:t>
      </w:r>
      <w:r w:rsidR="00BA00A8">
        <w:rPr>
          <w:rFonts w:cs="Arial"/>
          <w:szCs w:val="20"/>
        </w:rPr>
        <w:t xml:space="preserve"> relies</w:t>
      </w:r>
      <w:r w:rsidR="004475CC">
        <w:rPr>
          <w:rFonts w:cs="Arial"/>
          <w:szCs w:val="20"/>
        </w:rPr>
        <w:t xml:space="preserve"> purely on technology.</w:t>
      </w:r>
      <w:r w:rsidR="00D57F3D">
        <w:rPr>
          <w:rFonts w:cs="Arial"/>
          <w:szCs w:val="20"/>
        </w:rPr>
        <w:t xml:space="preserve"> In some models it can certainly be </w:t>
      </w:r>
      <w:r w:rsidR="00D57F3D" w:rsidRPr="00091E83">
        <w:rPr>
          <w:rFonts w:cs="Arial"/>
          <w:iCs/>
          <w:szCs w:val="20"/>
        </w:rPr>
        <w:t>augmented</w:t>
      </w:r>
      <w:r w:rsidR="00D57F3D">
        <w:rPr>
          <w:i/>
        </w:rPr>
        <w:t xml:space="preserve"> </w:t>
      </w:r>
      <w:r w:rsidR="00D57F3D">
        <w:t>by an integrated knowledge base</w:t>
      </w:r>
      <w:r w:rsidR="00462654">
        <w:t xml:space="preserve"> (as described above in the discussion on </w:t>
      </w:r>
      <w:r w:rsidR="00462654" w:rsidRPr="00091E83">
        <w:rPr>
          <w:i/>
        </w:rPr>
        <w:fldChar w:fldCharType="begin"/>
      </w:r>
      <w:r w:rsidR="00462654" w:rsidRPr="000F355D">
        <w:rPr>
          <w:i/>
        </w:rPr>
        <w:instrText xml:space="preserve"> REF _Ref8080649 \h </w:instrText>
      </w:r>
      <w:r w:rsidR="000177BE">
        <w:rPr>
          <w:i/>
        </w:rPr>
        <w:instrText xml:space="preserve"> \* MERGEFORMAT </w:instrText>
      </w:r>
      <w:r w:rsidR="00462654" w:rsidRPr="00091E83">
        <w:rPr>
          <w:i/>
        </w:rPr>
      </w:r>
      <w:r w:rsidR="00462654" w:rsidRPr="00091E83">
        <w:rPr>
          <w:i/>
        </w:rPr>
        <w:fldChar w:fldCharType="separate"/>
      </w:r>
      <w:r w:rsidR="000177BE">
        <w:rPr>
          <w:i/>
        </w:rPr>
        <w:t>a</w:t>
      </w:r>
      <w:r w:rsidR="00462654" w:rsidRPr="000F355D">
        <w:rPr>
          <w:i/>
        </w:rPr>
        <w:t xml:space="preserve"> </w:t>
      </w:r>
      <w:r w:rsidR="00EE72F1">
        <w:rPr>
          <w:i/>
        </w:rPr>
        <w:t>G</w:t>
      </w:r>
      <w:r w:rsidR="00462654" w:rsidRPr="000F355D">
        <w:rPr>
          <w:i/>
        </w:rPr>
        <w:t xml:space="preserve">eneric tiered </w:t>
      </w:r>
      <w:r w:rsidR="000177BE" w:rsidRPr="000F355D">
        <w:rPr>
          <w:i/>
        </w:rPr>
        <w:t>a</w:t>
      </w:r>
      <w:r w:rsidR="00462654" w:rsidRPr="000F355D">
        <w:rPr>
          <w:i/>
        </w:rPr>
        <w:t xml:space="preserve">ccess </w:t>
      </w:r>
      <w:r w:rsidR="000177BE" w:rsidRPr="00091E83">
        <w:rPr>
          <w:iCs/>
        </w:rPr>
        <w:t>m</w:t>
      </w:r>
      <w:r w:rsidR="00462654" w:rsidRPr="00091E83">
        <w:rPr>
          <w:iCs/>
        </w:rPr>
        <w:t>odel</w:t>
      </w:r>
      <w:r w:rsidR="00462654" w:rsidRPr="00091E83">
        <w:rPr>
          <w:iCs/>
        </w:rPr>
        <w:fldChar w:fldCharType="end"/>
      </w:r>
      <w:r w:rsidR="00462654">
        <w:t>)</w:t>
      </w:r>
      <w:r w:rsidR="00D57F3D">
        <w:t>.</w:t>
      </w:r>
      <w:r w:rsidRPr="00FD2CD1">
        <w:rPr>
          <w:rFonts w:cs="Arial"/>
          <w:szCs w:val="20"/>
        </w:rPr>
        <w:t xml:space="preserve"> </w:t>
      </w:r>
    </w:p>
    <w:p w14:paraId="27EDC6D7" w14:textId="0733E528" w:rsidR="00843063" w:rsidRDefault="00843063" w:rsidP="000D7782">
      <w:pPr>
        <w:spacing w:before="120" w:after="120" w:line="240" w:lineRule="auto"/>
        <w:rPr>
          <w:rFonts w:cs="Arial"/>
          <w:szCs w:val="20"/>
        </w:rPr>
      </w:pPr>
      <w:r>
        <w:rPr>
          <w:rFonts w:cs="Arial"/>
          <w:szCs w:val="20"/>
        </w:rPr>
        <w:t>Some spectrum sensing solutions comprise a network of dispersed sensors to ascertain spectrum occupancy over a larger geographical area. Input from sensors is fed to a central aggregation point where a holistic picture of spectrum/space availability is derived. This approach is useful</w:t>
      </w:r>
      <w:r w:rsidR="003E1D39">
        <w:rPr>
          <w:rFonts w:cs="Arial"/>
          <w:szCs w:val="20"/>
        </w:rPr>
        <w:t xml:space="preserve"> in</w:t>
      </w:r>
      <w:r>
        <w:rPr>
          <w:rFonts w:cs="Arial"/>
          <w:szCs w:val="20"/>
        </w:rPr>
        <w:t xml:space="preserve"> sharing scenarios where incumbent users transit across wide areas and/or </w:t>
      </w:r>
      <w:r w:rsidR="009E15B2">
        <w:rPr>
          <w:rFonts w:cs="Arial"/>
          <w:szCs w:val="20"/>
        </w:rPr>
        <w:t xml:space="preserve">involve </w:t>
      </w:r>
      <w:r>
        <w:rPr>
          <w:rFonts w:cs="Arial"/>
          <w:szCs w:val="20"/>
        </w:rPr>
        <w:t xml:space="preserve">high power or directional transmissions which cannot accurately be described by localised, non-networked sensors. </w:t>
      </w:r>
    </w:p>
    <w:p w14:paraId="44A0EC90" w14:textId="15BCA18E" w:rsidR="00D57F3D" w:rsidRDefault="00D57F3D" w:rsidP="000D7782">
      <w:pPr>
        <w:spacing w:before="120" w:after="120" w:line="240" w:lineRule="auto"/>
        <w:rPr>
          <w:rFonts w:cs="Arial"/>
          <w:szCs w:val="20"/>
        </w:rPr>
      </w:pPr>
      <w:r>
        <w:rPr>
          <w:rFonts w:cs="Arial"/>
          <w:szCs w:val="20"/>
        </w:rPr>
        <w:t xml:space="preserve">In other, less infrastructure-intensive models, the sensing may be done at the device level. </w:t>
      </w:r>
      <w:r w:rsidR="00F750B9">
        <w:rPr>
          <w:rFonts w:cs="Arial"/>
          <w:szCs w:val="20"/>
        </w:rPr>
        <w:t xml:space="preserve">The most well-known application of this is the </w:t>
      </w:r>
      <w:r w:rsidR="00CD2EF2">
        <w:rPr>
          <w:rFonts w:cs="Arial"/>
          <w:szCs w:val="20"/>
        </w:rPr>
        <w:t>C</w:t>
      </w:r>
      <w:r>
        <w:rPr>
          <w:rFonts w:cs="Arial"/>
          <w:szCs w:val="20"/>
        </w:rPr>
        <w:t xml:space="preserve">ognitive </w:t>
      </w:r>
      <w:r w:rsidR="00CD2EF2">
        <w:rPr>
          <w:rFonts w:cs="Arial"/>
          <w:szCs w:val="20"/>
        </w:rPr>
        <w:t>R</w:t>
      </w:r>
      <w:r>
        <w:rPr>
          <w:rFonts w:cs="Arial"/>
          <w:szCs w:val="20"/>
        </w:rPr>
        <w:t xml:space="preserve">adio </w:t>
      </w:r>
      <w:r w:rsidR="00CD2EF2">
        <w:rPr>
          <w:rFonts w:cs="Arial"/>
          <w:szCs w:val="20"/>
        </w:rPr>
        <w:t>S</w:t>
      </w:r>
      <w:r>
        <w:rPr>
          <w:rFonts w:cs="Arial"/>
          <w:szCs w:val="20"/>
        </w:rPr>
        <w:t>ystem (</w:t>
      </w:r>
      <w:r w:rsidR="00F750B9">
        <w:rPr>
          <w:rFonts w:cs="Arial"/>
          <w:szCs w:val="20"/>
        </w:rPr>
        <w:t>CRS</w:t>
      </w:r>
      <w:r>
        <w:rPr>
          <w:rFonts w:cs="Arial"/>
          <w:szCs w:val="20"/>
        </w:rPr>
        <w:t>)</w:t>
      </w:r>
      <w:r w:rsidR="00F750B9" w:rsidRPr="00FD2CD1">
        <w:rPr>
          <w:rFonts w:cs="Arial"/>
          <w:szCs w:val="20"/>
        </w:rPr>
        <w:t xml:space="preserve"> </w:t>
      </w:r>
      <w:r w:rsidR="00F750B9">
        <w:rPr>
          <w:rFonts w:cs="Arial"/>
          <w:szCs w:val="20"/>
        </w:rPr>
        <w:t>concept</w:t>
      </w:r>
      <w:r>
        <w:rPr>
          <w:rFonts w:cs="Arial"/>
          <w:szCs w:val="20"/>
        </w:rPr>
        <w:t xml:space="preserve">. </w:t>
      </w:r>
      <w:r w:rsidR="007F33C5">
        <w:rPr>
          <w:rFonts w:cs="Arial"/>
          <w:szCs w:val="20"/>
        </w:rPr>
        <w:t>While t</w:t>
      </w:r>
      <w:r>
        <w:rPr>
          <w:rFonts w:cs="Arial"/>
          <w:szCs w:val="20"/>
        </w:rPr>
        <w:t>his concept is both broad and complex and can incorporate numerous techniques of managing spectrum access</w:t>
      </w:r>
      <w:r w:rsidR="007F33C5">
        <w:rPr>
          <w:rFonts w:cs="Arial"/>
          <w:szCs w:val="20"/>
        </w:rPr>
        <w:t>, o</w:t>
      </w:r>
      <w:r>
        <w:rPr>
          <w:rFonts w:cs="Arial"/>
          <w:szCs w:val="20"/>
        </w:rPr>
        <w:t xml:space="preserve">ne </w:t>
      </w:r>
      <w:r w:rsidR="007C7E9B">
        <w:rPr>
          <w:rFonts w:cs="Arial"/>
          <w:szCs w:val="20"/>
        </w:rPr>
        <w:t>commonly known</w:t>
      </w:r>
      <w:r>
        <w:rPr>
          <w:rFonts w:cs="Arial"/>
          <w:szCs w:val="20"/>
        </w:rPr>
        <w:t xml:space="preserve"> technique involves </w:t>
      </w:r>
      <w:r w:rsidR="00F750B9">
        <w:rPr>
          <w:rFonts w:cs="Arial"/>
          <w:szCs w:val="20"/>
        </w:rPr>
        <w:t xml:space="preserve">device-borne sensors </w:t>
      </w:r>
      <w:r w:rsidR="00F750B9" w:rsidRPr="00FD2CD1">
        <w:rPr>
          <w:rFonts w:cs="Arial"/>
          <w:szCs w:val="20"/>
        </w:rPr>
        <w:t>dynamically scan</w:t>
      </w:r>
      <w:r>
        <w:rPr>
          <w:rFonts w:cs="Arial"/>
          <w:szCs w:val="20"/>
        </w:rPr>
        <w:t>ning</w:t>
      </w:r>
      <w:r w:rsidR="00F750B9" w:rsidRPr="00FD2CD1">
        <w:rPr>
          <w:rFonts w:cs="Arial"/>
          <w:szCs w:val="20"/>
        </w:rPr>
        <w:t xml:space="preserve"> </w:t>
      </w:r>
      <w:r w:rsidR="007F33C5">
        <w:rPr>
          <w:rFonts w:cs="Arial"/>
          <w:szCs w:val="20"/>
        </w:rPr>
        <w:t>the local</w:t>
      </w:r>
      <w:r w:rsidR="00F750B9" w:rsidRPr="00FD2CD1">
        <w:rPr>
          <w:rFonts w:cs="Arial"/>
          <w:szCs w:val="20"/>
        </w:rPr>
        <w:t xml:space="preserve"> spectrum </w:t>
      </w:r>
      <w:r w:rsidR="007F33C5">
        <w:rPr>
          <w:rFonts w:cs="Arial"/>
          <w:szCs w:val="20"/>
        </w:rPr>
        <w:t xml:space="preserve">environment </w:t>
      </w:r>
      <w:r w:rsidR="00F750B9" w:rsidRPr="00FD2CD1">
        <w:rPr>
          <w:rFonts w:cs="Arial"/>
          <w:szCs w:val="20"/>
        </w:rPr>
        <w:t xml:space="preserve">to find available channels. </w:t>
      </w:r>
      <w:r>
        <w:rPr>
          <w:rFonts w:cs="Arial"/>
          <w:szCs w:val="20"/>
        </w:rPr>
        <w:t>This carries what is known as the ‘hidden node’ problem where sensing is localised and therefore channel occupancy (or location even, in mobile implementations) at the receive end of links can’t be ascertained</w:t>
      </w:r>
      <w:r w:rsidR="00363C94">
        <w:rPr>
          <w:rFonts w:cs="Arial"/>
          <w:szCs w:val="20"/>
        </w:rPr>
        <w:t>—</w:t>
      </w:r>
      <w:r>
        <w:rPr>
          <w:rFonts w:cs="Arial"/>
          <w:szCs w:val="20"/>
        </w:rPr>
        <w:t xml:space="preserve">this can, in part at least, be mitigated by </w:t>
      </w:r>
      <w:r w:rsidR="00DD3B30">
        <w:rPr>
          <w:rFonts w:cs="Arial"/>
          <w:szCs w:val="20"/>
        </w:rPr>
        <w:t xml:space="preserve">deploying some form of </w:t>
      </w:r>
      <w:r>
        <w:rPr>
          <w:rFonts w:cs="Arial"/>
          <w:szCs w:val="20"/>
        </w:rPr>
        <w:t>knowledge base to devices.</w:t>
      </w:r>
    </w:p>
    <w:p w14:paraId="4A997E84" w14:textId="59D481CF" w:rsidR="005F295D" w:rsidRPr="00363C94" w:rsidRDefault="003A2117" w:rsidP="00091E83">
      <w:pPr>
        <w:pStyle w:val="Heading2"/>
      </w:pPr>
      <w:bookmarkStart w:id="25" w:name="_Toc16054645"/>
      <w:r w:rsidRPr="00363C94">
        <w:t>Geolocation/database</w:t>
      </w:r>
      <w:bookmarkEnd w:id="25"/>
      <w:r w:rsidRPr="00363C94">
        <w:t xml:space="preserve"> </w:t>
      </w:r>
      <w:bookmarkStart w:id="26" w:name="_Toc863368"/>
    </w:p>
    <w:p w14:paraId="2F6447C5" w14:textId="77777777" w:rsidR="007A15B0" w:rsidRDefault="007A15B0" w:rsidP="000D7782">
      <w:pPr>
        <w:pStyle w:val="BodySubHeader"/>
        <w:spacing w:before="120" w:after="120" w:line="240" w:lineRule="auto"/>
        <w:rPr>
          <w:b w:val="0"/>
          <w:i w:val="0"/>
        </w:rPr>
      </w:pPr>
      <w:r>
        <w:rPr>
          <w:b w:val="0"/>
          <w:i w:val="0"/>
        </w:rPr>
        <w:t xml:space="preserve">This is a well-established dynamic spectrum access model that involves the use of central databases that record individual device locations to manage access in a way that minimises interference to incumbent and (in some cases) other secondary access seeking users. </w:t>
      </w:r>
    </w:p>
    <w:p w14:paraId="3522295B" w14:textId="2368708F" w:rsidR="007A15B0" w:rsidRDefault="007A15B0" w:rsidP="000D7782">
      <w:pPr>
        <w:pStyle w:val="BodySubHeader"/>
        <w:spacing w:before="120" w:after="120" w:line="240" w:lineRule="auto"/>
        <w:rPr>
          <w:b w:val="0"/>
          <w:i w:val="0"/>
        </w:rPr>
      </w:pPr>
      <w:r>
        <w:rPr>
          <w:b w:val="0"/>
          <w:i w:val="0"/>
        </w:rPr>
        <w:t>Under a typical implementation of this model, a</w:t>
      </w:r>
      <w:r w:rsidRPr="00F3395E">
        <w:rPr>
          <w:b w:val="0"/>
          <w:i w:val="0"/>
        </w:rPr>
        <w:t xml:space="preserve"> database typically </w:t>
      </w:r>
      <w:r w:rsidR="00CD2EF2" w:rsidRPr="00F3395E">
        <w:rPr>
          <w:b w:val="0"/>
          <w:i w:val="0"/>
        </w:rPr>
        <w:t>holds</w:t>
      </w:r>
      <w:r w:rsidRPr="00F3395E">
        <w:rPr>
          <w:b w:val="0"/>
          <w:i w:val="0"/>
        </w:rPr>
        <w:t xml:space="preserve"> information </w:t>
      </w:r>
      <w:r>
        <w:rPr>
          <w:b w:val="0"/>
          <w:i w:val="0"/>
        </w:rPr>
        <w:t xml:space="preserve">pertaining to the location, operating parameters and protection requirements of </w:t>
      </w:r>
      <w:r w:rsidRPr="00F3395E">
        <w:rPr>
          <w:b w:val="0"/>
          <w:i w:val="0"/>
        </w:rPr>
        <w:t>incumbent services</w:t>
      </w:r>
      <w:r>
        <w:rPr>
          <w:b w:val="0"/>
          <w:i w:val="0"/>
        </w:rPr>
        <w:t>.</w:t>
      </w:r>
      <w:r w:rsidRPr="00F3395E">
        <w:rPr>
          <w:b w:val="0"/>
          <w:i w:val="0"/>
        </w:rPr>
        <w:t xml:space="preserve"> </w:t>
      </w:r>
      <w:r w:rsidRPr="006D7A17">
        <w:rPr>
          <w:b w:val="0"/>
          <w:i w:val="0"/>
        </w:rPr>
        <w:t xml:space="preserve">This information </w:t>
      </w:r>
      <w:r>
        <w:rPr>
          <w:b w:val="0"/>
          <w:i w:val="0"/>
        </w:rPr>
        <w:t xml:space="preserve">is referred to by prospective access seekers in determining which spectrum spaces could be accessed while meeting incumbent protection requirements.  </w:t>
      </w:r>
    </w:p>
    <w:p w14:paraId="03174EDE" w14:textId="621E86A8" w:rsidR="00F317D9" w:rsidRDefault="007A15B0" w:rsidP="000D7782">
      <w:pPr>
        <w:spacing w:before="120" w:after="120" w:line="240" w:lineRule="auto"/>
      </w:pPr>
      <w:r w:rsidRPr="00244B48">
        <w:lastRenderedPageBreak/>
        <w:t>Devices can dynamically modify their operating parameters to protect incumbent services, including manipulation of transmitter powers, operating frequencies, antenna steering/positioning etc.</w:t>
      </w:r>
    </w:p>
    <w:p w14:paraId="4249F8BE" w14:textId="0E439809" w:rsidR="00A76EF4" w:rsidRPr="00363C94" w:rsidRDefault="00A76EF4" w:rsidP="00091E83">
      <w:pPr>
        <w:pStyle w:val="Heading2"/>
      </w:pPr>
      <w:bookmarkStart w:id="27" w:name="_Toc16054646"/>
      <w:r w:rsidRPr="00363C94">
        <w:t>Decentralised access control</w:t>
      </w:r>
      <w:bookmarkEnd w:id="27"/>
    </w:p>
    <w:p w14:paraId="0EDCBB34" w14:textId="532265FF" w:rsidR="00315A9A" w:rsidRDefault="00A76EF4" w:rsidP="00A76EF4">
      <w:pPr>
        <w:pStyle w:val="BodySubHeader"/>
        <w:spacing w:before="120" w:after="120" w:line="240" w:lineRule="auto"/>
        <w:rPr>
          <w:b w:val="0"/>
          <w:i w:val="0"/>
        </w:rPr>
      </w:pPr>
      <w:r>
        <w:rPr>
          <w:b w:val="0"/>
          <w:i w:val="0"/>
        </w:rPr>
        <w:t xml:space="preserve">The use of databases, sensing networks and pre-emption arrangements assume some sort of central access controller, which may be either </w:t>
      </w:r>
      <w:r w:rsidR="00CC6405">
        <w:rPr>
          <w:b w:val="0"/>
          <w:i w:val="0"/>
        </w:rPr>
        <w:t>an</w:t>
      </w:r>
      <w:r>
        <w:rPr>
          <w:b w:val="0"/>
          <w:i w:val="0"/>
        </w:rPr>
        <w:t xml:space="preserve"> industry </w:t>
      </w:r>
      <w:r w:rsidR="00363C94">
        <w:rPr>
          <w:b w:val="0"/>
          <w:i w:val="0"/>
        </w:rPr>
        <w:t>third</w:t>
      </w:r>
      <w:r w:rsidR="00DE13E7">
        <w:rPr>
          <w:b w:val="0"/>
          <w:i w:val="0"/>
        </w:rPr>
        <w:t>-</w:t>
      </w:r>
      <w:r>
        <w:rPr>
          <w:b w:val="0"/>
          <w:i w:val="0"/>
        </w:rPr>
        <w:t xml:space="preserve">party provider or a government/regulatory function. This reflects the general trend of DSA considerations internationally, whereby governments prefer </w:t>
      </w:r>
      <w:r w:rsidR="00F75290">
        <w:rPr>
          <w:b w:val="0"/>
          <w:i w:val="0"/>
        </w:rPr>
        <w:t>a</w:t>
      </w:r>
      <w:r>
        <w:rPr>
          <w:b w:val="0"/>
          <w:i w:val="0"/>
        </w:rPr>
        <w:t xml:space="preserve"> ‘managed’ access regime over delegation of access decisions to the device level. Logically, this type of approach is most conducive to optimal interference management and spectrum efficiency. </w:t>
      </w:r>
    </w:p>
    <w:p w14:paraId="0B048E20" w14:textId="276D910F" w:rsidR="00F83130" w:rsidRDefault="00A76EF4" w:rsidP="00F83130">
      <w:pPr>
        <w:pStyle w:val="BodySubHeader"/>
        <w:spacing w:before="120" w:after="120" w:line="240" w:lineRule="auto"/>
        <w:rPr>
          <w:b w:val="0"/>
          <w:i w:val="0"/>
        </w:rPr>
      </w:pPr>
      <w:r>
        <w:rPr>
          <w:b w:val="0"/>
          <w:i w:val="0"/>
        </w:rPr>
        <w:t xml:space="preserve">Nonetheless consideration has </w:t>
      </w:r>
      <w:r w:rsidR="00315A9A">
        <w:rPr>
          <w:b w:val="0"/>
          <w:i w:val="0"/>
        </w:rPr>
        <w:t xml:space="preserve">previously </w:t>
      </w:r>
      <w:r>
        <w:rPr>
          <w:b w:val="0"/>
          <w:i w:val="0"/>
        </w:rPr>
        <w:t xml:space="preserve">been given to uncoordinated device-centric DSA </w:t>
      </w:r>
      <w:r w:rsidR="00315A9A">
        <w:rPr>
          <w:b w:val="0"/>
          <w:i w:val="0"/>
        </w:rPr>
        <w:t>technologies</w:t>
      </w:r>
      <w:r w:rsidR="00363C94" w:rsidRPr="00091E83">
        <w:rPr>
          <w:rFonts w:cs="Arial"/>
          <w:b w:val="0"/>
          <w:bCs/>
          <w:i w:val="0"/>
          <w:iCs/>
          <w:szCs w:val="20"/>
        </w:rPr>
        <w:t>—</w:t>
      </w:r>
      <w:r>
        <w:rPr>
          <w:b w:val="0"/>
          <w:i w:val="0"/>
        </w:rPr>
        <w:t>again</w:t>
      </w:r>
      <w:r w:rsidR="00DE13E7">
        <w:rPr>
          <w:b w:val="0"/>
          <w:i w:val="0"/>
        </w:rPr>
        <w:t>,</w:t>
      </w:r>
      <w:r>
        <w:rPr>
          <w:b w:val="0"/>
          <w:i w:val="0"/>
        </w:rPr>
        <w:t xml:space="preserve"> the abovementioned CRS concept in its purest form was initially </w:t>
      </w:r>
      <w:r w:rsidR="00315A9A">
        <w:rPr>
          <w:b w:val="0"/>
          <w:i w:val="0"/>
        </w:rPr>
        <w:t>an example of this approach. Such approaches might have merit in, say, LIPD frequency bands, where something like a ‘token passing’ access scheme between otherwise uncoordinated users (similar to a MANET and a blockchain in digital currency terms</w:t>
      </w:r>
      <w:r w:rsidR="00363C94" w:rsidRPr="00091E83">
        <w:rPr>
          <w:rFonts w:cs="Arial"/>
          <w:b w:val="0"/>
          <w:bCs/>
          <w:i w:val="0"/>
          <w:iCs/>
          <w:szCs w:val="20"/>
        </w:rPr>
        <w:t>—</w:t>
      </w:r>
      <w:r w:rsidR="00315A9A">
        <w:rPr>
          <w:b w:val="0"/>
          <w:i w:val="0"/>
        </w:rPr>
        <w:t xml:space="preserve">see example in the box below) might be a useful way of optimising access in a decentralised framework. </w:t>
      </w:r>
    </w:p>
    <w:p w14:paraId="3162A120" w14:textId="3B90153E" w:rsidR="0037281C" w:rsidRDefault="0037281C" w:rsidP="0037281C"/>
    <w:p w14:paraId="218BB22F" w14:textId="6B6F8A82" w:rsidR="004C4932" w:rsidRDefault="004C4932" w:rsidP="0037281C"/>
    <w:p w14:paraId="31217C29" w14:textId="6CA51020" w:rsidR="004C4932" w:rsidRDefault="004C4932" w:rsidP="0037281C"/>
    <w:p w14:paraId="136896A9" w14:textId="2E688EC3" w:rsidR="004C4932" w:rsidRDefault="004C4932" w:rsidP="0037281C"/>
    <w:p w14:paraId="7C399F9C" w14:textId="49AD1C88" w:rsidR="004C4932" w:rsidRDefault="004C4932" w:rsidP="0037281C"/>
    <w:p w14:paraId="112C66CD" w14:textId="6F706E55" w:rsidR="004C4932" w:rsidRDefault="004C4932" w:rsidP="0037281C"/>
    <w:p w14:paraId="4745A4FF" w14:textId="55D796B0" w:rsidR="004C4932" w:rsidRDefault="004C4932" w:rsidP="0037281C"/>
    <w:p w14:paraId="4ABCC5CA" w14:textId="46FCA6C8" w:rsidR="004C4932" w:rsidRDefault="004C4932" w:rsidP="0037281C"/>
    <w:p w14:paraId="65971CAC" w14:textId="7133E067" w:rsidR="004C4932" w:rsidRDefault="004C4932" w:rsidP="0037281C"/>
    <w:p w14:paraId="6E34BB2A" w14:textId="77FD1BE3" w:rsidR="004C4932" w:rsidRDefault="004C4932" w:rsidP="0037281C"/>
    <w:p w14:paraId="4423C761" w14:textId="2BA4AE14" w:rsidR="004C4932" w:rsidRDefault="004C4932" w:rsidP="0037281C"/>
    <w:p w14:paraId="67B706EF" w14:textId="7391FE93" w:rsidR="004C4932" w:rsidRDefault="004C4932" w:rsidP="0037281C"/>
    <w:p w14:paraId="42E041FE" w14:textId="30507907" w:rsidR="004C4932" w:rsidRDefault="004C4932" w:rsidP="0037281C"/>
    <w:p w14:paraId="1A3FCD86" w14:textId="1CBC4833" w:rsidR="004C4932" w:rsidRDefault="004C4932" w:rsidP="0037281C"/>
    <w:p w14:paraId="7E2AA10B" w14:textId="44711F01" w:rsidR="004C4932" w:rsidRDefault="004C4932" w:rsidP="0037281C"/>
    <w:p w14:paraId="42BF3484" w14:textId="3C4E8CE9" w:rsidR="004C4932" w:rsidRDefault="004C4932" w:rsidP="0037281C"/>
    <w:p w14:paraId="2C80A222" w14:textId="5DD8C3DF" w:rsidR="004C4932" w:rsidRDefault="004C4932" w:rsidP="0037281C"/>
    <w:p w14:paraId="5FDF33D4" w14:textId="10D4227C" w:rsidR="004C4932" w:rsidRDefault="004C4932" w:rsidP="0037281C"/>
    <w:p w14:paraId="766EEF0F" w14:textId="77777777" w:rsidR="004C4932" w:rsidRPr="00AA72BE" w:rsidRDefault="004C4932" w:rsidP="004C4932">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28" w:name="_Toc16054647"/>
      <w:r w:rsidRPr="00430B45">
        <w:lastRenderedPageBreak/>
        <w:t>Example</w:t>
      </w:r>
      <w:r>
        <w:t xml:space="preserve"> of a</w:t>
      </w:r>
      <w:r w:rsidRPr="00250B17">
        <w:t xml:space="preserve"> </w:t>
      </w:r>
      <w:r w:rsidRPr="00AA72BE">
        <w:t>decentralised</w:t>
      </w:r>
      <w:r w:rsidRPr="00250B17">
        <w:t xml:space="preserve"> DSA architecture: Application of b</w:t>
      </w:r>
      <w:r w:rsidRPr="00AA72BE">
        <w:t>lockchain</w:t>
      </w:r>
      <w:r w:rsidRPr="00250B17">
        <w:t>s</w:t>
      </w:r>
      <w:bookmarkEnd w:id="28"/>
      <w:r w:rsidRPr="00AA72BE">
        <w:t xml:space="preserve"> </w:t>
      </w:r>
    </w:p>
    <w:p w14:paraId="18D608EA" w14:textId="77777777" w:rsidR="004C4932" w:rsidRPr="00AA72BE" w:rsidRDefault="004C4932" w:rsidP="004C493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AA72BE">
        <w:t>At a high level, blockchains are mechanisms of creating artificial scarcity. It is a kind of distributed database or ledger, and a way to keep track of information shared among multiple parties. There is no single party to control this secure and decentralized form of database. This make</w:t>
      </w:r>
      <w:r>
        <w:t>s</w:t>
      </w:r>
      <w:r w:rsidRPr="00AA72BE">
        <w:t xml:space="preserve"> it different t</w:t>
      </w:r>
      <w:r>
        <w:t>o</w:t>
      </w:r>
      <w:r w:rsidRPr="00AA72BE">
        <w:t xml:space="preserve"> other dynamic spectrum access</w:t>
      </w:r>
      <w:r>
        <w:t>, such as</w:t>
      </w:r>
      <w:r w:rsidRPr="00AA72BE">
        <w:t xml:space="preserve"> TV white space </w:t>
      </w:r>
      <w:r>
        <w:t xml:space="preserve">which </w:t>
      </w:r>
      <w:r w:rsidRPr="00AA72BE">
        <w:t>require</w:t>
      </w:r>
      <w:r>
        <w:t>s</w:t>
      </w:r>
      <w:r w:rsidRPr="00AA72BE">
        <w:t xml:space="preserve"> trusting third parties to administer their database. This highlights the unique feature of blockchain as a dynamic distributed spectrum management</w:t>
      </w:r>
      <w:r>
        <w:t xml:space="preserve"> system</w:t>
      </w:r>
      <w:r w:rsidRPr="00AA72BE">
        <w:t xml:space="preserve"> requir</w:t>
      </w:r>
      <w:r>
        <w:t>ing</w:t>
      </w:r>
      <w:r w:rsidRPr="00AA72BE">
        <w:t xml:space="preserve"> a dynamic distributed database. </w:t>
      </w:r>
    </w:p>
    <w:p w14:paraId="6620B33A" w14:textId="77777777" w:rsidR="004C4932" w:rsidRPr="00AA72BE" w:rsidRDefault="004C4932" w:rsidP="004C493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AA72BE">
        <w:t xml:space="preserve">There are two primary types of distributed ledger networks: </w:t>
      </w:r>
      <w:r>
        <w:t>P</w:t>
      </w:r>
      <w:r w:rsidRPr="00AA72BE">
        <w:t>ublic and permissioned. In public (permission</w:t>
      </w:r>
      <w:r>
        <w:t>-</w:t>
      </w:r>
      <w:r w:rsidRPr="00AA72BE">
        <w:t>less) blockchain systems such as Bitcoin, anyone can join the network. Permissioned blockchains limit participation to identified users. While this restriction simplifies security and governance, it could make it easier for one or a small number of participants to exercise control.</w:t>
      </w:r>
    </w:p>
    <w:p w14:paraId="0F889715" w14:textId="77777777" w:rsidR="004C4932" w:rsidRPr="00AA72BE" w:rsidRDefault="004C4932" w:rsidP="004C4932">
      <w:pPr>
        <w:pBdr>
          <w:top w:val="single" w:sz="4" w:space="1" w:color="auto"/>
          <w:left w:val="single" w:sz="4" w:space="4" w:color="auto"/>
          <w:bottom w:val="single" w:sz="4" w:space="1" w:color="auto"/>
          <w:right w:val="single" w:sz="4" w:space="4" w:color="auto"/>
        </w:pBdr>
        <w:shd w:val="clear" w:color="auto" w:fill="F2F2F2" w:themeFill="background1" w:themeFillShade="F2"/>
        <w:spacing w:after="80"/>
      </w:pPr>
      <w:r w:rsidRPr="00AA72BE">
        <w:t>The potential for blockchains to be applied to dynamic spectrum access has recently become a topic of interest. Four primary categories of shared access might be considered:</w:t>
      </w:r>
    </w:p>
    <w:p w14:paraId="0618C066" w14:textId="77777777" w:rsidR="004C4932" w:rsidRPr="00AA72BE" w:rsidRDefault="004C4932" w:rsidP="004C4932">
      <w:pPr>
        <w:pStyle w:val="ListBullet"/>
        <w:pBdr>
          <w:top w:val="single" w:sz="4" w:space="1" w:color="auto"/>
          <w:left w:val="single" w:sz="4" w:space="4" w:color="auto"/>
          <w:bottom w:val="single" w:sz="4" w:space="1" w:color="auto"/>
          <w:right w:val="single" w:sz="4" w:space="4" w:color="auto"/>
        </w:pBdr>
        <w:shd w:val="clear" w:color="auto" w:fill="F2F2F2" w:themeFill="background1" w:themeFillShade="F2"/>
      </w:pPr>
      <w:r w:rsidRPr="00AA72BE">
        <w:t>unlicensed (primary non-cooperative)</w:t>
      </w:r>
    </w:p>
    <w:p w14:paraId="7E99AC44" w14:textId="77777777" w:rsidR="004C4932" w:rsidRPr="00AA72BE" w:rsidRDefault="004C4932" w:rsidP="004C4932">
      <w:pPr>
        <w:pStyle w:val="ListBullet"/>
        <w:pBdr>
          <w:top w:val="single" w:sz="4" w:space="1" w:color="auto"/>
          <w:left w:val="single" w:sz="4" w:space="4" w:color="auto"/>
          <w:bottom w:val="single" w:sz="4" w:space="1" w:color="auto"/>
          <w:right w:val="single" w:sz="4" w:space="4" w:color="auto"/>
        </w:pBdr>
        <w:shd w:val="clear" w:color="auto" w:fill="F2F2F2" w:themeFill="background1" w:themeFillShade="F2"/>
      </w:pPr>
      <w:r w:rsidRPr="00AA72BE">
        <w:t>secondary markets (primary cooperative)</w:t>
      </w:r>
    </w:p>
    <w:p w14:paraId="6872BB24" w14:textId="77777777" w:rsidR="004C4932" w:rsidRPr="00AA72BE" w:rsidRDefault="004C4932" w:rsidP="004C4932">
      <w:pPr>
        <w:pStyle w:val="ListBullet"/>
        <w:pBdr>
          <w:top w:val="single" w:sz="4" w:space="1" w:color="auto"/>
          <w:left w:val="single" w:sz="4" w:space="4" w:color="auto"/>
          <w:bottom w:val="single" w:sz="4" w:space="1" w:color="auto"/>
          <w:right w:val="single" w:sz="4" w:space="4" w:color="auto"/>
        </w:pBdr>
        <w:shd w:val="clear" w:color="auto" w:fill="F2F2F2" w:themeFill="background1" w:themeFillShade="F2"/>
      </w:pPr>
      <w:r w:rsidRPr="00AA72BE">
        <w:t>opportunistic (secondary non-cooperative</w:t>
      </w:r>
      <w:r>
        <w:t>)</w:t>
      </w:r>
    </w:p>
    <w:p w14:paraId="14823976" w14:textId="77777777" w:rsidR="004C4932" w:rsidRPr="00AA72BE" w:rsidRDefault="004C4932" w:rsidP="004C4932">
      <w:pPr>
        <w:pStyle w:val="ListBulletLast"/>
        <w:pBdr>
          <w:top w:val="single" w:sz="4" w:space="1" w:color="auto"/>
          <w:left w:val="single" w:sz="4" w:space="4" w:color="auto"/>
          <w:bottom w:val="single" w:sz="4" w:space="1" w:color="auto"/>
          <w:right w:val="single" w:sz="4" w:space="4" w:color="auto"/>
        </w:pBdr>
        <w:shd w:val="clear" w:color="auto" w:fill="F2F2F2" w:themeFill="background1" w:themeFillShade="F2"/>
      </w:pPr>
      <w:r w:rsidRPr="00AA72BE">
        <w:t>cooperative sharing (secondary cooperative).</w:t>
      </w:r>
    </w:p>
    <w:p w14:paraId="62E30E20" w14:textId="77777777" w:rsidR="004C4932" w:rsidRPr="00AA72BE" w:rsidRDefault="004C4932" w:rsidP="004C493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AA72BE">
        <w:t xml:space="preserve">The term </w:t>
      </w:r>
      <w:r>
        <w:t>‘</w:t>
      </w:r>
      <w:r w:rsidRPr="00AA72BE">
        <w:t>primary sharing</w:t>
      </w:r>
      <w:r>
        <w:t>’</w:t>
      </w:r>
      <w:r w:rsidRPr="00AA72BE">
        <w:t xml:space="preserve"> in this case means that all users have equivalent rights to access the spectrum, as is the case, for example, in unlicensed bands (or in Australia, bands listed in the LIPD class licence). In contrast, a secondary sharing regime implies a hierarchy of rights, where incumbents/primary users have superior rights to spectrum entrants/secondary users. TV white spaces, CBRS and LSA are </w:t>
      </w:r>
      <w:r w:rsidRPr="00FA0CD0">
        <w:t>all examples</w:t>
      </w:r>
      <w:r w:rsidRPr="00AA72BE">
        <w:t xml:space="preserve"> of this kind of rights</w:t>
      </w:r>
      <w:r>
        <w:t xml:space="preserve">-based </w:t>
      </w:r>
      <w:r w:rsidRPr="00AA72BE">
        <w:t>relationship. Cooperative sharing means that ex ante agreements have been struck between the sharing parties regarding sharing. Secondary markets that involve voluntary exchange can be thought of as cooperative sharing. Finally, in non-cooperative sharing, users do not coordinate their use ex ante.</w:t>
      </w:r>
      <w:r>
        <w:t xml:space="preserve"> Whether a</w:t>
      </w:r>
      <w:r w:rsidRPr="00AA72BE">
        <w:t xml:space="preserve"> public or permissioned distributed ledge</w:t>
      </w:r>
      <w:r>
        <w:t xml:space="preserve">r is used might </w:t>
      </w:r>
      <w:r w:rsidRPr="00AA72BE">
        <w:t>depend which of the above sharing scenarios are sought.</w:t>
      </w:r>
    </w:p>
    <w:p w14:paraId="3BA1CC8C" w14:textId="77777777" w:rsidR="004C4932" w:rsidRPr="00AA72BE" w:rsidRDefault="004C4932" w:rsidP="004C4932">
      <w:pPr>
        <w:pBdr>
          <w:top w:val="single" w:sz="4" w:space="1" w:color="auto"/>
          <w:left w:val="single" w:sz="4" w:space="4" w:color="auto"/>
          <w:bottom w:val="single" w:sz="4" w:space="1" w:color="auto"/>
          <w:right w:val="single" w:sz="4" w:space="4" w:color="auto"/>
        </w:pBdr>
        <w:shd w:val="clear" w:color="auto" w:fill="F2F2F2" w:themeFill="background1" w:themeFillShade="F2"/>
      </w:pPr>
      <w:r>
        <w:t>In France, the</w:t>
      </w:r>
      <w:r w:rsidRPr="00AA72BE">
        <w:t xml:space="preserve"> </w:t>
      </w:r>
      <w:proofErr w:type="spellStart"/>
      <w:r w:rsidRPr="00AA72BE">
        <w:t>Agence</w:t>
      </w:r>
      <w:proofErr w:type="spellEnd"/>
      <w:r w:rsidRPr="00AA72BE">
        <w:t xml:space="preserve"> National des </w:t>
      </w:r>
      <w:proofErr w:type="spellStart"/>
      <w:r w:rsidRPr="00AA72BE">
        <w:t>Fréquences</w:t>
      </w:r>
      <w:proofErr w:type="spellEnd"/>
      <w:r w:rsidRPr="00AA72BE">
        <w:t xml:space="preserve"> (ANFR) </w:t>
      </w:r>
      <w:r>
        <w:t>commenced</w:t>
      </w:r>
      <w:r w:rsidRPr="00AA72BE">
        <w:t xml:space="preserve"> a trial </w:t>
      </w:r>
      <w:r>
        <w:t xml:space="preserve">of </w:t>
      </w:r>
      <w:r w:rsidRPr="00AA72BE">
        <w:t>blockchain</w:t>
      </w:r>
      <w:r>
        <w:t xml:space="preserve"> for spectrum management</w:t>
      </w:r>
      <w:r w:rsidRPr="00AA72BE">
        <w:t xml:space="preserve"> in late</w:t>
      </w:r>
      <w:r>
        <w:t>-</w:t>
      </w:r>
      <w:r w:rsidRPr="00AA72BE">
        <w:t xml:space="preserve">2018 </w:t>
      </w:r>
      <w:r>
        <w:t>with the aim of</w:t>
      </w:r>
      <w:r w:rsidRPr="00AA72BE">
        <w:t xml:space="preserve"> understand</w:t>
      </w:r>
      <w:r>
        <w:t>ing</w:t>
      </w:r>
      <w:r w:rsidRPr="00AA72BE">
        <w:t xml:space="preserve"> the opportunities and risks of </w:t>
      </w:r>
      <w:r>
        <w:t>embedding this approach in</w:t>
      </w:r>
      <w:r w:rsidRPr="00AA72BE">
        <w:t xml:space="preserve"> new </w:t>
      </w:r>
      <w:r>
        <w:t>access technologies</w:t>
      </w:r>
      <w:r w:rsidRPr="00AA72BE">
        <w:t xml:space="preserve">. </w:t>
      </w:r>
      <w:r>
        <w:t>T</w:t>
      </w:r>
      <w:r w:rsidRPr="00AA72BE">
        <w:t>he scope of th</w:t>
      </w:r>
      <w:r>
        <w:t>is</w:t>
      </w:r>
      <w:r w:rsidRPr="00AA72BE">
        <w:t xml:space="preserve"> project </w:t>
      </w:r>
      <w:r>
        <w:t xml:space="preserve">was limited </w:t>
      </w:r>
      <w:r w:rsidRPr="00AA72BE">
        <w:t>to frequency bands that can be used without authorisation, such as the 2.4 GHz and 5 GHz bands and bands between 470 MHz and 789 MHz that are used for short-range devices such as wireless microphones</w:t>
      </w:r>
      <w:r>
        <w:t xml:space="preserve"> in Europe</w:t>
      </w:r>
      <w:r w:rsidRPr="00AA72BE">
        <w:t xml:space="preserve">. They utilised a permissioned ledger rather the public version of blockchain. </w:t>
      </w:r>
    </w:p>
    <w:p w14:paraId="43D5718B" w14:textId="51516B59" w:rsidR="00AA72BE" w:rsidRDefault="00AA72BE" w:rsidP="00325A99">
      <w:pPr>
        <w:pStyle w:val="Heading2"/>
      </w:pPr>
      <w:bookmarkStart w:id="29" w:name="_Toc16054648"/>
      <w:r>
        <w:t xml:space="preserve">Regulatory </w:t>
      </w:r>
      <w:r w:rsidRPr="00363C94">
        <w:t>considerations</w:t>
      </w:r>
      <w:bookmarkEnd w:id="29"/>
    </w:p>
    <w:p w14:paraId="6E71BEDB" w14:textId="77777777" w:rsidR="00AA72BE" w:rsidRDefault="00AA72BE" w:rsidP="00AA72BE">
      <w:pPr>
        <w:spacing w:before="120" w:after="120" w:line="240" w:lineRule="auto"/>
        <w:rPr>
          <w:rFonts w:cs="Arial"/>
          <w:szCs w:val="20"/>
        </w:rPr>
      </w:pPr>
      <w:r>
        <w:rPr>
          <w:rFonts w:cs="Arial"/>
          <w:szCs w:val="20"/>
        </w:rPr>
        <w:t>Dynamic access informed by spectrum sensing</w:t>
      </w:r>
      <w:r w:rsidRPr="008B77DA">
        <w:rPr>
          <w:rFonts w:cs="Arial"/>
          <w:szCs w:val="20"/>
        </w:rPr>
        <w:t xml:space="preserve"> </w:t>
      </w:r>
      <w:r>
        <w:rPr>
          <w:rFonts w:cs="Arial"/>
          <w:szCs w:val="20"/>
        </w:rPr>
        <w:t>carries with it</w:t>
      </w:r>
      <w:r w:rsidRPr="008B77DA">
        <w:rPr>
          <w:rFonts w:cs="Arial"/>
          <w:szCs w:val="20"/>
        </w:rPr>
        <w:t xml:space="preserve"> a range of regulatory considerations.</w:t>
      </w:r>
      <w:r>
        <w:rPr>
          <w:rFonts w:cs="Arial"/>
          <w:szCs w:val="20"/>
        </w:rPr>
        <w:t xml:space="preserve"> As secondary devices will (presumably) access parts of spectrum that are licensed, there are challenges for spectrum managers on how to manage secondary access at a regulatory level. For example, in Australia, frequency bands that have been designated for spectrum licensing are subject to very prescriptive legislative provisions and constraints regarding access by non-licensed users. </w:t>
      </w:r>
    </w:p>
    <w:p w14:paraId="1CB3BDD7" w14:textId="77777777" w:rsidR="00AA72BE" w:rsidRDefault="00AA72BE" w:rsidP="00AA72BE">
      <w:pPr>
        <w:spacing w:before="120" w:after="120" w:line="240" w:lineRule="auto"/>
        <w:rPr>
          <w:rFonts w:cs="Arial"/>
          <w:szCs w:val="20"/>
        </w:rPr>
      </w:pPr>
      <w:r>
        <w:rPr>
          <w:rFonts w:cs="Arial"/>
          <w:szCs w:val="20"/>
        </w:rPr>
        <w:t xml:space="preserve">Regulations that facilitate secondary access necessarily need to consider the heterogeneity of the status of different frequency bands and licensing constructs. Failure to do so can result in a risk of causing harmful interference to primary or </w:t>
      </w:r>
      <w:r>
        <w:rPr>
          <w:rFonts w:cs="Arial"/>
          <w:szCs w:val="20"/>
        </w:rPr>
        <w:lastRenderedPageBreak/>
        <w:t xml:space="preserve">licensed spectrum users at a practical level, or compliance action and/or legal recourse at a regulatory level. </w:t>
      </w:r>
    </w:p>
    <w:p w14:paraId="36869256" w14:textId="77777777" w:rsidR="00AA72BE" w:rsidRDefault="00AA72BE" w:rsidP="00AA72BE">
      <w:pPr>
        <w:spacing w:before="120" w:after="120" w:line="240" w:lineRule="auto"/>
        <w:rPr>
          <w:rFonts w:cs="Arial"/>
          <w:szCs w:val="20"/>
        </w:rPr>
      </w:pPr>
      <w:r>
        <w:rPr>
          <w:rFonts w:cs="Arial"/>
          <w:szCs w:val="20"/>
        </w:rPr>
        <w:t xml:space="preserve">For example, if a second-tier device occupies a channel that is accessed by a primary incumbent licensed user on an occasional basis, the model must ensure that that device vacates spectrum in a timely manner when the incumbent seeks to access that channel. </w:t>
      </w:r>
    </w:p>
    <w:p w14:paraId="63A8ADAE" w14:textId="05B4DD52" w:rsidR="00AA72BE" w:rsidRPr="00AD6616" w:rsidRDefault="00363C94" w:rsidP="00AA72BE">
      <w:pPr>
        <w:spacing w:before="120" w:after="120" w:line="240" w:lineRule="auto"/>
        <w:rPr>
          <w:rFonts w:cs="Arial"/>
          <w:szCs w:val="20"/>
        </w:rPr>
      </w:pPr>
      <w:r>
        <w:rPr>
          <w:rFonts w:cs="Arial"/>
          <w:szCs w:val="20"/>
        </w:rPr>
        <w:t>So,</w:t>
      </w:r>
      <w:r w:rsidR="00AA72BE">
        <w:rPr>
          <w:rFonts w:cs="Arial"/>
          <w:szCs w:val="20"/>
        </w:rPr>
        <w:t xml:space="preserve"> there is a clear role for regulation in setting up these processes</w:t>
      </w:r>
      <w:r w:rsidR="00444032">
        <w:rPr>
          <w:rFonts w:cs="Arial"/>
          <w:szCs w:val="20"/>
        </w:rPr>
        <w:t>. I</w:t>
      </w:r>
      <w:r w:rsidR="00AA72BE">
        <w:rPr>
          <w:rFonts w:cs="Arial"/>
          <w:szCs w:val="20"/>
        </w:rPr>
        <w:t xml:space="preserve">f implemented well, there is an opportunity to reduce the ongoing spectrum management burden for regulators. For example, DSA could in some cases render regulators’ frequency assignment and coordination roles redundant if the DSA technology </w:t>
      </w:r>
      <w:r>
        <w:rPr>
          <w:rFonts w:cs="Arial"/>
          <w:szCs w:val="20"/>
        </w:rPr>
        <w:t>can perform</w:t>
      </w:r>
      <w:r w:rsidR="00AA72BE">
        <w:rPr>
          <w:rFonts w:cs="Arial"/>
          <w:szCs w:val="20"/>
        </w:rPr>
        <w:t xml:space="preserve"> this function adequately. Spectrum sensing capabilities, for example, may dynamically take the place of traditionally static coordination processes, or operational databases could, if appropriate, act as a proxy for, or supplement to, or static knowledge bases such as the </w:t>
      </w:r>
      <w:r w:rsidR="00AA72BE" w:rsidRPr="00325A99">
        <w:rPr>
          <w:rFonts w:cs="Arial"/>
          <w:iCs/>
          <w:szCs w:val="20"/>
        </w:rPr>
        <w:t>register of radiocommunications licences</w:t>
      </w:r>
      <w:r w:rsidR="00AA72BE">
        <w:rPr>
          <w:rFonts w:cs="Arial"/>
          <w:szCs w:val="20"/>
        </w:rPr>
        <w:t>.</w:t>
      </w:r>
    </w:p>
    <w:p w14:paraId="229137C5" w14:textId="2A1903DF" w:rsidR="00036A66" w:rsidRPr="00036A66" w:rsidRDefault="00036A66" w:rsidP="000D7782">
      <w:pPr>
        <w:spacing w:before="120" w:after="120" w:line="240" w:lineRule="auto"/>
      </w:pPr>
    </w:p>
    <w:p w14:paraId="0C0E2774" w14:textId="77777777" w:rsidR="00036A66" w:rsidRDefault="00036A66" w:rsidP="000D7782">
      <w:pPr>
        <w:pStyle w:val="BodySubHeader"/>
        <w:spacing w:before="120" w:after="120" w:line="240" w:lineRule="auto"/>
        <w:rPr>
          <w:b w:val="0"/>
          <w:i w:val="0"/>
        </w:rPr>
      </w:pPr>
    </w:p>
    <w:p w14:paraId="38CAB393" w14:textId="069B4658" w:rsidR="00DE28E5" w:rsidRPr="00363C94" w:rsidRDefault="00DE28E5" w:rsidP="00325A99">
      <w:pPr>
        <w:pStyle w:val="Heading1"/>
      </w:pPr>
      <w:bookmarkStart w:id="30" w:name="_Toc16054649"/>
      <w:bookmarkEnd w:id="26"/>
      <w:r w:rsidRPr="00363C94">
        <w:lastRenderedPageBreak/>
        <w:t xml:space="preserve">International </w:t>
      </w:r>
      <w:r w:rsidR="00363C94" w:rsidRPr="00363C94">
        <w:t>d</w:t>
      </w:r>
      <w:r w:rsidRPr="00363C94">
        <w:t>evelopments</w:t>
      </w:r>
      <w:bookmarkEnd w:id="30"/>
    </w:p>
    <w:p w14:paraId="20352068" w14:textId="2980759C" w:rsidR="0096017B" w:rsidRDefault="007D6D83" w:rsidP="000D7782">
      <w:pPr>
        <w:spacing w:before="120" w:after="120" w:line="240" w:lineRule="auto"/>
        <w:rPr>
          <w:rFonts w:cs="Arial"/>
          <w:szCs w:val="20"/>
        </w:rPr>
      </w:pPr>
      <w:r>
        <w:rPr>
          <w:rFonts w:cs="Arial"/>
          <w:szCs w:val="20"/>
        </w:rPr>
        <w:t>This chapter describes</w:t>
      </w:r>
      <w:r w:rsidR="00AB1F98">
        <w:rPr>
          <w:rFonts w:cs="Arial"/>
          <w:szCs w:val="20"/>
        </w:rPr>
        <w:t xml:space="preserve"> sharing initiatives that are being, or have been, considered or implemented internationally, either by </w:t>
      </w:r>
      <w:r w:rsidR="00300F18">
        <w:rPr>
          <w:rFonts w:cs="Arial"/>
          <w:szCs w:val="20"/>
        </w:rPr>
        <w:t xml:space="preserve">individual administrations or regional bodies. </w:t>
      </w:r>
      <w:r w:rsidR="00590105">
        <w:rPr>
          <w:rFonts w:cs="Arial"/>
          <w:szCs w:val="20"/>
        </w:rPr>
        <w:t xml:space="preserve">While </w:t>
      </w:r>
      <w:r w:rsidR="009043B8">
        <w:rPr>
          <w:rFonts w:cs="Arial"/>
          <w:szCs w:val="20"/>
        </w:rPr>
        <w:t xml:space="preserve">these </w:t>
      </w:r>
      <w:r w:rsidR="00844C90">
        <w:rPr>
          <w:rFonts w:cs="Arial"/>
          <w:szCs w:val="20"/>
        </w:rPr>
        <w:t>initiatives</w:t>
      </w:r>
      <w:r w:rsidR="009043B8">
        <w:rPr>
          <w:rFonts w:cs="Arial"/>
          <w:szCs w:val="20"/>
        </w:rPr>
        <w:t xml:space="preserve"> may</w:t>
      </w:r>
      <w:r w:rsidR="00590105">
        <w:rPr>
          <w:rFonts w:cs="Arial"/>
          <w:szCs w:val="20"/>
        </w:rPr>
        <w:t xml:space="preserve"> differ significantly to </w:t>
      </w:r>
      <w:r w:rsidR="009043B8">
        <w:rPr>
          <w:rFonts w:cs="Arial"/>
          <w:szCs w:val="20"/>
        </w:rPr>
        <w:t>options that might be contemplated</w:t>
      </w:r>
      <w:r w:rsidR="00590105">
        <w:rPr>
          <w:rFonts w:cs="Arial"/>
          <w:szCs w:val="20"/>
        </w:rPr>
        <w:t xml:space="preserve"> in Australia, the sharing frameworks that have been developed can </w:t>
      </w:r>
      <w:r w:rsidR="00BD1ED7">
        <w:rPr>
          <w:rFonts w:cs="Arial"/>
          <w:szCs w:val="20"/>
        </w:rPr>
        <w:t xml:space="preserve">help </w:t>
      </w:r>
      <w:r w:rsidR="00590105">
        <w:rPr>
          <w:rFonts w:cs="Arial"/>
          <w:szCs w:val="20"/>
        </w:rPr>
        <w:t>inform domestic considerations.</w:t>
      </w:r>
    </w:p>
    <w:p w14:paraId="685C0852" w14:textId="02449936" w:rsidR="006B2138" w:rsidRPr="00363C94" w:rsidRDefault="006B2138" w:rsidP="00325A99">
      <w:pPr>
        <w:pStyle w:val="Heading2"/>
      </w:pPr>
      <w:bookmarkStart w:id="31" w:name="_Toc16054650"/>
      <w:r w:rsidRPr="00363C94">
        <w:t>Regional bodies</w:t>
      </w:r>
      <w:bookmarkEnd w:id="31"/>
    </w:p>
    <w:p w14:paraId="2DB81F09" w14:textId="77777777" w:rsidR="006B2138" w:rsidRPr="00363C94" w:rsidRDefault="006B2138" w:rsidP="00325A99">
      <w:pPr>
        <w:pStyle w:val="Heading3"/>
      </w:pPr>
      <w:bookmarkStart w:id="32" w:name="_Toc16054651"/>
      <w:r w:rsidRPr="00363C94">
        <w:t>European Conference of Postal and Telecommunications Administrations (CEPT)</w:t>
      </w:r>
      <w:bookmarkEnd w:id="32"/>
    </w:p>
    <w:p w14:paraId="0B8B6FAB" w14:textId="77777777" w:rsidR="006B2138" w:rsidRPr="00FD2CD1" w:rsidRDefault="006B2138" w:rsidP="000D7782">
      <w:pPr>
        <w:spacing w:before="120" w:after="120" w:line="240" w:lineRule="auto"/>
        <w:rPr>
          <w:rFonts w:cs="Arial"/>
          <w:szCs w:val="20"/>
        </w:rPr>
      </w:pPr>
      <w:r w:rsidRPr="00FD2CD1">
        <w:rPr>
          <w:rFonts w:cs="Arial"/>
          <w:szCs w:val="20"/>
        </w:rPr>
        <w:t xml:space="preserve">In February 2014, </w:t>
      </w:r>
      <w:r>
        <w:rPr>
          <w:rFonts w:cs="Arial"/>
          <w:szCs w:val="20"/>
        </w:rPr>
        <w:t>CEPT’s</w:t>
      </w:r>
      <w:r w:rsidRPr="00FD2CD1">
        <w:rPr>
          <w:rFonts w:cs="Arial"/>
          <w:szCs w:val="20"/>
        </w:rPr>
        <w:t xml:space="preserve"> Electronic Communications Committee (ECC) published </w:t>
      </w:r>
      <w:r w:rsidRPr="00DE13E7">
        <w:rPr>
          <w:rFonts w:cs="Arial"/>
          <w:szCs w:val="20"/>
        </w:rPr>
        <w:t xml:space="preserve">ECC </w:t>
      </w:r>
      <w:r w:rsidRPr="00DE13E7">
        <w:rPr>
          <w:rFonts w:cs="Arial"/>
        </w:rPr>
        <w:t>Report 205</w:t>
      </w:r>
      <w:r>
        <w:rPr>
          <w:rStyle w:val="FootnoteReference"/>
          <w:rFonts w:cs="Arial"/>
        </w:rPr>
        <w:footnoteReference w:id="7"/>
      </w:r>
      <w:r>
        <w:rPr>
          <w:rFonts w:cs="Arial"/>
        </w:rPr>
        <w:t xml:space="preserve"> </w:t>
      </w:r>
      <w:r w:rsidRPr="00FD2CD1">
        <w:rPr>
          <w:rFonts w:cs="Arial"/>
          <w:szCs w:val="20"/>
        </w:rPr>
        <w:t xml:space="preserve">on </w:t>
      </w:r>
      <w:r>
        <w:rPr>
          <w:rFonts w:cs="Arial"/>
          <w:szCs w:val="20"/>
        </w:rPr>
        <w:t>LSA in Europe</w:t>
      </w:r>
      <w:r w:rsidRPr="00FD2CD1">
        <w:rPr>
          <w:rFonts w:cs="Arial"/>
          <w:szCs w:val="20"/>
        </w:rPr>
        <w:t xml:space="preserve">. This </w:t>
      </w:r>
      <w:r>
        <w:rPr>
          <w:rFonts w:cs="Arial"/>
          <w:szCs w:val="20"/>
        </w:rPr>
        <w:t>report</w:t>
      </w:r>
      <w:r w:rsidRPr="00FD2CD1">
        <w:rPr>
          <w:rFonts w:cs="Arial"/>
          <w:szCs w:val="20"/>
        </w:rPr>
        <w:t xml:space="preserve"> set out rules </w:t>
      </w:r>
      <w:r>
        <w:rPr>
          <w:rFonts w:cs="Arial"/>
          <w:szCs w:val="20"/>
        </w:rPr>
        <w:t>and</w:t>
      </w:r>
      <w:r w:rsidRPr="00FD2CD1">
        <w:rPr>
          <w:rFonts w:cs="Arial"/>
          <w:szCs w:val="20"/>
        </w:rPr>
        <w:t xml:space="preserve"> conditions for sharing </w:t>
      </w:r>
      <w:r>
        <w:rPr>
          <w:rFonts w:cs="Arial"/>
          <w:szCs w:val="20"/>
        </w:rPr>
        <w:t xml:space="preserve">between prospective and </w:t>
      </w:r>
      <w:r w:rsidRPr="00FD2CD1">
        <w:rPr>
          <w:rFonts w:cs="Arial"/>
          <w:szCs w:val="20"/>
        </w:rPr>
        <w:t>incumbent user</w:t>
      </w:r>
      <w:r>
        <w:rPr>
          <w:rFonts w:cs="Arial"/>
          <w:szCs w:val="20"/>
        </w:rPr>
        <w:t>s based on</w:t>
      </w:r>
      <w:r w:rsidRPr="00FD2CD1">
        <w:rPr>
          <w:rFonts w:cs="Arial"/>
          <w:szCs w:val="20"/>
        </w:rPr>
        <w:t xml:space="preserve"> technical and operational </w:t>
      </w:r>
      <w:r>
        <w:rPr>
          <w:rFonts w:cs="Arial"/>
          <w:szCs w:val="20"/>
        </w:rPr>
        <w:t>characteristics</w:t>
      </w:r>
      <w:r w:rsidRPr="00FD2CD1">
        <w:rPr>
          <w:rFonts w:cs="Arial"/>
          <w:szCs w:val="20"/>
        </w:rPr>
        <w:t xml:space="preserve">. </w:t>
      </w:r>
      <w:r>
        <w:rPr>
          <w:rFonts w:cs="Arial"/>
          <w:szCs w:val="20"/>
        </w:rPr>
        <w:t xml:space="preserve">Under this proposal, all </w:t>
      </w:r>
      <w:r w:rsidRPr="00FD2CD1">
        <w:rPr>
          <w:rFonts w:cs="Arial"/>
          <w:szCs w:val="20"/>
        </w:rPr>
        <w:t xml:space="preserve">parties </w:t>
      </w:r>
      <w:r>
        <w:rPr>
          <w:rFonts w:cs="Arial"/>
          <w:szCs w:val="20"/>
        </w:rPr>
        <w:t xml:space="preserve">currently afforded or seeking access would need </w:t>
      </w:r>
      <w:r w:rsidRPr="00FD2CD1">
        <w:rPr>
          <w:rFonts w:cs="Arial"/>
          <w:szCs w:val="20"/>
        </w:rPr>
        <w:t xml:space="preserve">to be licensed before shared access to the band </w:t>
      </w:r>
      <w:r>
        <w:rPr>
          <w:rFonts w:cs="Arial"/>
          <w:szCs w:val="20"/>
        </w:rPr>
        <w:t>would be</w:t>
      </w:r>
      <w:r w:rsidRPr="00FD2CD1">
        <w:rPr>
          <w:rFonts w:cs="Arial"/>
          <w:szCs w:val="20"/>
        </w:rPr>
        <w:t xml:space="preserve"> permitted. </w:t>
      </w:r>
    </w:p>
    <w:p w14:paraId="7F47ACF6" w14:textId="77777777" w:rsidR="006B2138" w:rsidRPr="00FD2CD1" w:rsidRDefault="006B2138" w:rsidP="000D7782">
      <w:pPr>
        <w:spacing w:before="120" w:after="120" w:line="240" w:lineRule="auto"/>
        <w:rPr>
          <w:rFonts w:cs="Arial"/>
          <w:szCs w:val="20"/>
        </w:rPr>
      </w:pPr>
      <w:r w:rsidRPr="00FD2CD1">
        <w:rPr>
          <w:rFonts w:cs="Arial"/>
          <w:szCs w:val="20"/>
        </w:rPr>
        <w:t xml:space="preserve">The document highlighted </w:t>
      </w:r>
      <w:r>
        <w:rPr>
          <w:rFonts w:cs="Arial"/>
          <w:szCs w:val="20"/>
        </w:rPr>
        <w:t xml:space="preserve">that </w:t>
      </w:r>
      <w:r w:rsidRPr="00FD2CD1">
        <w:rPr>
          <w:rFonts w:cs="Arial"/>
          <w:szCs w:val="20"/>
        </w:rPr>
        <w:t xml:space="preserve">licensees </w:t>
      </w:r>
      <w:r>
        <w:rPr>
          <w:rFonts w:cs="Arial"/>
          <w:szCs w:val="20"/>
        </w:rPr>
        <w:t>require a degree of certainty of sp</w:t>
      </w:r>
      <w:r w:rsidRPr="00FD2CD1">
        <w:rPr>
          <w:rFonts w:cs="Arial"/>
          <w:szCs w:val="20"/>
        </w:rPr>
        <w:t xml:space="preserve">ectrum access in order to </w:t>
      </w:r>
      <w:r>
        <w:rPr>
          <w:rFonts w:cs="Arial"/>
          <w:szCs w:val="20"/>
        </w:rPr>
        <w:t>provide incentives</w:t>
      </w:r>
      <w:r w:rsidRPr="00FD2CD1">
        <w:rPr>
          <w:rFonts w:cs="Arial"/>
          <w:szCs w:val="20"/>
        </w:rPr>
        <w:t xml:space="preserve"> and secure investments in network and equipment. </w:t>
      </w:r>
    </w:p>
    <w:p w14:paraId="7BC36242" w14:textId="486A60A9" w:rsidR="006B2138" w:rsidRDefault="006B2138" w:rsidP="000D7782">
      <w:pPr>
        <w:spacing w:before="120" w:after="120" w:line="240" w:lineRule="auto"/>
        <w:rPr>
          <w:rFonts w:cs="Arial"/>
          <w:szCs w:val="20"/>
        </w:rPr>
      </w:pPr>
      <w:r>
        <w:rPr>
          <w:rFonts w:cs="Arial"/>
          <w:szCs w:val="20"/>
        </w:rPr>
        <w:t>F</w:t>
      </w:r>
      <w:r w:rsidRPr="00FD2CD1">
        <w:rPr>
          <w:rFonts w:cs="Arial"/>
          <w:szCs w:val="20"/>
        </w:rPr>
        <w:t>igure</w:t>
      </w:r>
      <w:r>
        <w:rPr>
          <w:rFonts w:cs="Arial"/>
          <w:szCs w:val="20"/>
        </w:rPr>
        <w:t xml:space="preserve"> 3 demonstrates </w:t>
      </w:r>
      <w:r w:rsidR="00A0187A">
        <w:rPr>
          <w:rFonts w:cs="Arial"/>
          <w:szCs w:val="20"/>
        </w:rPr>
        <w:t>this</w:t>
      </w:r>
      <w:r>
        <w:rPr>
          <w:rFonts w:cs="Arial"/>
          <w:szCs w:val="20"/>
        </w:rPr>
        <w:t xml:space="preserve"> concept</w:t>
      </w:r>
      <w:r w:rsidR="0039025A">
        <w:rPr>
          <w:rFonts w:cs="Arial"/>
          <w:szCs w:val="20"/>
        </w:rPr>
        <w:t xml:space="preserve">: </w:t>
      </w:r>
      <w:r w:rsidR="00DE13E7">
        <w:rPr>
          <w:rFonts w:cs="Arial"/>
          <w:szCs w:val="20"/>
        </w:rPr>
        <w:t>T</w:t>
      </w:r>
      <w:r>
        <w:rPr>
          <w:rFonts w:cs="Arial"/>
          <w:szCs w:val="20"/>
        </w:rPr>
        <w:t>he discrete black</w:t>
      </w:r>
      <w:r w:rsidR="0039025A">
        <w:rPr>
          <w:rFonts w:cs="Arial"/>
          <w:szCs w:val="20"/>
        </w:rPr>
        <w:t>-coloured</w:t>
      </w:r>
      <w:r>
        <w:rPr>
          <w:rFonts w:cs="Arial"/>
          <w:szCs w:val="20"/>
        </w:rPr>
        <w:t xml:space="preserve"> sites are registered incumbent stations and grey sites are intended for future use by incumbents. Areas</w:t>
      </w:r>
      <w:r w:rsidRPr="00FD2CD1">
        <w:rPr>
          <w:rFonts w:cs="Arial"/>
          <w:szCs w:val="20"/>
        </w:rPr>
        <w:t xml:space="preserve"> </w:t>
      </w:r>
      <w:r>
        <w:rPr>
          <w:rFonts w:cs="Arial"/>
          <w:szCs w:val="20"/>
        </w:rPr>
        <w:t>available for secondary access are green-shaded</w:t>
      </w:r>
      <w:r w:rsidR="0034504B">
        <w:rPr>
          <w:rFonts w:cs="Arial"/>
          <w:szCs w:val="20"/>
        </w:rPr>
        <w:t xml:space="preserve"> (</w:t>
      </w:r>
      <w:r>
        <w:rPr>
          <w:rFonts w:cs="Arial"/>
          <w:szCs w:val="20"/>
        </w:rPr>
        <w:t xml:space="preserve">this example only pertains to operation on a specific frequency at a specific timesharing can be implemented </w:t>
      </w:r>
      <w:r w:rsidR="006A75BB">
        <w:rPr>
          <w:rFonts w:cs="Arial"/>
          <w:szCs w:val="20"/>
        </w:rPr>
        <w:t>by exploiting any combination of the</w:t>
      </w:r>
      <w:r w:rsidRPr="00FD2CD1">
        <w:rPr>
          <w:rFonts w:cs="Arial"/>
          <w:szCs w:val="20"/>
        </w:rPr>
        <w:t xml:space="preserve"> time, frequency and </w:t>
      </w:r>
      <w:r>
        <w:rPr>
          <w:rFonts w:cs="Arial"/>
          <w:szCs w:val="20"/>
        </w:rPr>
        <w:t>spatial dimensions</w:t>
      </w:r>
      <w:r w:rsidR="0034504B">
        <w:rPr>
          <w:rFonts w:cs="Arial"/>
          <w:szCs w:val="20"/>
        </w:rPr>
        <w:t>)</w:t>
      </w:r>
      <w:r w:rsidRPr="00FD2CD1">
        <w:rPr>
          <w:rFonts w:cs="Arial"/>
          <w:szCs w:val="20"/>
        </w:rPr>
        <w:t>.</w:t>
      </w:r>
    </w:p>
    <w:p w14:paraId="119D78CA" w14:textId="63730B21" w:rsidR="006B2138" w:rsidRPr="00FD2CD1" w:rsidRDefault="006B2138" w:rsidP="000D7782">
      <w:pPr>
        <w:spacing w:before="120" w:after="120" w:line="240" w:lineRule="auto"/>
        <w:rPr>
          <w:rFonts w:cs="Arial"/>
          <w:szCs w:val="20"/>
        </w:rPr>
      </w:pPr>
      <w:r w:rsidRPr="00FD2CD1">
        <w:rPr>
          <w:rFonts w:cs="Arial"/>
          <w:szCs w:val="20"/>
        </w:rPr>
        <w:t xml:space="preserve">The report </w:t>
      </w:r>
      <w:r w:rsidR="00EE4624">
        <w:rPr>
          <w:rFonts w:cs="Arial"/>
          <w:szCs w:val="20"/>
        </w:rPr>
        <w:t>described</w:t>
      </w:r>
      <w:r w:rsidRPr="00FD2CD1">
        <w:rPr>
          <w:rFonts w:cs="Arial"/>
          <w:szCs w:val="20"/>
        </w:rPr>
        <w:t xml:space="preserve"> an LSA repository </w:t>
      </w:r>
      <w:r>
        <w:rPr>
          <w:rFonts w:cs="Arial"/>
          <w:szCs w:val="20"/>
        </w:rPr>
        <w:t xml:space="preserve">(which is a knowledge base of incumbent users’ technical and operational parameters and protection requirements, including registered potential future use requirements) </w:t>
      </w:r>
      <w:r w:rsidRPr="00FD2CD1">
        <w:rPr>
          <w:rFonts w:cs="Arial"/>
          <w:szCs w:val="20"/>
        </w:rPr>
        <w:t xml:space="preserve">and an LSA controller which </w:t>
      </w:r>
      <w:r>
        <w:rPr>
          <w:rFonts w:cs="Arial"/>
          <w:szCs w:val="20"/>
        </w:rPr>
        <w:t>manages</w:t>
      </w:r>
      <w:r w:rsidRPr="00FD2CD1">
        <w:rPr>
          <w:rFonts w:cs="Arial"/>
          <w:szCs w:val="20"/>
        </w:rPr>
        <w:t xml:space="preserve"> shared access to spectrum</w:t>
      </w:r>
      <w:r>
        <w:rPr>
          <w:rFonts w:cs="Arial"/>
          <w:szCs w:val="20"/>
        </w:rPr>
        <w:t xml:space="preserve"> in available areas (</w:t>
      </w:r>
      <w:r w:rsidR="00363C94">
        <w:rPr>
          <w:rFonts w:cs="Arial"/>
          <w:szCs w:val="20"/>
        </w:rPr>
        <w:t>for example,</w:t>
      </w:r>
      <w:r>
        <w:rPr>
          <w:rFonts w:cs="Arial"/>
          <w:szCs w:val="20"/>
        </w:rPr>
        <w:t xml:space="preserve"> those green shaded areas in the below example)</w:t>
      </w:r>
      <w:r w:rsidRPr="00FD2CD1">
        <w:rPr>
          <w:rFonts w:cs="Arial"/>
          <w:szCs w:val="20"/>
        </w:rPr>
        <w:t xml:space="preserve">. </w:t>
      </w:r>
    </w:p>
    <w:p w14:paraId="612F85C4" w14:textId="3B661525" w:rsidR="006B2138" w:rsidRPr="00FD2CD1" w:rsidRDefault="006B2138" w:rsidP="000D7782">
      <w:pPr>
        <w:spacing w:before="120" w:after="120" w:line="240" w:lineRule="auto"/>
        <w:rPr>
          <w:rFonts w:cs="Arial"/>
          <w:szCs w:val="20"/>
        </w:rPr>
      </w:pPr>
      <w:r>
        <w:rPr>
          <w:rFonts w:cs="Arial"/>
          <w:szCs w:val="20"/>
        </w:rPr>
        <w:t>Information in the</w:t>
      </w:r>
      <w:r w:rsidRPr="00FD2CD1">
        <w:rPr>
          <w:rFonts w:cs="Arial"/>
          <w:szCs w:val="20"/>
        </w:rPr>
        <w:t xml:space="preserve"> repository is </w:t>
      </w:r>
      <w:r>
        <w:rPr>
          <w:rFonts w:cs="Arial"/>
          <w:szCs w:val="20"/>
        </w:rPr>
        <w:t xml:space="preserve">used to </w:t>
      </w:r>
      <w:r w:rsidR="008D072B">
        <w:rPr>
          <w:rFonts w:cs="Arial"/>
          <w:szCs w:val="20"/>
        </w:rPr>
        <w:t xml:space="preserve">determine </w:t>
      </w:r>
      <w:r w:rsidR="00715565">
        <w:rPr>
          <w:rFonts w:cs="Arial"/>
          <w:szCs w:val="20"/>
        </w:rPr>
        <w:t>available</w:t>
      </w:r>
      <w:r>
        <w:rPr>
          <w:rFonts w:cs="Arial"/>
          <w:szCs w:val="20"/>
        </w:rPr>
        <w:t xml:space="preserve"> spectrum/spaces </w:t>
      </w:r>
      <w:r w:rsidRPr="00FD2CD1">
        <w:rPr>
          <w:rFonts w:cs="Arial"/>
          <w:szCs w:val="20"/>
        </w:rPr>
        <w:t xml:space="preserve">and </w:t>
      </w:r>
      <w:r w:rsidR="00715565">
        <w:rPr>
          <w:rFonts w:cs="Arial"/>
          <w:szCs w:val="20"/>
        </w:rPr>
        <w:t>define</w:t>
      </w:r>
      <w:r w:rsidR="002A4E91">
        <w:rPr>
          <w:rFonts w:cs="Arial"/>
          <w:szCs w:val="20"/>
        </w:rPr>
        <w:t xml:space="preserve"> access </w:t>
      </w:r>
      <w:r w:rsidRPr="00FD2CD1">
        <w:rPr>
          <w:rFonts w:cs="Arial"/>
          <w:szCs w:val="20"/>
        </w:rPr>
        <w:t xml:space="preserve">conditions </w:t>
      </w:r>
      <w:r>
        <w:rPr>
          <w:rFonts w:cs="Arial"/>
          <w:szCs w:val="20"/>
        </w:rPr>
        <w:t>based on incumbent</w:t>
      </w:r>
      <w:r w:rsidR="00395704">
        <w:rPr>
          <w:rFonts w:cs="Arial"/>
          <w:szCs w:val="20"/>
        </w:rPr>
        <w:t>s’</w:t>
      </w:r>
      <w:r>
        <w:rPr>
          <w:rFonts w:cs="Arial"/>
          <w:szCs w:val="20"/>
        </w:rPr>
        <w:t xml:space="preserve"> protection requirements. This repository is updated on a dynamic basis to reflect the continuously changing sharing environment. An</w:t>
      </w:r>
      <w:r w:rsidRPr="00FD2CD1">
        <w:rPr>
          <w:rFonts w:cs="Arial"/>
          <w:szCs w:val="20"/>
        </w:rPr>
        <w:t xml:space="preserve"> LSA controller can interface with one or multiple LSA repositories as well as with multiple LSA licensees</w:t>
      </w:r>
      <w:r>
        <w:rPr>
          <w:rFonts w:cs="Arial"/>
          <w:szCs w:val="20"/>
        </w:rPr>
        <w:t>’</w:t>
      </w:r>
      <w:r w:rsidRPr="00FD2CD1">
        <w:rPr>
          <w:rFonts w:cs="Arial"/>
          <w:szCs w:val="20"/>
        </w:rPr>
        <w:t xml:space="preserve"> networks. </w:t>
      </w:r>
    </w:p>
    <w:p w14:paraId="772BACBB" w14:textId="33A269AB" w:rsidR="006B2138" w:rsidRDefault="006B2138" w:rsidP="000D7782">
      <w:pPr>
        <w:spacing w:before="120" w:after="120" w:line="240" w:lineRule="auto"/>
        <w:rPr>
          <w:rFonts w:cs="Arial"/>
          <w:iCs/>
          <w:szCs w:val="20"/>
        </w:rPr>
      </w:pPr>
      <w:r>
        <w:rPr>
          <w:rFonts w:cs="Arial"/>
          <w:iCs/>
          <w:szCs w:val="20"/>
        </w:rPr>
        <w:t>This is a relatively mature technical solution that has precipitated the development of several</w:t>
      </w:r>
      <w:r w:rsidRPr="00FD2CD1">
        <w:rPr>
          <w:rFonts w:cs="Arial"/>
          <w:iCs/>
          <w:szCs w:val="20"/>
        </w:rPr>
        <w:t xml:space="preserve"> technical specifications by</w:t>
      </w:r>
      <w:r w:rsidR="00EB0F01">
        <w:rPr>
          <w:rFonts w:cs="Arial"/>
          <w:iCs/>
          <w:szCs w:val="20"/>
        </w:rPr>
        <w:t xml:space="preserve"> the European </w:t>
      </w:r>
      <w:r w:rsidR="00224EB8">
        <w:rPr>
          <w:rFonts w:cs="Arial"/>
          <w:iCs/>
          <w:szCs w:val="20"/>
        </w:rPr>
        <w:t xml:space="preserve">Telecommunications Standards </w:t>
      </w:r>
      <w:r w:rsidR="00642A52">
        <w:rPr>
          <w:rFonts w:cs="Arial"/>
          <w:iCs/>
          <w:szCs w:val="20"/>
        </w:rPr>
        <w:t>Institute</w:t>
      </w:r>
      <w:r w:rsidRPr="00FD2CD1">
        <w:rPr>
          <w:rFonts w:cs="Arial"/>
          <w:iCs/>
          <w:szCs w:val="20"/>
        </w:rPr>
        <w:t xml:space="preserve"> </w:t>
      </w:r>
      <w:r w:rsidR="00224EB8">
        <w:rPr>
          <w:rFonts w:cs="Arial"/>
          <w:iCs/>
          <w:szCs w:val="20"/>
        </w:rPr>
        <w:t>(</w:t>
      </w:r>
      <w:r w:rsidRPr="00FD2CD1">
        <w:rPr>
          <w:rFonts w:cs="Arial"/>
          <w:iCs/>
          <w:szCs w:val="20"/>
        </w:rPr>
        <w:t>ETSI</w:t>
      </w:r>
      <w:r w:rsidR="00224EB8">
        <w:rPr>
          <w:rFonts w:cs="Arial"/>
          <w:iCs/>
          <w:szCs w:val="20"/>
        </w:rPr>
        <w:t>)</w:t>
      </w:r>
      <w:r w:rsidRPr="00FD2CD1">
        <w:rPr>
          <w:rFonts w:cs="Arial"/>
          <w:iCs/>
          <w:szCs w:val="20"/>
        </w:rPr>
        <w:t xml:space="preserve"> and</w:t>
      </w:r>
      <w:r w:rsidR="00E9410A">
        <w:rPr>
          <w:rFonts w:cs="Arial"/>
          <w:iCs/>
          <w:szCs w:val="20"/>
        </w:rPr>
        <w:t xml:space="preserve"> 3</w:t>
      </w:r>
      <w:r w:rsidR="00E9410A" w:rsidRPr="000F355D">
        <w:rPr>
          <w:rFonts w:cs="Arial"/>
          <w:iCs/>
          <w:szCs w:val="20"/>
          <w:vertAlign w:val="superscript"/>
        </w:rPr>
        <w:t>rd</w:t>
      </w:r>
      <w:r w:rsidR="00E9410A">
        <w:rPr>
          <w:rFonts w:cs="Arial"/>
          <w:iCs/>
          <w:szCs w:val="20"/>
        </w:rPr>
        <w:t xml:space="preserve"> Generation Partnership Project</w:t>
      </w:r>
      <w:r w:rsidRPr="00FD2CD1">
        <w:rPr>
          <w:rFonts w:cs="Arial"/>
          <w:iCs/>
          <w:szCs w:val="20"/>
        </w:rPr>
        <w:t xml:space="preserve"> </w:t>
      </w:r>
      <w:r w:rsidR="00E9410A">
        <w:rPr>
          <w:rFonts w:cs="Arial"/>
          <w:iCs/>
          <w:szCs w:val="20"/>
        </w:rPr>
        <w:t>(</w:t>
      </w:r>
      <w:r w:rsidRPr="00FD2CD1">
        <w:rPr>
          <w:rFonts w:cs="Arial"/>
          <w:iCs/>
          <w:szCs w:val="20"/>
        </w:rPr>
        <w:t>3GPP</w:t>
      </w:r>
      <w:r w:rsidR="00E9410A">
        <w:rPr>
          <w:rFonts w:cs="Arial"/>
          <w:iCs/>
          <w:szCs w:val="20"/>
        </w:rPr>
        <w:t>)</w:t>
      </w:r>
      <w:r>
        <w:rPr>
          <w:rStyle w:val="FootnoteReference"/>
          <w:rFonts w:cs="Arial"/>
          <w:iCs/>
          <w:szCs w:val="20"/>
        </w:rPr>
        <w:footnoteReference w:id="8"/>
      </w:r>
      <w:r>
        <w:rPr>
          <w:rFonts w:cs="Arial"/>
          <w:iCs/>
          <w:szCs w:val="20"/>
        </w:rPr>
        <w:t>, which include descriptions of</w:t>
      </w:r>
      <w:r w:rsidRPr="00FD2CD1">
        <w:rPr>
          <w:rFonts w:cs="Arial"/>
          <w:iCs/>
          <w:szCs w:val="20"/>
        </w:rPr>
        <w:t xml:space="preserve"> the repository and controller </w:t>
      </w:r>
      <w:r>
        <w:rPr>
          <w:rFonts w:cs="Arial"/>
          <w:iCs/>
          <w:szCs w:val="20"/>
        </w:rPr>
        <w:t>relationship.</w:t>
      </w:r>
      <w:r w:rsidRPr="00FD2CD1">
        <w:rPr>
          <w:rFonts w:cs="Arial"/>
          <w:iCs/>
          <w:szCs w:val="20"/>
        </w:rPr>
        <w:t xml:space="preserve"> </w:t>
      </w:r>
    </w:p>
    <w:p w14:paraId="64ED1CBD" w14:textId="77777777" w:rsidR="00E536E5" w:rsidRDefault="00E536E5" w:rsidP="000D7782">
      <w:pPr>
        <w:pStyle w:val="ACMATableHeader"/>
        <w:numPr>
          <w:ilvl w:val="0"/>
          <w:numId w:val="0"/>
        </w:numPr>
        <w:spacing w:before="120" w:after="120"/>
      </w:pPr>
    </w:p>
    <w:p w14:paraId="618E7DCA" w14:textId="1230EBDD" w:rsidR="006B2138" w:rsidRPr="00A05EC9" w:rsidRDefault="006B2138" w:rsidP="00325A99">
      <w:pPr>
        <w:pStyle w:val="ACMAFigureHeader"/>
      </w:pPr>
      <w:r>
        <w:t>ECC LSA framework (ref: ECC Report 205</w:t>
      </w:r>
      <w:r w:rsidR="002162F0">
        <w:rPr>
          <w:rStyle w:val="FootnoteReference"/>
        </w:rPr>
        <w:footnoteReference w:id="9"/>
      </w:r>
      <w:r>
        <w:t xml:space="preserve">) </w:t>
      </w:r>
    </w:p>
    <w:p w14:paraId="327C91F7" w14:textId="77777777" w:rsidR="006B2138" w:rsidRPr="00FD2CD1" w:rsidRDefault="006B2138" w:rsidP="000D7782">
      <w:pPr>
        <w:spacing w:before="120" w:after="120" w:line="240" w:lineRule="auto"/>
        <w:rPr>
          <w:rFonts w:cs="Arial"/>
          <w:szCs w:val="20"/>
        </w:rPr>
      </w:pPr>
      <w:r w:rsidRPr="00FD2CD1">
        <w:rPr>
          <w:rFonts w:cs="Arial"/>
          <w:noProof/>
          <w:szCs w:val="20"/>
        </w:rPr>
        <w:drawing>
          <wp:inline distT="0" distB="0" distL="0" distR="0" wp14:anchorId="7E1D8A17" wp14:editId="0A45CCD9">
            <wp:extent cx="4871085" cy="3277235"/>
            <wp:effectExtent l="0" t="0" r="5715" b="0"/>
            <wp:docPr id="5" name="Picture 5" descr="ECC LSA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871085" cy="3277235"/>
                    </a:xfrm>
                    <a:prstGeom prst="rect">
                      <a:avLst/>
                    </a:prstGeom>
                  </pic:spPr>
                </pic:pic>
              </a:graphicData>
            </a:graphic>
          </wp:inline>
        </w:drawing>
      </w:r>
    </w:p>
    <w:p w14:paraId="6FF87390" w14:textId="77777777" w:rsidR="006B2138" w:rsidRPr="00D4254E" w:rsidRDefault="006B2138" w:rsidP="00325A99">
      <w:pPr>
        <w:pStyle w:val="Heading3"/>
      </w:pPr>
      <w:bookmarkStart w:id="33" w:name="_Toc16054652"/>
      <w:r w:rsidRPr="00D4254E">
        <w:t xml:space="preserve">Asia-Pacific </w:t>
      </w:r>
      <w:proofErr w:type="spellStart"/>
      <w:r w:rsidRPr="00363C94">
        <w:t>Telecommunity</w:t>
      </w:r>
      <w:proofErr w:type="spellEnd"/>
      <w:r w:rsidRPr="00D4254E">
        <w:t xml:space="preserve"> (APT)</w:t>
      </w:r>
      <w:bookmarkEnd w:id="33"/>
    </w:p>
    <w:p w14:paraId="29765C6A" w14:textId="7F76B9D7" w:rsidR="006B2138" w:rsidRDefault="006B2138" w:rsidP="00325A99">
      <w:pPr>
        <w:spacing w:before="120" w:after="80" w:line="240" w:lineRule="auto"/>
        <w:rPr>
          <w:rFonts w:cs="Arial"/>
          <w:szCs w:val="20"/>
        </w:rPr>
      </w:pPr>
      <w:r>
        <w:rPr>
          <w:rFonts w:cs="Arial"/>
          <w:szCs w:val="20"/>
        </w:rPr>
        <w:t xml:space="preserve">In 2016, the Asia-Pacific </w:t>
      </w:r>
      <w:proofErr w:type="spellStart"/>
      <w:r>
        <w:rPr>
          <w:rFonts w:cs="Arial"/>
          <w:szCs w:val="20"/>
        </w:rPr>
        <w:t>Telecommunity’s</w:t>
      </w:r>
      <w:proofErr w:type="spellEnd"/>
      <w:r>
        <w:rPr>
          <w:rFonts w:cs="Arial"/>
          <w:szCs w:val="20"/>
        </w:rPr>
        <w:t xml:space="preserve"> (APT’s) Wireless Group (AWG) developed </w:t>
      </w:r>
      <w:r w:rsidR="00A6169B">
        <w:rPr>
          <w:rFonts w:cs="Arial"/>
          <w:szCs w:val="20"/>
        </w:rPr>
        <w:t>the</w:t>
      </w:r>
      <w:r w:rsidRPr="006B11DD">
        <w:rPr>
          <w:rFonts w:cs="Arial"/>
          <w:szCs w:val="20"/>
        </w:rPr>
        <w:t xml:space="preserve"> </w:t>
      </w:r>
      <w:r w:rsidR="004A1923">
        <w:rPr>
          <w:rFonts w:cs="Arial"/>
          <w:i/>
          <w:szCs w:val="20"/>
        </w:rPr>
        <w:t>A</w:t>
      </w:r>
      <w:r w:rsidRPr="006B11DD">
        <w:rPr>
          <w:rFonts w:cs="Arial"/>
          <w:i/>
          <w:szCs w:val="20"/>
        </w:rPr>
        <w:t>uthorized/licensed shared access as a national solution to access spectrum for IMT</w:t>
      </w:r>
      <w:r w:rsidRPr="00C92FA2">
        <w:rPr>
          <w:rFonts w:cs="Arial"/>
          <w:szCs w:val="20"/>
          <w:vertAlign w:val="superscript"/>
        </w:rPr>
        <w:footnoteReference w:id="10"/>
      </w:r>
      <w:r w:rsidR="00C92FA2" w:rsidRPr="000F355D">
        <w:rPr>
          <w:rFonts w:cs="Arial"/>
          <w:szCs w:val="20"/>
          <w:vertAlign w:val="superscript"/>
        </w:rPr>
        <w:t>,</w:t>
      </w:r>
      <w:r w:rsidR="00C92FA2" w:rsidRPr="000F355D">
        <w:rPr>
          <w:rStyle w:val="FootnoteReference"/>
          <w:rFonts w:cs="Arial"/>
          <w:szCs w:val="20"/>
        </w:rPr>
        <w:footnoteReference w:id="11"/>
      </w:r>
      <w:r w:rsidR="00A6169B">
        <w:rPr>
          <w:rFonts w:cs="Arial"/>
          <w:szCs w:val="20"/>
        </w:rPr>
        <w:t>report.</w:t>
      </w:r>
      <w:r w:rsidRPr="00C92FA2">
        <w:rPr>
          <w:rFonts w:cs="Arial"/>
          <w:szCs w:val="20"/>
        </w:rPr>
        <w:t xml:space="preserve"> </w:t>
      </w:r>
      <w:r w:rsidRPr="000169C7">
        <w:rPr>
          <w:rFonts w:cs="Arial"/>
          <w:szCs w:val="20"/>
        </w:rPr>
        <w:t xml:space="preserve">The two main objectives of this </w:t>
      </w:r>
      <w:r>
        <w:rPr>
          <w:rFonts w:cs="Arial"/>
          <w:szCs w:val="20"/>
        </w:rPr>
        <w:t>r</w:t>
      </w:r>
      <w:r w:rsidRPr="000169C7">
        <w:rPr>
          <w:rFonts w:cs="Arial"/>
          <w:szCs w:val="20"/>
        </w:rPr>
        <w:t xml:space="preserve">eport </w:t>
      </w:r>
      <w:r>
        <w:rPr>
          <w:rFonts w:cs="Arial"/>
          <w:szCs w:val="20"/>
        </w:rPr>
        <w:t>were:</w:t>
      </w:r>
    </w:p>
    <w:p w14:paraId="3CC42726" w14:textId="74658D10" w:rsidR="006B2138" w:rsidRDefault="006B2138" w:rsidP="00325A99">
      <w:pPr>
        <w:pStyle w:val="ListBullet"/>
      </w:pPr>
      <w:r w:rsidRPr="000169C7">
        <w:t>to provide a general analysis of ASA/LSA arrangement</w:t>
      </w:r>
      <w:r>
        <w:t>s</w:t>
      </w:r>
      <w:r w:rsidRPr="000169C7">
        <w:t xml:space="preserve">, </w:t>
      </w:r>
      <w:r>
        <w:t xml:space="preserve">including </w:t>
      </w:r>
      <w:r w:rsidRPr="000169C7">
        <w:t xml:space="preserve">how </w:t>
      </w:r>
      <w:r>
        <w:t xml:space="preserve">they fit </w:t>
      </w:r>
      <w:r w:rsidRPr="000169C7">
        <w:t>with</w:t>
      </w:r>
      <w:r>
        <w:t xml:space="preserve"> (individual countries’)</w:t>
      </w:r>
      <w:r w:rsidRPr="000169C7">
        <w:t xml:space="preserve"> regulatory framework(s) on the use of spectrum</w:t>
      </w:r>
      <w:r>
        <w:t xml:space="preserve"> and</w:t>
      </w:r>
      <w:r w:rsidRPr="000169C7">
        <w:t xml:space="preserve"> current practices in terms of spectrum management and management of frequency authorisations</w:t>
      </w:r>
    </w:p>
    <w:p w14:paraId="4C1EB213" w14:textId="77777777" w:rsidR="006B2138" w:rsidRDefault="006B2138" w:rsidP="00325A99">
      <w:pPr>
        <w:pStyle w:val="ListBulletLast"/>
        <w:rPr>
          <w:sz w:val="22"/>
          <w:szCs w:val="22"/>
        </w:rPr>
      </w:pPr>
      <w:r w:rsidRPr="000169C7">
        <w:t xml:space="preserve">to explain how ASA/LSA </w:t>
      </w:r>
      <w:r>
        <w:t>might</w:t>
      </w:r>
      <w:r w:rsidRPr="000169C7">
        <w:t xml:space="preserve"> be implemented in </w:t>
      </w:r>
      <w:r>
        <w:t>frequency band currently allocated to the</w:t>
      </w:r>
      <w:r w:rsidRPr="000169C7">
        <w:t xml:space="preserve"> mobile </w:t>
      </w:r>
      <w:r>
        <w:t>service</w:t>
      </w:r>
      <w:r w:rsidRPr="000169C7">
        <w:t xml:space="preserve"> bands.</w:t>
      </w:r>
    </w:p>
    <w:p w14:paraId="1F4D0240" w14:textId="491C58A1" w:rsidR="006B2138" w:rsidRDefault="006B2138" w:rsidP="000D7782">
      <w:pPr>
        <w:spacing w:before="120" w:after="120" w:line="240" w:lineRule="auto"/>
        <w:rPr>
          <w:rFonts w:cs="Arial"/>
          <w:szCs w:val="20"/>
        </w:rPr>
      </w:pPr>
      <w:r>
        <w:rPr>
          <w:rFonts w:cs="Arial"/>
          <w:szCs w:val="20"/>
        </w:rPr>
        <w:t xml:space="preserve">A specific sharing model was proposed that is </w:t>
      </w:r>
      <w:proofErr w:type="gramStart"/>
      <w:r>
        <w:rPr>
          <w:rFonts w:cs="Arial"/>
          <w:szCs w:val="20"/>
        </w:rPr>
        <w:t>similar to</w:t>
      </w:r>
      <w:proofErr w:type="gramEnd"/>
      <w:r>
        <w:rPr>
          <w:rFonts w:cs="Arial"/>
          <w:szCs w:val="20"/>
        </w:rPr>
        <w:t xml:space="preserve"> the CEPT model in that it comprises a range of shared access knowledge base repositories and controllers and explains the relationships and interfaces between those components. However, the scenarios that the model might suit are</w:t>
      </w:r>
      <w:r w:rsidRPr="005A5354">
        <w:rPr>
          <w:rFonts w:cs="Arial"/>
          <w:szCs w:val="20"/>
        </w:rPr>
        <w:t xml:space="preserve"> largely based on </w:t>
      </w:r>
      <w:r>
        <w:rPr>
          <w:rFonts w:cs="Arial"/>
          <w:szCs w:val="20"/>
        </w:rPr>
        <w:t>situations</w:t>
      </w:r>
      <w:r w:rsidRPr="005A5354">
        <w:rPr>
          <w:rFonts w:cs="Arial"/>
          <w:szCs w:val="20"/>
        </w:rPr>
        <w:t xml:space="preserve"> where incumbent use is static and predictable</w:t>
      </w:r>
      <w:r>
        <w:rPr>
          <w:rFonts w:cs="Arial"/>
          <w:szCs w:val="20"/>
        </w:rPr>
        <w:t xml:space="preserve"> and</w:t>
      </w:r>
      <w:r w:rsidRPr="005A5354">
        <w:rPr>
          <w:rFonts w:cs="Arial"/>
          <w:szCs w:val="20"/>
        </w:rPr>
        <w:t xml:space="preserve"> </w:t>
      </w:r>
      <w:r>
        <w:rPr>
          <w:rFonts w:cs="Arial"/>
          <w:szCs w:val="20"/>
        </w:rPr>
        <w:t>might not</w:t>
      </w:r>
      <w:r w:rsidRPr="005A5354">
        <w:rPr>
          <w:rFonts w:cs="Arial"/>
          <w:szCs w:val="20"/>
        </w:rPr>
        <w:t xml:space="preserve"> </w:t>
      </w:r>
      <w:r>
        <w:rPr>
          <w:rFonts w:cs="Arial"/>
          <w:szCs w:val="20"/>
        </w:rPr>
        <w:t xml:space="preserve">fully </w:t>
      </w:r>
      <w:r w:rsidRPr="005A5354">
        <w:rPr>
          <w:rFonts w:cs="Arial"/>
          <w:szCs w:val="20"/>
        </w:rPr>
        <w:t xml:space="preserve">cater for scenarios where incumbent use cannot be predicted or measured, such as highly dynamic use by itinerant government services. </w:t>
      </w:r>
    </w:p>
    <w:p w14:paraId="6AA9CFE8" w14:textId="76E1A3BB" w:rsidR="00DE28E5" w:rsidRPr="00A563C1" w:rsidRDefault="00DE28E5" w:rsidP="00325A99">
      <w:pPr>
        <w:pStyle w:val="Heading2"/>
      </w:pPr>
      <w:bookmarkStart w:id="34" w:name="_Toc16054653"/>
      <w:r>
        <w:lastRenderedPageBreak/>
        <w:t xml:space="preserve">National </w:t>
      </w:r>
      <w:r w:rsidR="00A6169B">
        <w:t>i</w:t>
      </w:r>
      <w:r w:rsidR="00E1164E">
        <w:t>nitiatives</w:t>
      </w:r>
      <w:bookmarkEnd w:id="34"/>
    </w:p>
    <w:p w14:paraId="1CAD5047" w14:textId="77777777" w:rsidR="00DE28E5" w:rsidRPr="00A6169B" w:rsidRDefault="00DE28E5" w:rsidP="00325A99">
      <w:pPr>
        <w:pStyle w:val="Heading3"/>
      </w:pPr>
      <w:bookmarkStart w:id="35" w:name="_Toc16054654"/>
      <w:r w:rsidRPr="00A6169B">
        <w:t>Spain</w:t>
      </w:r>
      <w:bookmarkEnd w:id="35"/>
    </w:p>
    <w:p w14:paraId="336C6ED7" w14:textId="1AB629F2" w:rsidR="0092581C" w:rsidRDefault="00DE28E5" w:rsidP="000D7782">
      <w:pPr>
        <w:spacing w:before="120" w:after="120" w:line="240" w:lineRule="auto"/>
        <w:rPr>
          <w:rFonts w:cs="Arial"/>
          <w:szCs w:val="20"/>
        </w:rPr>
      </w:pPr>
      <w:r w:rsidRPr="00FD2CD1">
        <w:rPr>
          <w:rFonts w:cs="Arial"/>
          <w:szCs w:val="20"/>
        </w:rPr>
        <w:t>In 2014</w:t>
      </w:r>
      <w:r w:rsidR="00A6169B">
        <w:rPr>
          <w:rFonts w:cs="Arial"/>
          <w:szCs w:val="20"/>
        </w:rPr>
        <w:t>–</w:t>
      </w:r>
      <w:r w:rsidRPr="00FD2CD1">
        <w:rPr>
          <w:rFonts w:cs="Arial"/>
          <w:szCs w:val="20"/>
        </w:rPr>
        <w:t xml:space="preserve">2015, the Ministry of Industry, Energy and Tourism of Spain (SETSI) commissioned a study to identify spectrum availability for mobile broadband services in Spain in the </w:t>
      </w:r>
      <w:r w:rsidR="00B84A8C">
        <w:rPr>
          <w:rFonts w:cs="Arial"/>
          <w:szCs w:val="20"/>
        </w:rPr>
        <w:t>2300</w:t>
      </w:r>
      <w:r w:rsidR="00A6169B">
        <w:rPr>
          <w:rFonts w:cs="Arial"/>
          <w:szCs w:val="20"/>
        </w:rPr>
        <w:t>–</w:t>
      </w:r>
      <w:r w:rsidR="00B84A8C">
        <w:rPr>
          <w:rFonts w:cs="Arial"/>
          <w:szCs w:val="20"/>
        </w:rPr>
        <w:t>2400 MHz (</w:t>
      </w:r>
      <w:r w:rsidR="00A70693">
        <w:rPr>
          <w:rFonts w:cs="Arial"/>
          <w:szCs w:val="20"/>
        </w:rPr>
        <w:t>2.3</w:t>
      </w:r>
      <w:r w:rsidR="00B16862">
        <w:rPr>
          <w:rFonts w:cs="Arial"/>
          <w:szCs w:val="20"/>
        </w:rPr>
        <w:t xml:space="preserve"> </w:t>
      </w:r>
      <w:r>
        <w:rPr>
          <w:rFonts w:cs="Arial"/>
          <w:szCs w:val="20"/>
        </w:rPr>
        <w:t>GHz</w:t>
      </w:r>
      <w:r w:rsidR="00B84A8C">
        <w:rPr>
          <w:rFonts w:cs="Arial"/>
          <w:szCs w:val="20"/>
        </w:rPr>
        <w:t>)</w:t>
      </w:r>
      <w:r w:rsidRPr="00FD2CD1" w:rsidDel="00EF4830">
        <w:rPr>
          <w:rFonts w:cs="Arial"/>
          <w:szCs w:val="20"/>
        </w:rPr>
        <w:t xml:space="preserve"> </w:t>
      </w:r>
      <w:r w:rsidRPr="00FD2CD1">
        <w:rPr>
          <w:rFonts w:cs="Arial"/>
          <w:szCs w:val="20"/>
        </w:rPr>
        <w:t xml:space="preserve">band based on a shared basis with </w:t>
      </w:r>
      <w:r>
        <w:rPr>
          <w:rFonts w:cs="Arial"/>
          <w:szCs w:val="20"/>
        </w:rPr>
        <w:t>p</w:t>
      </w:r>
      <w:r w:rsidRPr="00FD2CD1">
        <w:rPr>
          <w:rFonts w:cs="Arial"/>
          <w:szCs w:val="20"/>
        </w:rPr>
        <w:t>rogramme-making and special events (PMSE) services</w:t>
      </w:r>
      <w:r w:rsidRPr="00FD2CD1">
        <w:rPr>
          <w:rStyle w:val="FootnoteReference"/>
          <w:rFonts w:cs="Arial"/>
          <w:szCs w:val="20"/>
        </w:rPr>
        <w:footnoteReference w:id="12"/>
      </w:r>
      <w:r w:rsidRPr="00FD2CD1">
        <w:rPr>
          <w:rFonts w:cs="Arial"/>
          <w:szCs w:val="20"/>
        </w:rPr>
        <w:t>. PMSE based services are primarily used for electronic news gathering</w:t>
      </w:r>
      <w:r>
        <w:rPr>
          <w:rFonts w:cs="Arial"/>
          <w:szCs w:val="20"/>
        </w:rPr>
        <w:t xml:space="preserve"> (ENG)</w:t>
      </w:r>
      <w:r w:rsidRPr="00FD2CD1">
        <w:rPr>
          <w:rFonts w:cs="Arial"/>
          <w:szCs w:val="20"/>
        </w:rPr>
        <w:t xml:space="preserve">. </w:t>
      </w:r>
    </w:p>
    <w:p w14:paraId="431F0C7C" w14:textId="6BE61A43" w:rsidR="00DE28E5" w:rsidRPr="00FD2CD1" w:rsidRDefault="00DE28E5" w:rsidP="000D7782">
      <w:pPr>
        <w:spacing w:before="120" w:after="120" w:line="240" w:lineRule="auto"/>
        <w:rPr>
          <w:rFonts w:cs="Arial"/>
          <w:szCs w:val="20"/>
        </w:rPr>
      </w:pPr>
      <w:r w:rsidRPr="00FD2CD1">
        <w:rPr>
          <w:rFonts w:cs="Arial"/>
          <w:szCs w:val="20"/>
        </w:rPr>
        <w:t xml:space="preserve">The </w:t>
      </w:r>
      <w:r>
        <w:rPr>
          <w:rFonts w:cs="Arial"/>
          <w:szCs w:val="20"/>
        </w:rPr>
        <w:t>final</w:t>
      </w:r>
      <w:r w:rsidRPr="00FD2CD1">
        <w:rPr>
          <w:rFonts w:cs="Arial"/>
          <w:szCs w:val="20"/>
        </w:rPr>
        <w:t xml:space="preserve"> stage of this study was a live demonstration </w:t>
      </w:r>
      <w:r w:rsidR="009D74AB">
        <w:rPr>
          <w:rFonts w:cs="Arial"/>
          <w:szCs w:val="20"/>
        </w:rPr>
        <w:t xml:space="preserve">of </w:t>
      </w:r>
      <w:r w:rsidR="009D74AB" w:rsidRPr="00FD2CD1">
        <w:rPr>
          <w:rFonts w:cs="Arial"/>
          <w:szCs w:val="20"/>
        </w:rPr>
        <w:t xml:space="preserve">sharing between </w:t>
      </w:r>
      <w:r w:rsidR="00286B69">
        <w:rPr>
          <w:rFonts w:cs="Arial"/>
          <w:szCs w:val="20"/>
        </w:rPr>
        <w:t>m</w:t>
      </w:r>
      <w:r w:rsidR="009D74AB" w:rsidRPr="00FD2CD1">
        <w:rPr>
          <w:rFonts w:cs="Arial"/>
          <w:szCs w:val="20"/>
        </w:rPr>
        <w:t xml:space="preserve">obile </w:t>
      </w:r>
      <w:r w:rsidR="00286B69">
        <w:rPr>
          <w:rFonts w:cs="Arial"/>
          <w:szCs w:val="20"/>
        </w:rPr>
        <w:t>s</w:t>
      </w:r>
      <w:r w:rsidR="009D74AB" w:rsidRPr="00FD2CD1">
        <w:rPr>
          <w:rFonts w:cs="Arial"/>
          <w:szCs w:val="20"/>
        </w:rPr>
        <w:t xml:space="preserve">ervices and </w:t>
      </w:r>
      <w:r w:rsidR="00286B69">
        <w:rPr>
          <w:rFonts w:cs="Arial"/>
          <w:szCs w:val="20"/>
        </w:rPr>
        <w:t>incumbent</w:t>
      </w:r>
      <w:r w:rsidR="009D74AB">
        <w:rPr>
          <w:rFonts w:cs="Arial"/>
          <w:szCs w:val="20"/>
        </w:rPr>
        <w:t xml:space="preserve"> </w:t>
      </w:r>
      <w:r w:rsidR="009D74AB" w:rsidRPr="00FD2CD1">
        <w:rPr>
          <w:rFonts w:cs="Arial"/>
          <w:szCs w:val="20"/>
        </w:rPr>
        <w:t xml:space="preserve">PMSE video links </w:t>
      </w:r>
      <w:r w:rsidR="00286B69">
        <w:rPr>
          <w:rFonts w:cs="Arial"/>
          <w:szCs w:val="20"/>
        </w:rPr>
        <w:t>operating in</w:t>
      </w:r>
      <w:r w:rsidR="009D74AB" w:rsidRPr="00FD2CD1">
        <w:rPr>
          <w:rFonts w:cs="Arial"/>
          <w:szCs w:val="20"/>
        </w:rPr>
        <w:t xml:space="preserve"> the </w:t>
      </w:r>
      <w:r w:rsidR="009D74AB">
        <w:rPr>
          <w:rFonts w:cs="Arial"/>
          <w:szCs w:val="20"/>
        </w:rPr>
        <w:t>2.3 GHz</w:t>
      </w:r>
      <w:r w:rsidR="00286B69">
        <w:rPr>
          <w:rFonts w:cs="Arial"/>
          <w:szCs w:val="20"/>
        </w:rPr>
        <w:t xml:space="preserve"> band</w:t>
      </w:r>
      <w:r w:rsidRPr="00FD2CD1">
        <w:rPr>
          <w:rFonts w:cs="Arial"/>
          <w:szCs w:val="20"/>
        </w:rPr>
        <w:t xml:space="preserve"> at the GSMA Mobile World Congress, Barcelona (March 2015). </w:t>
      </w:r>
      <w:r>
        <w:rPr>
          <w:rFonts w:cs="Arial"/>
          <w:szCs w:val="20"/>
        </w:rPr>
        <w:t xml:space="preserve">Exclusion and protection </w:t>
      </w:r>
      <w:r w:rsidRPr="00FD2CD1">
        <w:rPr>
          <w:rFonts w:cs="Arial"/>
          <w:szCs w:val="20"/>
        </w:rPr>
        <w:t xml:space="preserve">zones </w:t>
      </w:r>
      <w:r>
        <w:rPr>
          <w:rFonts w:cs="Arial"/>
          <w:szCs w:val="20"/>
        </w:rPr>
        <w:t>around PMSE services were prescribed to ensure protection from sharing access seekers</w:t>
      </w:r>
      <w:r w:rsidR="00693411">
        <w:rPr>
          <w:rFonts w:cs="Arial"/>
          <w:szCs w:val="20"/>
        </w:rPr>
        <w:t>.</w:t>
      </w:r>
    </w:p>
    <w:p w14:paraId="192EBBC1" w14:textId="66359147" w:rsidR="00DE28E5" w:rsidRDefault="00DE28E5" w:rsidP="000D7782">
      <w:pPr>
        <w:spacing w:before="120" w:after="120" w:line="240" w:lineRule="auto"/>
        <w:rPr>
          <w:rFonts w:cs="Arial"/>
          <w:szCs w:val="20"/>
        </w:rPr>
      </w:pPr>
      <w:r>
        <w:rPr>
          <w:rFonts w:cs="Arial"/>
          <w:szCs w:val="20"/>
        </w:rPr>
        <w:t>T</w:t>
      </w:r>
      <w:r w:rsidRPr="00FD2CD1">
        <w:rPr>
          <w:rFonts w:cs="Arial"/>
          <w:szCs w:val="20"/>
        </w:rPr>
        <w:t>he</w:t>
      </w:r>
      <w:r>
        <w:rPr>
          <w:rFonts w:cs="Arial"/>
          <w:szCs w:val="20"/>
        </w:rPr>
        <w:t xml:space="preserve"> </w:t>
      </w:r>
      <w:r w:rsidRPr="00FD2CD1">
        <w:rPr>
          <w:rFonts w:cs="Arial"/>
          <w:szCs w:val="20"/>
        </w:rPr>
        <w:t>demonstration</w:t>
      </w:r>
      <w:r>
        <w:rPr>
          <w:rFonts w:cs="Arial"/>
          <w:szCs w:val="20"/>
        </w:rPr>
        <w:t xml:space="preserve">, which comprised a </w:t>
      </w:r>
      <w:r w:rsidRPr="00FD2CD1">
        <w:rPr>
          <w:rFonts w:cs="Arial"/>
          <w:szCs w:val="20"/>
        </w:rPr>
        <w:t xml:space="preserve">cordless camera equipped with a video link </w:t>
      </w:r>
      <w:r>
        <w:rPr>
          <w:rFonts w:cs="Arial"/>
          <w:szCs w:val="20"/>
        </w:rPr>
        <w:t>operating</w:t>
      </w:r>
      <w:r w:rsidRPr="00FD2CD1">
        <w:rPr>
          <w:rFonts w:cs="Arial"/>
          <w:szCs w:val="20"/>
        </w:rPr>
        <w:t xml:space="preserve"> co-channel (with </w:t>
      </w:r>
      <w:r>
        <w:rPr>
          <w:rFonts w:cs="Arial"/>
          <w:szCs w:val="20"/>
        </w:rPr>
        <w:t xml:space="preserve">some </w:t>
      </w:r>
      <w:r w:rsidRPr="00FD2CD1">
        <w:rPr>
          <w:rFonts w:cs="Arial"/>
          <w:szCs w:val="20"/>
        </w:rPr>
        <w:t xml:space="preserve">geographic separation) </w:t>
      </w:r>
      <w:r>
        <w:rPr>
          <w:rFonts w:cs="Arial"/>
          <w:szCs w:val="20"/>
        </w:rPr>
        <w:t>with a</w:t>
      </w:r>
      <w:r w:rsidRPr="00FD2CD1">
        <w:rPr>
          <w:rFonts w:cs="Arial"/>
          <w:szCs w:val="20"/>
        </w:rPr>
        <w:t xml:space="preserve"> single </w:t>
      </w:r>
      <w:r>
        <w:rPr>
          <w:rFonts w:cs="Arial"/>
          <w:szCs w:val="20"/>
        </w:rPr>
        <w:t>IMT system, showed that as a worst case (mutual antenna beam coupling)</w:t>
      </w:r>
      <w:r w:rsidRPr="00FD2CD1">
        <w:rPr>
          <w:rFonts w:cs="Arial"/>
          <w:szCs w:val="20"/>
        </w:rPr>
        <w:t>, 9</w:t>
      </w:r>
      <w:r w:rsidR="00DE13E7">
        <w:rPr>
          <w:rFonts w:cs="Arial"/>
          <w:szCs w:val="20"/>
        </w:rPr>
        <w:t>5 per cent</w:t>
      </w:r>
      <w:r w:rsidRPr="00FD2CD1">
        <w:rPr>
          <w:rFonts w:cs="Arial"/>
          <w:szCs w:val="20"/>
        </w:rPr>
        <w:t xml:space="preserve"> </w:t>
      </w:r>
      <w:r>
        <w:rPr>
          <w:rFonts w:cs="Arial"/>
          <w:szCs w:val="20"/>
        </w:rPr>
        <w:t>IMT</w:t>
      </w:r>
      <w:r w:rsidRPr="00FD2CD1">
        <w:rPr>
          <w:rFonts w:cs="Arial"/>
          <w:szCs w:val="20"/>
        </w:rPr>
        <w:t xml:space="preserve"> system </w:t>
      </w:r>
      <w:r>
        <w:rPr>
          <w:rFonts w:cs="Arial"/>
          <w:szCs w:val="20"/>
        </w:rPr>
        <w:t>availability could be achieved with a 3</w:t>
      </w:r>
      <w:r w:rsidR="00DE13E7">
        <w:rPr>
          <w:rFonts w:cs="Arial"/>
          <w:szCs w:val="20"/>
        </w:rPr>
        <w:t xml:space="preserve"> </w:t>
      </w:r>
      <w:r>
        <w:rPr>
          <w:rFonts w:cs="Arial"/>
          <w:szCs w:val="20"/>
        </w:rPr>
        <w:t xml:space="preserve">km radius </w:t>
      </w:r>
      <w:r w:rsidRPr="00FD2CD1">
        <w:rPr>
          <w:rFonts w:cs="Arial"/>
          <w:szCs w:val="20"/>
        </w:rPr>
        <w:t xml:space="preserve">exclusion zone </w:t>
      </w:r>
      <w:r>
        <w:rPr>
          <w:rFonts w:cs="Arial"/>
          <w:szCs w:val="20"/>
        </w:rPr>
        <w:t xml:space="preserve">in </w:t>
      </w:r>
      <w:r w:rsidRPr="00FD2CD1">
        <w:rPr>
          <w:rFonts w:cs="Arial"/>
          <w:szCs w:val="20"/>
        </w:rPr>
        <w:t>urban area</w:t>
      </w:r>
      <w:r>
        <w:rPr>
          <w:rFonts w:cs="Arial"/>
          <w:szCs w:val="20"/>
        </w:rPr>
        <w:t>s</w:t>
      </w:r>
      <w:r w:rsidRPr="00FD2CD1">
        <w:rPr>
          <w:rFonts w:cs="Arial"/>
          <w:szCs w:val="20"/>
        </w:rPr>
        <w:t xml:space="preserve">. </w:t>
      </w:r>
      <w:r>
        <w:rPr>
          <w:rFonts w:cs="Arial"/>
          <w:szCs w:val="20"/>
        </w:rPr>
        <w:t xml:space="preserve">Under a </w:t>
      </w:r>
      <w:r w:rsidRPr="00FD2CD1">
        <w:rPr>
          <w:rFonts w:cs="Arial"/>
          <w:szCs w:val="20"/>
        </w:rPr>
        <w:t xml:space="preserve">more realistic case </w:t>
      </w:r>
      <w:r>
        <w:rPr>
          <w:rFonts w:cs="Arial"/>
          <w:szCs w:val="20"/>
        </w:rPr>
        <w:t>scenario (20 degrees off-axis coupling) an exclusion zone</w:t>
      </w:r>
      <w:r w:rsidRPr="00FD2CD1">
        <w:rPr>
          <w:rFonts w:cs="Arial"/>
          <w:szCs w:val="20"/>
        </w:rPr>
        <w:t xml:space="preserve"> of around 1 km</w:t>
      </w:r>
      <w:r>
        <w:rPr>
          <w:rFonts w:cs="Arial"/>
          <w:szCs w:val="20"/>
        </w:rPr>
        <w:t xml:space="preserve"> radius was shown to be required</w:t>
      </w:r>
      <w:r w:rsidRPr="00FD2CD1">
        <w:rPr>
          <w:rFonts w:cs="Arial"/>
          <w:szCs w:val="20"/>
        </w:rPr>
        <w:t xml:space="preserve">. </w:t>
      </w:r>
    </w:p>
    <w:p w14:paraId="0B63A661" w14:textId="14893370" w:rsidR="00024D6B" w:rsidRPr="00D4254E" w:rsidRDefault="00024D6B" w:rsidP="00FE61CE">
      <w:pPr>
        <w:pStyle w:val="Heading3"/>
      </w:pPr>
      <w:bookmarkStart w:id="36" w:name="_Toc16054655"/>
      <w:r w:rsidRPr="00D4254E">
        <w:t>France</w:t>
      </w:r>
      <w:bookmarkEnd w:id="36"/>
    </w:p>
    <w:p w14:paraId="55BE86DD" w14:textId="34880A00" w:rsidR="00FD2948" w:rsidRDefault="00FD2948" w:rsidP="000D7782">
      <w:pPr>
        <w:spacing w:before="120" w:after="120" w:line="240" w:lineRule="auto"/>
        <w:rPr>
          <w:rFonts w:cs="Arial"/>
          <w:szCs w:val="20"/>
        </w:rPr>
      </w:pPr>
      <w:r>
        <w:rPr>
          <w:rFonts w:cs="Arial"/>
          <w:szCs w:val="20"/>
        </w:rPr>
        <w:t>In 2016,</w:t>
      </w:r>
      <w:r w:rsidR="00685CF5">
        <w:rPr>
          <w:rFonts w:cs="Arial"/>
          <w:szCs w:val="20"/>
        </w:rPr>
        <w:t xml:space="preserve"> t</w:t>
      </w:r>
      <w:r w:rsidR="00CD2EF2">
        <w:rPr>
          <w:rFonts w:cs="Arial"/>
          <w:szCs w:val="20"/>
        </w:rPr>
        <w:t>he French regulator</w:t>
      </w:r>
      <w:r>
        <w:rPr>
          <w:rFonts w:cs="Arial"/>
          <w:szCs w:val="20"/>
        </w:rPr>
        <w:t xml:space="preserve"> commissioned a trial </w:t>
      </w:r>
      <w:r w:rsidR="00EA1C7F">
        <w:rPr>
          <w:rFonts w:cs="Arial"/>
          <w:szCs w:val="20"/>
        </w:rPr>
        <w:t>to demonstrate</w:t>
      </w:r>
      <w:r>
        <w:rPr>
          <w:rFonts w:cs="Arial"/>
          <w:szCs w:val="20"/>
        </w:rPr>
        <w:t xml:space="preserve"> how commercial 2.3 GHz LTE networks could be switched in and out to accommodate access requests from incumbent users while continuing to maintain </w:t>
      </w:r>
      <w:r w:rsidR="00C6334C">
        <w:rPr>
          <w:rFonts w:cs="Arial"/>
          <w:szCs w:val="20"/>
        </w:rPr>
        <w:t xml:space="preserve">a useful </w:t>
      </w:r>
      <w:r>
        <w:rPr>
          <w:rFonts w:cs="Arial"/>
          <w:szCs w:val="20"/>
        </w:rPr>
        <w:t xml:space="preserve">broadband </w:t>
      </w:r>
      <w:r w:rsidR="00C6334C">
        <w:rPr>
          <w:rFonts w:cs="Arial"/>
          <w:szCs w:val="20"/>
        </w:rPr>
        <w:t>service</w:t>
      </w:r>
      <w:r>
        <w:rPr>
          <w:rFonts w:cs="Arial"/>
          <w:szCs w:val="20"/>
        </w:rPr>
        <w:t xml:space="preserve">. </w:t>
      </w:r>
      <w:r w:rsidR="00462BA4">
        <w:rPr>
          <w:rFonts w:cs="Arial"/>
          <w:szCs w:val="20"/>
        </w:rPr>
        <w:t>Access by m</w:t>
      </w:r>
      <w:r>
        <w:rPr>
          <w:rFonts w:cs="Arial"/>
          <w:szCs w:val="20"/>
        </w:rPr>
        <w:t xml:space="preserve">obile broadband service </w:t>
      </w:r>
      <w:r w:rsidR="00462BA4">
        <w:rPr>
          <w:rFonts w:cs="Arial"/>
          <w:szCs w:val="20"/>
        </w:rPr>
        <w:t xml:space="preserve">providers </w:t>
      </w:r>
      <w:r>
        <w:rPr>
          <w:rFonts w:cs="Arial"/>
          <w:szCs w:val="20"/>
        </w:rPr>
        <w:t xml:space="preserve">was controlled by </w:t>
      </w:r>
      <w:r w:rsidR="00FE5126" w:rsidRPr="00FD2CD1">
        <w:rPr>
          <w:rFonts w:cs="Arial"/>
          <w:szCs w:val="20"/>
        </w:rPr>
        <w:t>CEPT</w:t>
      </w:r>
      <w:r w:rsidR="00716520">
        <w:rPr>
          <w:rFonts w:cs="Arial"/>
          <w:szCs w:val="20"/>
        </w:rPr>
        <w:t>’s</w:t>
      </w:r>
      <w:r w:rsidR="00FE5126">
        <w:rPr>
          <w:rFonts w:cs="Arial"/>
          <w:szCs w:val="20"/>
        </w:rPr>
        <w:t xml:space="preserve"> </w:t>
      </w:r>
      <w:r>
        <w:rPr>
          <w:rFonts w:cs="Arial"/>
          <w:szCs w:val="20"/>
        </w:rPr>
        <w:t xml:space="preserve">LSA repository (database) and controller arrangement </w:t>
      </w:r>
      <w:r w:rsidR="00462BA4">
        <w:rPr>
          <w:rFonts w:cs="Arial"/>
          <w:szCs w:val="20"/>
        </w:rPr>
        <w:t xml:space="preserve">(as </w:t>
      </w:r>
      <w:r>
        <w:rPr>
          <w:rFonts w:cs="Arial"/>
          <w:szCs w:val="20"/>
        </w:rPr>
        <w:t xml:space="preserve">described in the </w:t>
      </w:r>
      <w:r>
        <w:rPr>
          <w:rFonts w:cs="Arial"/>
          <w:i/>
          <w:szCs w:val="20"/>
        </w:rPr>
        <w:fldChar w:fldCharType="begin"/>
      </w:r>
      <w:r w:rsidRPr="00F3395E">
        <w:rPr>
          <w:rFonts w:cs="Arial"/>
          <w:i/>
          <w:szCs w:val="20"/>
        </w:rPr>
        <w:instrText xml:space="preserve"> REF _Ref1776776 \h </w:instrText>
      </w:r>
      <w:r>
        <w:rPr>
          <w:rFonts w:cs="Arial"/>
          <w:i/>
          <w:szCs w:val="20"/>
        </w:rPr>
        <w:instrText xml:space="preserve"> \* MERGEFORMAT </w:instrText>
      </w:r>
      <w:r>
        <w:rPr>
          <w:rFonts w:cs="Arial"/>
          <w:i/>
          <w:szCs w:val="20"/>
        </w:rPr>
      </w:r>
      <w:r>
        <w:rPr>
          <w:rFonts w:cs="Arial"/>
          <w:i/>
          <w:szCs w:val="20"/>
        </w:rPr>
        <w:fldChar w:fldCharType="separate"/>
      </w:r>
      <w:r w:rsidRPr="00F3395E">
        <w:rPr>
          <w:i/>
        </w:rPr>
        <w:t>International regional bodies</w:t>
      </w:r>
      <w:r>
        <w:rPr>
          <w:rFonts w:cs="Arial"/>
          <w:szCs w:val="20"/>
        </w:rPr>
        <w:fldChar w:fldCharType="end"/>
      </w:r>
      <w:r>
        <w:rPr>
          <w:rFonts w:cs="Arial"/>
          <w:szCs w:val="20"/>
        </w:rPr>
        <w:t xml:space="preserve"> section</w:t>
      </w:r>
      <w:r w:rsidR="00462BA4">
        <w:rPr>
          <w:rFonts w:cs="Arial"/>
          <w:szCs w:val="20"/>
        </w:rPr>
        <w:t>)</w:t>
      </w:r>
      <w:r>
        <w:rPr>
          <w:rFonts w:cs="Arial"/>
          <w:szCs w:val="20"/>
        </w:rPr>
        <w:t xml:space="preserve">. The repository stores information about incumbent users, including technical and operational parameters and protection requirements. The LSA controller manages access to spectrum, taking these parameters </w:t>
      </w:r>
      <w:r w:rsidR="002C73EA">
        <w:rPr>
          <w:rFonts w:cs="Arial"/>
          <w:szCs w:val="20"/>
        </w:rPr>
        <w:t xml:space="preserve">and </w:t>
      </w:r>
      <w:r>
        <w:rPr>
          <w:rFonts w:cs="Arial"/>
          <w:szCs w:val="20"/>
        </w:rPr>
        <w:t xml:space="preserve">protection requirements into account. </w:t>
      </w:r>
    </w:p>
    <w:p w14:paraId="0948BD95" w14:textId="028D0A2D" w:rsidR="00FD2948" w:rsidRDefault="00FD2948" w:rsidP="000D7782">
      <w:pPr>
        <w:spacing w:before="120" w:after="120" w:line="240" w:lineRule="auto"/>
        <w:rPr>
          <w:rFonts w:cs="Arial"/>
          <w:szCs w:val="20"/>
        </w:rPr>
      </w:pPr>
      <w:r>
        <w:rPr>
          <w:rFonts w:cs="Arial"/>
          <w:szCs w:val="20"/>
        </w:rPr>
        <w:t>The intent of the trial was to validate the CEPT LSA architecture and</w:t>
      </w:r>
      <w:r w:rsidR="003F6828">
        <w:rPr>
          <w:rFonts w:cs="Arial"/>
          <w:szCs w:val="20"/>
        </w:rPr>
        <w:t xml:space="preserve"> demonstrate</w:t>
      </w:r>
      <w:r w:rsidR="00F14B5A">
        <w:rPr>
          <w:rFonts w:cs="Arial"/>
          <w:szCs w:val="20"/>
        </w:rPr>
        <w:t xml:space="preserve"> </w:t>
      </w:r>
      <w:r>
        <w:rPr>
          <w:rFonts w:cs="Arial"/>
          <w:szCs w:val="20"/>
        </w:rPr>
        <w:t xml:space="preserve">the ability to integrate the various elements and interconnections, most notably the repository and controller. </w:t>
      </w:r>
    </w:p>
    <w:p w14:paraId="30E59243" w14:textId="77777777" w:rsidR="00DE28E5" w:rsidRPr="00A6169B" w:rsidRDefault="00DE28E5" w:rsidP="00FE61CE">
      <w:pPr>
        <w:pStyle w:val="Heading3"/>
      </w:pPr>
      <w:bookmarkStart w:id="37" w:name="_Toc16054656"/>
      <w:r w:rsidRPr="00A6169B">
        <w:t>Italy</w:t>
      </w:r>
      <w:bookmarkEnd w:id="37"/>
    </w:p>
    <w:p w14:paraId="257A4114" w14:textId="3CCA456B" w:rsidR="00DE28E5" w:rsidRDefault="00DE28E5" w:rsidP="000D7782">
      <w:pPr>
        <w:spacing w:before="120" w:after="120" w:line="240" w:lineRule="auto"/>
        <w:rPr>
          <w:rFonts w:cs="Arial"/>
          <w:szCs w:val="20"/>
        </w:rPr>
      </w:pPr>
      <w:r w:rsidRPr="00FD2CD1">
        <w:rPr>
          <w:rFonts w:cs="Arial"/>
          <w:szCs w:val="20"/>
        </w:rPr>
        <w:t>In 2015, the Italian Ministry for Economic Development</w:t>
      </w:r>
      <w:r>
        <w:rPr>
          <w:rFonts w:cs="Arial"/>
          <w:szCs w:val="20"/>
        </w:rPr>
        <w:t xml:space="preserve">, in conjunction </w:t>
      </w:r>
      <w:r w:rsidRPr="00FD2CD1">
        <w:rPr>
          <w:rFonts w:cs="Arial"/>
          <w:szCs w:val="20"/>
        </w:rPr>
        <w:t>with the Joint Research Centre of the European Commission</w:t>
      </w:r>
      <w:r w:rsidR="00531F09">
        <w:rPr>
          <w:rFonts w:cs="Arial"/>
          <w:szCs w:val="20"/>
        </w:rPr>
        <w:t xml:space="preserve">, undertook </w:t>
      </w:r>
      <w:r>
        <w:rPr>
          <w:rFonts w:cs="Arial"/>
          <w:szCs w:val="20"/>
        </w:rPr>
        <w:t>a</w:t>
      </w:r>
      <w:r w:rsidRPr="00FD2CD1">
        <w:rPr>
          <w:rFonts w:cs="Arial"/>
          <w:szCs w:val="20"/>
        </w:rPr>
        <w:t xml:space="preserve"> pilot project </w:t>
      </w:r>
      <w:r>
        <w:rPr>
          <w:rFonts w:cs="Arial"/>
          <w:szCs w:val="20"/>
        </w:rPr>
        <w:t>to trial</w:t>
      </w:r>
      <w:r w:rsidRPr="00FD2CD1">
        <w:rPr>
          <w:rFonts w:cs="Arial"/>
          <w:szCs w:val="20"/>
        </w:rPr>
        <w:t xml:space="preserve"> dynamic spectrum access </w:t>
      </w:r>
      <w:r w:rsidR="003A589D">
        <w:rPr>
          <w:rFonts w:cs="Arial"/>
          <w:szCs w:val="20"/>
        </w:rPr>
        <w:t>by</w:t>
      </w:r>
      <w:r w:rsidR="003A589D" w:rsidRPr="00FD2CD1">
        <w:rPr>
          <w:rFonts w:cs="Arial"/>
          <w:szCs w:val="20"/>
        </w:rPr>
        <w:t xml:space="preserve"> </w:t>
      </w:r>
      <w:r w:rsidRPr="00FD2CD1">
        <w:rPr>
          <w:rFonts w:cs="Arial"/>
          <w:szCs w:val="20"/>
        </w:rPr>
        <w:t xml:space="preserve">wireless broadband in the </w:t>
      </w:r>
      <w:r w:rsidR="001D106C">
        <w:rPr>
          <w:rFonts w:cs="Arial"/>
          <w:szCs w:val="20"/>
        </w:rPr>
        <w:t>2.3</w:t>
      </w:r>
      <w:r>
        <w:rPr>
          <w:rFonts w:cs="Arial"/>
          <w:szCs w:val="20"/>
        </w:rPr>
        <w:t xml:space="preserve"> GHz</w:t>
      </w:r>
      <w:r w:rsidRPr="00FD2CD1">
        <w:rPr>
          <w:rFonts w:cs="Arial"/>
          <w:szCs w:val="20"/>
        </w:rPr>
        <w:t xml:space="preserve"> band</w:t>
      </w:r>
      <w:r w:rsidRPr="00FD2CD1">
        <w:rPr>
          <w:rStyle w:val="FootnoteReference"/>
          <w:rFonts w:cs="Arial"/>
          <w:szCs w:val="20"/>
        </w:rPr>
        <w:footnoteReference w:id="13"/>
      </w:r>
      <w:r w:rsidR="00DE2F32">
        <w:rPr>
          <w:rFonts w:cs="Arial"/>
          <w:szCs w:val="20"/>
        </w:rPr>
        <w:t xml:space="preserve"> in indoor environments</w:t>
      </w:r>
      <w:r w:rsidRPr="00FD2CD1">
        <w:rPr>
          <w:rFonts w:cs="Arial"/>
          <w:szCs w:val="20"/>
        </w:rPr>
        <w:t xml:space="preserve">. The purpose of the project was to </w:t>
      </w:r>
      <w:r>
        <w:rPr>
          <w:rFonts w:cs="Arial"/>
          <w:szCs w:val="20"/>
        </w:rPr>
        <w:t xml:space="preserve">assess </w:t>
      </w:r>
      <w:r w:rsidRPr="00FD2CD1">
        <w:rPr>
          <w:rFonts w:cs="Arial"/>
          <w:szCs w:val="20"/>
        </w:rPr>
        <w:t xml:space="preserve">coexistence </w:t>
      </w:r>
      <w:r w:rsidR="00035C51">
        <w:rPr>
          <w:rFonts w:cs="Arial"/>
          <w:szCs w:val="20"/>
        </w:rPr>
        <w:t xml:space="preserve">potential </w:t>
      </w:r>
      <w:r>
        <w:rPr>
          <w:rFonts w:cs="Arial"/>
          <w:szCs w:val="20"/>
        </w:rPr>
        <w:t xml:space="preserve">between </w:t>
      </w:r>
      <w:r w:rsidRPr="00FD2CD1">
        <w:rPr>
          <w:rFonts w:cs="Arial"/>
          <w:szCs w:val="20"/>
        </w:rPr>
        <w:t>LTE</w:t>
      </w:r>
      <w:r w:rsidR="00820E19">
        <w:rPr>
          <w:rFonts w:cs="Arial"/>
          <w:szCs w:val="20"/>
        </w:rPr>
        <w:t xml:space="preserve"> wireless broadband</w:t>
      </w:r>
      <w:r w:rsidRPr="00FD2CD1">
        <w:rPr>
          <w:rFonts w:cs="Arial"/>
          <w:szCs w:val="20"/>
        </w:rPr>
        <w:t xml:space="preserve"> systems </w:t>
      </w:r>
      <w:r w:rsidR="00820E19">
        <w:rPr>
          <w:rFonts w:cs="Arial"/>
          <w:szCs w:val="20"/>
        </w:rPr>
        <w:t>and other</w:t>
      </w:r>
      <w:r w:rsidR="00820E19" w:rsidRPr="00FD2CD1">
        <w:rPr>
          <w:rFonts w:cs="Arial"/>
          <w:szCs w:val="20"/>
        </w:rPr>
        <w:t xml:space="preserve"> </w:t>
      </w:r>
      <w:r w:rsidRPr="00FD2CD1">
        <w:rPr>
          <w:rFonts w:cs="Arial"/>
          <w:szCs w:val="20"/>
        </w:rPr>
        <w:t>co-</w:t>
      </w:r>
      <w:r>
        <w:rPr>
          <w:rFonts w:cs="Arial"/>
          <w:szCs w:val="20"/>
        </w:rPr>
        <w:t>frequency</w:t>
      </w:r>
      <w:r w:rsidRPr="00FD2CD1">
        <w:rPr>
          <w:rFonts w:cs="Arial"/>
          <w:szCs w:val="20"/>
        </w:rPr>
        <w:t xml:space="preserve"> </w:t>
      </w:r>
      <w:r>
        <w:rPr>
          <w:rFonts w:cs="Arial"/>
          <w:szCs w:val="20"/>
        </w:rPr>
        <w:t xml:space="preserve">(mainly fixed) </w:t>
      </w:r>
      <w:r w:rsidRPr="00FD2CD1">
        <w:rPr>
          <w:rFonts w:cs="Arial"/>
          <w:szCs w:val="20"/>
        </w:rPr>
        <w:t xml:space="preserve">services. Coexistence </w:t>
      </w:r>
      <w:r>
        <w:rPr>
          <w:rFonts w:cs="Arial"/>
          <w:szCs w:val="20"/>
        </w:rPr>
        <w:t xml:space="preserve">was </w:t>
      </w:r>
      <w:r w:rsidR="0014580C">
        <w:rPr>
          <w:rFonts w:cs="Arial"/>
          <w:szCs w:val="20"/>
        </w:rPr>
        <w:t>assessed as</w:t>
      </w:r>
      <w:r>
        <w:rPr>
          <w:rFonts w:cs="Arial"/>
          <w:szCs w:val="20"/>
        </w:rPr>
        <w:t xml:space="preserve"> feasible for indoor</w:t>
      </w:r>
      <w:r w:rsidRPr="00FD2CD1">
        <w:rPr>
          <w:rFonts w:cs="Arial"/>
          <w:szCs w:val="20"/>
        </w:rPr>
        <w:t xml:space="preserve"> LTE network</w:t>
      </w:r>
      <w:r>
        <w:rPr>
          <w:rFonts w:cs="Arial"/>
          <w:szCs w:val="20"/>
        </w:rPr>
        <w:t>s</w:t>
      </w:r>
      <w:r w:rsidRPr="00FD2CD1">
        <w:rPr>
          <w:rFonts w:cs="Arial"/>
          <w:szCs w:val="20"/>
        </w:rPr>
        <w:t xml:space="preserve"> </w:t>
      </w:r>
      <w:r>
        <w:rPr>
          <w:rFonts w:cs="Arial"/>
          <w:szCs w:val="20"/>
        </w:rPr>
        <w:t>but more difficult for outdoor d</w:t>
      </w:r>
      <w:r w:rsidRPr="00FD2CD1">
        <w:rPr>
          <w:rFonts w:cs="Arial"/>
          <w:szCs w:val="20"/>
        </w:rPr>
        <w:t>eployments</w:t>
      </w:r>
      <w:r>
        <w:rPr>
          <w:rFonts w:cs="Arial"/>
          <w:szCs w:val="20"/>
        </w:rPr>
        <w:t xml:space="preserve"> without the application of additional, non-standard mitigation techniques such as power or siting restrictions. </w:t>
      </w:r>
    </w:p>
    <w:p w14:paraId="5E1F56A2" w14:textId="485825C6" w:rsidR="00DE28E5" w:rsidRPr="00FD2CD1" w:rsidRDefault="00DE28E5" w:rsidP="000D7782">
      <w:pPr>
        <w:spacing w:before="120" w:after="120" w:line="240" w:lineRule="auto"/>
        <w:rPr>
          <w:rFonts w:cs="Arial"/>
          <w:szCs w:val="20"/>
        </w:rPr>
      </w:pPr>
      <w:r>
        <w:rPr>
          <w:rFonts w:cs="Arial"/>
          <w:szCs w:val="20"/>
        </w:rPr>
        <w:t>The framework for sharing was based on an LSA approach which involved definition of specific technical and operational conditions for access seekers and protection zones around fixed service receivers. In concluding that co-existence between LTE and fixed services under tiered LSA arrangements was feasible</w:t>
      </w:r>
      <w:r w:rsidR="005915B7">
        <w:rPr>
          <w:rFonts w:cs="Arial"/>
          <w:szCs w:val="20"/>
        </w:rPr>
        <w:t>, it was also proposed that these arrangements</w:t>
      </w:r>
      <w:r>
        <w:rPr>
          <w:rFonts w:cs="Arial"/>
          <w:szCs w:val="20"/>
        </w:rPr>
        <w:t xml:space="preserve"> could be expanded </w:t>
      </w:r>
      <w:r w:rsidR="005915B7">
        <w:rPr>
          <w:rFonts w:cs="Arial"/>
          <w:szCs w:val="20"/>
        </w:rPr>
        <w:t>in</w:t>
      </w:r>
      <w:r>
        <w:rPr>
          <w:rFonts w:cs="Arial"/>
          <w:szCs w:val="20"/>
        </w:rPr>
        <w:t xml:space="preserve">to other frequency bands such as in 3400–4200 </w:t>
      </w:r>
      <w:r>
        <w:rPr>
          <w:rFonts w:cs="Arial"/>
          <w:szCs w:val="20"/>
        </w:rPr>
        <w:lastRenderedPageBreak/>
        <w:t>MHz, where larger bandwidths might be required for technologies such as 5G wireless broadband.</w:t>
      </w:r>
    </w:p>
    <w:p w14:paraId="734B71CB" w14:textId="77777777" w:rsidR="00DE28E5" w:rsidRPr="00A6169B" w:rsidRDefault="00DE28E5" w:rsidP="00FE61CE">
      <w:pPr>
        <w:pStyle w:val="Heading3"/>
      </w:pPr>
      <w:bookmarkStart w:id="38" w:name="_Toc16054657"/>
      <w:r w:rsidRPr="00A6169B">
        <w:t>United Kingdom</w:t>
      </w:r>
      <w:bookmarkEnd w:id="38"/>
    </w:p>
    <w:p w14:paraId="1A843785" w14:textId="30134E39" w:rsidR="000807F9" w:rsidRDefault="000807F9" w:rsidP="000D7782">
      <w:pPr>
        <w:spacing w:before="120" w:after="120" w:line="240" w:lineRule="auto"/>
        <w:rPr>
          <w:rFonts w:cs="Arial"/>
          <w:szCs w:val="20"/>
        </w:rPr>
      </w:pPr>
      <w:r>
        <w:rPr>
          <w:rFonts w:cs="Arial"/>
          <w:szCs w:val="20"/>
        </w:rPr>
        <w:t>As recently as December 2018</w:t>
      </w:r>
      <w:r w:rsidR="00EE72F1">
        <w:rPr>
          <w:rFonts w:cs="Arial"/>
          <w:szCs w:val="20"/>
        </w:rPr>
        <w:t xml:space="preserve">, </w:t>
      </w:r>
      <w:r>
        <w:rPr>
          <w:rFonts w:cs="Arial"/>
          <w:szCs w:val="20"/>
        </w:rPr>
        <w:t xml:space="preserve">the </w:t>
      </w:r>
      <w:r w:rsidRPr="00FD2CD1">
        <w:rPr>
          <w:rFonts w:cs="Arial"/>
          <w:szCs w:val="20"/>
        </w:rPr>
        <w:t>UK</w:t>
      </w:r>
      <w:r>
        <w:rPr>
          <w:rFonts w:cs="Arial"/>
          <w:szCs w:val="20"/>
        </w:rPr>
        <w:t xml:space="preserve"> spectrum</w:t>
      </w:r>
      <w:r w:rsidRPr="00FD2CD1">
        <w:rPr>
          <w:rFonts w:cs="Arial"/>
          <w:szCs w:val="20"/>
        </w:rPr>
        <w:t xml:space="preserve"> regulator</w:t>
      </w:r>
      <w:r w:rsidR="00EE72F1">
        <w:rPr>
          <w:rFonts w:cs="Arial"/>
          <w:szCs w:val="20"/>
        </w:rPr>
        <w:t>,</w:t>
      </w:r>
      <w:r w:rsidRPr="00FD2CD1">
        <w:rPr>
          <w:rFonts w:cs="Arial"/>
          <w:szCs w:val="20"/>
        </w:rPr>
        <w:t xml:space="preserve"> OFCOM</w:t>
      </w:r>
      <w:r>
        <w:rPr>
          <w:rFonts w:cs="Arial"/>
          <w:szCs w:val="20"/>
        </w:rPr>
        <w:t xml:space="preserve"> proposed spectrum sharing approaches </w:t>
      </w:r>
      <w:r w:rsidR="00A06B85">
        <w:rPr>
          <w:rFonts w:cs="Arial"/>
          <w:szCs w:val="20"/>
        </w:rPr>
        <w:t xml:space="preserve">in </w:t>
      </w:r>
      <w:r w:rsidR="008311B5">
        <w:rPr>
          <w:rFonts w:cs="Arial"/>
          <w:szCs w:val="20"/>
        </w:rPr>
        <w:t>several</w:t>
      </w:r>
      <w:r>
        <w:rPr>
          <w:rFonts w:cs="Arial"/>
          <w:szCs w:val="20"/>
        </w:rPr>
        <w:t xml:space="preserve"> frequency bands. These approaches </w:t>
      </w:r>
      <w:r w:rsidR="006F46A4">
        <w:rPr>
          <w:rFonts w:cs="Arial"/>
          <w:szCs w:val="20"/>
        </w:rPr>
        <w:t>use</w:t>
      </w:r>
      <w:r>
        <w:rPr>
          <w:rFonts w:cs="Arial"/>
          <w:szCs w:val="20"/>
        </w:rPr>
        <w:t xml:space="preserve"> methods </w:t>
      </w:r>
      <w:r w:rsidR="006F46A4">
        <w:rPr>
          <w:rFonts w:cs="Arial"/>
          <w:szCs w:val="20"/>
        </w:rPr>
        <w:t xml:space="preserve">involving </w:t>
      </w:r>
      <w:r>
        <w:rPr>
          <w:rFonts w:cs="Arial"/>
          <w:szCs w:val="20"/>
        </w:rPr>
        <w:t xml:space="preserve">static </w:t>
      </w:r>
      <w:r w:rsidR="00F213E0">
        <w:rPr>
          <w:rFonts w:cs="Arial"/>
          <w:szCs w:val="20"/>
        </w:rPr>
        <w:t xml:space="preserve">coordination </w:t>
      </w:r>
      <w:r w:rsidR="008311B5">
        <w:rPr>
          <w:rFonts w:cs="Arial"/>
          <w:szCs w:val="20"/>
        </w:rPr>
        <w:t>with existing services to avoid interference</w:t>
      </w:r>
      <w:r w:rsidR="00F213E0">
        <w:rPr>
          <w:rFonts w:cs="Arial"/>
          <w:szCs w:val="20"/>
        </w:rPr>
        <w:t>, which i</w:t>
      </w:r>
      <w:r w:rsidR="000162E3">
        <w:rPr>
          <w:rFonts w:cs="Arial"/>
          <w:szCs w:val="20"/>
        </w:rPr>
        <w:t xml:space="preserve">s more in line with the traditional idea of sharing than </w:t>
      </w:r>
      <w:r w:rsidR="005601CC">
        <w:rPr>
          <w:rFonts w:cs="Arial"/>
          <w:szCs w:val="20"/>
        </w:rPr>
        <w:t>contemporary dynamic sharing models.</w:t>
      </w:r>
    </w:p>
    <w:p w14:paraId="30597CFF" w14:textId="716F9D44" w:rsidR="00DE28E5" w:rsidRPr="00FD2CD1" w:rsidRDefault="005601CC" w:rsidP="00FE61CE">
      <w:pPr>
        <w:spacing w:before="120" w:after="80" w:line="240" w:lineRule="auto"/>
        <w:rPr>
          <w:rFonts w:cs="Arial"/>
          <w:szCs w:val="20"/>
        </w:rPr>
      </w:pPr>
      <w:r>
        <w:rPr>
          <w:rFonts w:cs="Arial"/>
          <w:szCs w:val="20"/>
        </w:rPr>
        <w:t>Prior to this, i</w:t>
      </w:r>
      <w:r w:rsidR="00DE28E5">
        <w:rPr>
          <w:rFonts w:cs="Arial"/>
          <w:szCs w:val="20"/>
        </w:rPr>
        <w:t xml:space="preserve">n </w:t>
      </w:r>
      <w:r w:rsidR="00DE28E5" w:rsidRPr="00FD2CD1">
        <w:rPr>
          <w:rFonts w:cs="Arial"/>
          <w:szCs w:val="20"/>
        </w:rPr>
        <w:t xml:space="preserve">2015 OFCOM </w:t>
      </w:r>
      <w:r w:rsidR="00B157A5">
        <w:rPr>
          <w:rFonts w:cs="Arial"/>
          <w:szCs w:val="20"/>
        </w:rPr>
        <w:t xml:space="preserve">had </w:t>
      </w:r>
      <w:r w:rsidR="00DE28E5">
        <w:rPr>
          <w:rFonts w:cs="Arial"/>
          <w:szCs w:val="20"/>
        </w:rPr>
        <w:t xml:space="preserve">proposed high-level </w:t>
      </w:r>
      <w:r w:rsidR="00DE28E5" w:rsidRPr="00FD2CD1">
        <w:rPr>
          <w:rFonts w:cs="Arial"/>
          <w:szCs w:val="20"/>
        </w:rPr>
        <w:t>framework for spectrum sharing</w:t>
      </w:r>
      <w:r w:rsidR="0098755E">
        <w:rPr>
          <w:rFonts w:cs="Arial"/>
          <w:szCs w:val="20"/>
        </w:rPr>
        <w:t>, which included non-traditional methods</w:t>
      </w:r>
      <w:r w:rsidR="00530402">
        <w:rPr>
          <w:rFonts w:cs="Arial"/>
          <w:szCs w:val="20"/>
        </w:rPr>
        <w:t xml:space="preserve"> of spectrum sharing</w:t>
      </w:r>
      <w:r w:rsidR="0098755E">
        <w:rPr>
          <w:rFonts w:cs="Arial"/>
          <w:szCs w:val="20"/>
        </w:rPr>
        <w:t xml:space="preserve"> such as </w:t>
      </w:r>
      <w:r w:rsidR="00B157A5">
        <w:rPr>
          <w:rFonts w:cs="Arial"/>
          <w:szCs w:val="20"/>
        </w:rPr>
        <w:t>DSA</w:t>
      </w:r>
      <w:r w:rsidR="00530402">
        <w:rPr>
          <w:rFonts w:cs="Arial"/>
          <w:szCs w:val="20"/>
        </w:rPr>
        <w:t xml:space="preserve">, among other </w:t>
      </w:r>
      <w:r w:rsidR="00B157A5">
        <w:rPr>
          <w:rFonts w:cs="Arial"/>
          <w:szCs w:val="20"/>
        </w:rPr>
        <w:t xml:space="preserve">potential </w:t>
      </w:r>
      <w:r w:rsidR="00795E65">
        <w:rPr>
          <w:rFonts w:cs="Arial"/>
          <w:szCs w:val="20"/>
        </w:rPr>
        <w:t xml:space="preserve">spectrum sharing </w:t>
      </w:r>
      <w:r w:rsidR="00530402">
        <w:rPr>
          <w:rFonts w:cs="Arial"/>
          <w:szCs w:val="20"/>
        </w:rPr>
        <w:t>methods</w:t>
      </w:r>
      <w:r w:rsidR="00DE28E5" w:rsidRPr="00FD2CD1">
        <w:rPr>
          <w:rStyle w:val="FootnoteReference"/>
          <w:rFonts w:cs="Arial"/>
          <w:szCs w:val="20"/>
        </w:rPr>
        <w:footnoteReference w:id="14"/>
      </w:r>
      <w:r w:rsidR="00DE28E5" w:rsidRPr="00FD2CD1">
        <w:rPr>
          <w:rFonts w:cs="Arial"/>
          <w:szCs w:val="20"/>
        </w:rPr>
        <w:t xml:space="preserve">. The framework was </w:t>
      </w:r>
      <w:r w:rsidR="00DE28E5">
        <w:rPr>
          <w:rFonts w:cs="Arial"/>
          <w:szCs w:val="20"/>
        </w:rPr>
        <w:t>intended to assist with the identification of</w:t>
      </w:r>
      <w:r w:rsidR="00DE28E5" w:rsidRPr="00FD2CD1">
        <w:rPr>
          <w:rFonts w:cs="Arial"/>
          <w:szCs w:val="20"/>
        </w:rPr>
        <w:t xml:space="preserve"> how and where sharing</w:t>
      </w:r>
      <w:r w:rsidR="00530402">
        <w:rPr>
          <w:rFonts w:cs="Arial"/>
          <w:szCs w:val="20"/>
        </w:rPr>
        <w:t xml:space="preserve"> spectrum</w:t>
      </w:r>
      <w:r w:rsidR="00DE28E5">
        <w:rPr>
          <w:rFonts w:cs="Arial"/>
          <w:szCs w:val="20"/>
        </w:rPr>
        <w:t xml:space="preserve"> might be feasible</w:t>
      </w:r>
      <w:r w:rsidR="00DE28E5" w:rsidRPr="00FD2CD1">
        <w:rPr>
          <w:rFonts w:cs="Arial"/>
          <w:szCs w:val="20"/>
        </w:rPr>
        <w:t xml:space="preserve">, by considering three </w:t>
      </w:r>
      <w:r w:rsidR="00DE28E5">
        <w:rPr>
          <w:rFonts w:cs="Arial"/>
          <w:szCs w:val="20"/>
        </w:rPr>
        <w:t xml:space="preserve">key </w:t>
      </w:r>
      <w:r w:rsidR="00DE28E5" w:rsidRPr="00FD2CD1">
        <w:rPr>
          <w:rFonts w:cs="Arial"/>
          <w:szCs w:val="20"/>
        </w:rPr>
        <w:t xml:space="preserve">elements: </w:t>
      </w:r>
    </w:p>
    <w:p w14:paraId="741D0D0A" w14:textId="50DF1A22" w:rsidR="00DE28E5" w:rsidRPr="00FD2CD1" w:rsidRDefault="00285E08" w:rsidP="00FE61CE">
      <w:pPr>
        <w:pStyle w:val="ListBullet"/>
      </w:pPr>
      <w:r>
        <w:t>c</w:t>
      </w:r>
      <w:r w:rsidR="00DE28E5" w:rsidRPr="00FD2CD1">
        <w:t xml:space="preserve">haracteristics of use for both incumbent and prospective users </w:t>
      </w:r>
      <w:r w:rsidR="00DE28E5">
        <w:t>to</w:t>
      </w:r>
      <w:r w:rsidR="00DE28E5" w:rsidRPr="00FD2CD1">
        <w:t xml:space="preserve"> inform an initial view </w:t>
      </w:r>
      <w:r w:rsidR="005E6DC2">
        <w:t>on</w:t>
      </w:r>
      <w:r w:rsidR="005E6DC2" w:rsidRPr="00FD2CD1">
        <w:t xml:space="preserve"> </w:t>
      </w:r>
      <w:r w:rsidR="00DE28E5" w:rsidRPr="00FD2CD1">
        <w:t>sharing</w:t>
      </w:r>
      <w:r w:rsidR="00DE28E5">
        <w:t xml:space="preserve"> potential</w:t>
      </w:r>
      <w:r w:rsidR="00DE28E5" w:rsidRPr="00FD2CD1">
        <w:t xml:space="preserve"> and </w:t>
      </w:r>
      <w:r w:rsidR="00DE28E5">
        <w:t>any</w:t>
      </w:r>
      <w:r w:rsidR="00DE28E5" w:rsidRPr="00FD2CD1">
        <w:t xml:space="preserve"> tools </w:t>
      </w:r>
      <w:r w:rsidR="00DE28E5">
        <w:t xml:space="preserve">that </w:t>
      </w:r>
      <w:r w:rsidR="00DE28E5" w:rsidRPr="00FD2CD1">
        <w:t xml:space="preserve">may be </w:t>
      </w:r>
      <w:r w:rsidR="0073097E">
        <w:t>useful</w:t>
      </w:r>
    </w:p>
    <w:p w14:paraId="198A20A3" w14:textId="6443898A" w:rsidR="00DE28E5" w:rsidRPr="00FD2CD1" w:rsidRDefault="00285E08" w:rsidP="00FE61CE">
      <w:pPr>
        <w:pStyle w:val="ListBullet"/>
      </w:pPr>
      <w:r>
        <w:t>p</w:t>
      </w:r>
      <w:r w:rsidR="00DE28E5">
        <w:t>otential barriers to</w:t>
      </w:r>
      <w:r w:rsidR="00DE28E5" w:rsidRPr="00FD2CD1">
        <w:t xml:space="preserve"> sharing, </w:t>
      </w:r>
      <w:r w:rsidR="00DE28E5">
        <w:t>noting</w:t>
      </w:r>
      <w:r w:rsidR="00DE28E5" w:rsidRPr="00FD2CD1">
        <w:t xml:space="preserve"> the liberalisation of licences and </w:t>
      </w:r>
      <w:r w:rsidR="00DE28E5">
        <w:t xml:space="preserve">secondary </w:t>
      </w:r>
      <w:r w:rsidR="00DE28E5" w:rsidRPr="00FD2CD1">
        <w:t xml:space="preserve">market tools such </w:t>
      </w:r>
      <w:r w:rsidR="00DE28E5">
        <w:t>in the UK</w:t>
      </w:r>
    </w:p>
    <w:p w14:paraId="6312C52F" w14:textId="0E005B70" w:rsidR="00DE28E5" w:rsidRPr="00FD2CD1" w:rsidRDefault="00285E08" w:rsidP="00FE61CE">
      <w:pPr>
        <w:pStyle w:val="ListBulletLast"/>
      </w:pPr>
      <w:r>
        <w:t>a</w:t>
      </w:r>
      <w:r w:rsidR="00DE28E5">
        <w:t>vailable regulatory</w:t>
      </w:r>
      <w:r w:rsidR="00DE28E5" w:rsidRPr="00FD2CD1">
        <w:t xml:space="preserve"> tools and technology </w:t>
      </w:r>
      <w:r w:rsidR="00DE28E5">
        <w:t xml:space="preserve">that might </w:t>
      </w:r>
      <w:r w:rsidR="00DE28E5" w:rsidRPr="00FD2CD1">
        <w:t>enablers that match the characteristics of use and barriers to facilitate new and/or more intense sharing.</w:t>
      </w:r>
    </w:p>
    <w:p w14:paraId="62239036" w14:textId="3EC0852B" w:rsidR="00DE28E5" w:rsidRDefault="00DE28E5" w:rsidP="000D7782">
      <w:pPr>
        <w:spacing w:before="120" w:after="120" w:line="240" w:lineRule="auto"/>
        <w:rPr>
          <w:rFonts w:cs="Arial"/>
          <w:szCs w:val="20"/>
        </w:rPr>
      </w:pPr>
      <w:r>
        <w:rPr>
          <w:rFonts w:cs="Arial"/>
          <w:szCs w:val="20"/>
        </w:rPr>
        <w:t>Following industry input</w:t>
      </w:r>
      <w:r w:rsidR="002245B8">
        <w:rPr>
          <w:rFonts w:cs="Arial"/>
          <w:szCs w:val="20"/>
        </w:rPr>
        <w:t xml:space="preserve"> and taking into consideration the above three elements</w:t>
      </w:r>
      <w:r w:rsidR="001C22FA">
        <w:rPr>
          <w:rFonts w:cs="Arial"/>
          <w:szCs w:val="20"/>
        </w:rPr>
        <w:t>,</w:t>
      </w:r>
      <w:r w:rsidRPr="00FD2CD1">
        <w:rPr>
          <w:rFonts w:cs="Arial"/>
          <w:szCs w:val="20"/>
        </w:rPr>
        <w:t xml:space="preserve"> </w:t>
      </w:r>
      <w:r>
        <w:rPr>
          <w:rFonts w:cs="Arial"/>
          <w:szCs w:val="20"/>
        </w:rPr>
        <w:t>the 3800</w:t>
      </w:r>
      <w:r w:rsidR="00285E08">
        <w:rPr>
          <w:rFonts w:cs="Arial"/>
          <w:szCs w:val="20"/>
        </w:rPr>
        <w:t>–</w:t>
      </w:r>
      <w:r>
        <w:rPr>
          <w:rFonts w:cs="Arial"/>
          <w:szCs w:val="20"/>
        </w:rPr>
        <w:t xml:space="preserve">4200 MHz </w:t>
      </w:r>
      <w:r w:rsidRPr="00FD2CD1">
        <w:rPr>
          <w:rFonts w:cs="Arial"/>
          <w:szCs w:val="20"/>
        </w:rPr>
        <w:t>band</w:t>
      </w:r>
      <w:r>
        <w:rPr>
          <w:rFonts w:cs="Arial"/>
          <w:szCs w:val="20"/>
        </w:rPr>
        <w:t xml:space="preserve"> </w:t>
      </w:r>
      <w:r w:rsidR="0096017B">
        <w:rPr>
          <w:rFonts w:cs="Arial"/>
          <w:szCs w:val="20"/>
        </w:rPr>
        <w:t xml:space="preserve">was identified </w:t>
      </w:r>
      <w:r>
        <w:rPr>
          <w:rFonts w:cs="Arial"/>
          <w:szCs w:val="20"/>
        </w:rPr>
        <w:t xml:space="preserve">as a candidate for </w:t>
      </w:r>
      <w:r w:rsidRPr="00FD2CD1">
        <w:rPr>
          <w:rFonts w:cs="Arial"/>
          <w:szCs w:val="20"/>
        </w:rPr>
        <w:t>sharing</w:t>
      </w:r>
      <w:r w:rsidR="00D355DD">
        <w:rPr>
          <w:rFonts w:cs="Arial"/>
          <w:szCs w:val="20"/>
        </w:rPr>
        <w:t xml:space="preserve"> between wireless broadband services </w:t>
      </w:r>
      <w:r w:rsidR="002604A1">
        <w:rPr>
          <w:rFonts w:cs="Arial"/>
          <w:szCs w:val="20"/>
        </w:rPr>
        <w:t>and</w:t>
      </w:r>
      <w:r w:rsidRPr="009F75A6">
        <w:rPr>
          <w:rFonts w:cs="Arial"/>
          <w:szCs w:val="20"/>
        </w:rPr>
        <w:t xml:space="preserve"> </w:t>
      </w:r>
      <w:r>
        <w:rPr>
          <w:rFonts w:cs="Arial"/>
          <w:szCs w:val="20"/>
        </w:rPr>
        <w:t>incumbent</w:t>
      </w:r>
      <w:r w:rsidRPr="00FD2CD1">
        <w:rPr>
          <w:rFonts w:cs="Arial"/>
          <w:szCs w:val="20"/>
        </w:rPr>
        <w:t xml:space="preserve"> fixed links and satellite earth stations. </w:t>
      </w:r>
    </w:p>
    <w:p w14:paraId="650C53C8" w14:textId="7AC1A646" w:rsidR="00FD2948" w:rsidRDefault="00481901" w:rsidP="000D7782">
      <w:pPr>
        <w:spacing w:before="120" w:after="120" w:line="240" w:lineRule="auto"/>
        <w:rPr>
          <w:rFonts w:cs="Arial"/>
          <w:szCs w:val="20"/>
        </w:rPr>
      </w:pPr>
      <w:r>
        <w:rPr>
          <w:rFonts w:cs="Arial"/>
          <w:szCs w:val="20"/>
        </w:rPr>
        <w:t>I</w:t>
      </w:r>
      <w:r w:rsidR="00FD2948">
        <w:rPr>
          <w:rFonts w:cs="Arial"/>
          <w:szCs w:val="20"/>
        </w:rPr>
        <w:t>n 2015, OFCOM announced a proposal to implement access to TV white spaces in the 470</w:t>
      </w:r>
      <w:r w:rsidR="00285E08">
        <w:rPr>
          <w:rFonts w:cs="Arial"/>
          <w:szCs w:val="20"/>
        </w:rPr>
        <w:t>–</w:t>
      </w:r>
      <w:r w:rsidR="00FD2948">
        <w:rPr>
          <w:rFonts w:cs="Arial"/>
          <w:szCs w:val="20"/>
        </w:rPr>
        <w:t>790 MHz band. This</w:t>
      </w:r>
      <w:r w:rsidR="00924B4D">
        <w:rPr>
          <w:rFonts w:cs="Arial"/>
          <w:szCs w:val="20"/>
        </w:rPr>
        <w:t xml:space="preserve"> </w:t>
      </w:r>
      <w:r w:rsidR="00FD2948">
        <w:rPr>
          <w:rFonts w:cs="Arial"/>
          <w:szCs w:val="20"/>
        </w:rPr>
        <w:t>involve</w:t>
      </w:r>
      <w:r w:rsidR="000F174E">
        <w:rPr>
          <w:rFonts w:cs="Arial"/>
          <w:szCs w:val="20"/>
        </w:rPr>
        <w:t>d</w:t>
      </w:r>
      <w:r w:rsidR="00FD2948">
        <w:rPr>
          <w:rFonts w:cs="Arial"/>
          <w:szCs w:val="20"/>
        </w:rPr>
        <w:t xml:space="preserve"> making spectrum that is allocated to TV broadcasting services available in locations where they are not being used. Spectrum for TV broadcasting services goes unused in some locations because high-power TV broadcast transmitters using the same frequency need significant geographical separation between their coverage areas to avoid interference. </w:t>
      </w:r>
    </w:p>
    <w:p w14:paraId="24F719A4" w14:textId="25E2E3BF" w:rsidR="00FD2948" w:rsidRDefault="00FD2948" w:rsidP="000D7782">
      <w:pPr>
        <w:spacing w:before="120" w:after="120" w:line="240" w:lineRule="auto"/>
        <w:rPr>
          <w:rFonts w:cs="Arial"/>
          <w:szCs w:val="20"/>
        </w:rPr>
      </w:pPr>
      <w:r>
        <w:rPr>
          <w:rFonts w:cs="Arial"/>
          <w:szCs w:val="20"/>
        </w:rPr>
        <w:t>Spectrum in these areas that would normally go underutilised can be accessed</w:t>
      </w:r>
      <w:r w:rsidR="003E34DE">
        <w:rPr>
          <w:rFonts w:cs="Arial"/>
          <w:szCs w:val="20"/>
        </w:rPr>
        <w:t xml:space="preserve"> </w:t>
      </w:r>
      <w:r w:rsidR="000316FA">
        <w:rPr>
          <w:rFonts w:cs="Arial"/>
          <w:szCs w:val="20"/>
        </w:rPr>
        <w:t>by</w:t>
      </w:r>
      <w:r w:rsidR="003E34DE">
        <w:rPr>
          <w:rFonts w:cs="Arial"/>
          <w:szCs w:val="20"/>
        </w:rPr>
        <w:t xml:space="preserve"> </w:t>
      </w:r>
      <w:r>
        <w:rPr>
          <w:rFonts w:cs="Arial"/>
          <w:szCs w:val="20"/>
        </w:rPr>
        <w:t>devices</w:t>
      </w:r>
      <w:r w:rsidR="003E34DE">
        <w:rPr>
          <w:rFonts w:cs="Arial"/>
          <w:szCs w:val="20"/>
        </w:rPr>
        <w:t xml:space="preserve"> which</w:t>
      </w:r>
      <w:r>
        <w:rPr>
          <w:rFonts w:cs="Arial"/>
          <w:szCs w:val="20"/>
        </w:rPr>
        <w:t xml:space="preserve"> are designed to </w:t>
      </w:r>
      <w:r w:rsidR="003E34DE">
        <w:rPr>
          <w:rFonts w:cs="Arial"/>
          <w:szCs w:val="20"/>
        </w:rPr>
        <w:t xml:space="preserve">occupy </w:t>
      </w:r>
      <w:r>
        <w:rPr>
          <w:rFonts w:cs="Arial"/>
          <w:szCs w:val="20"/>
        </w:rPr>
        <w:t xml:space="preserve">frequency segments </w:t>
      </w:r>
      <w:r w:rsidR="003E34DE">
        <w:rPr>
          <w:rFonts w:cs="Arial"/>
          <w:szCs w:val="20"/>
        </w:rPr>
        <w:t xml:space="preserve">that are not </w:t>
      </w:r>
      <w:r w:rsidR="00312612">
        <w:rPr>
          <w:rFonts w:cs="Arial"/>
          <w:szCs w:val="20"/>
        </w:rPr>
        <w:t>used by</w:t>
      </w:r>
      <w:r>
        <w:rPr>
          <w:rFonts w:cs="Arial"/>
          <w:szCs w:val="20"/>
        </w:rPr>
        <w:t xml:space="preserve"> broadcast services </w:t>
      </w:r>
      <w:r w:rsidR="00312612">
        <w:rPr>
          <w:rFonts w:cs="Arial"/>
          <w:szCs w:val="20"/>
        </w:rPr>
        <w:t xml:space="preserve">or </w:t>
      </w:r>
      <w:r>
        <w:rPr>
          <w:rFonts w:cs="Arial"/>
          <w:szCs w:val="20"/>
        </w:rPr>
        <w:t xml:space="preserve">Programme Making and Special Events (PMSE) </w:t>
      </w:r>
      <w:r w:rsidR="00312612">
        <w:rPr>
          <w:rFonts w:cs="Arial"/>
          <w:szCs w:val="20"/>
        </w:rPr>
        <w:t>services within a given area.</w:t>
      </w:r>
    </w:p>
    <w:p w14:paraId="1A578F24" w14:textId="5BBF73BC" w:rsidR="0035599E" w:rsidRDefault="00312612" w:rsidP="000D7782">
      <w:pPr>
        <w:spacing w:before="120" w:after="120" w:line="240" w:lineRule="auto"/>
        <w:rPr>
          <w:rFonts w:cs="Arial"/>
          <w:szCs w:val="20"/>
        </w:rPr>
      </w:pPr>
      <w:r>
        <w:rPr>
          <w:rFonts w:cs="Arial"/>
          <w:szCs w:val="20"/>
        </w:rPr>
        <w:t>Access to white spaces is permitted</w:t>
      </w:r>
      <w:r w:rsidRPr="0035599E">
        <w:rPr>
          <w:rFonts w:cs="Arial"/>
          <w:szCs w:val="20"/>
        </w:rPr>
        <w:t xml:space="preserve"> </w:t>
      </w:r>
      <w:r w:rsidR="0035599E" w:rsidRPr="0035599E">
        <w:rPr>
          <w:rFonts w:cs="Arial"/>
          <w:szCs w:val="20"/>
        </w:rPr>
        <w:t xml:space="preserve">dynamically </w:t>
      </w:r>
      <w:r w:rsidR="00011BFE">
        <w:rPr>
          <w:rFonts w:cs="Arial"/>
          <w:szCs w:val="20"/>
        </w:rPr>
        <w:t>through</w:t>
      </w:r>
      <w:r w:rsidR="0035599E" w:rsidRPr="0035599E">
        <w:rPr>
          <w:rFonts w:cs="Arial"/>
          <w:szCs w:val="20"/>
        </w:rPr>
        <w:t xml:space="preserve"> a central controller that refers to a database </w:t>
      </w:r>
      <w:r>
        <w:rPr>
          <w:rFonts w:cs="Arial"/>
          <w:szCs w:val="20"/>
        </w:rPr>
        <w:t>which contains</w:t>
      </w:r>
      <w:r w:rsidRPr="0035599E">
        <w:rPr>
          <w:rFonts w:cs="Arial"/>
          <w:szCs w:val="20"/>
        </w:rPr>
        <w:t xml:space="preserve"> </w:t>
      </w:r>
      <w:r w:rsidR="0035599E" w:rsidRPr="0035599E">
        <w:rPr>
          <w:rFonts w:cs="Arial"/>
          <w:szCs w:val="20"/>
        </w:rPr>
        <w:t>information on the locations of TV broadcasting and PMSE services, as well as technical constraints on/operational guidelines for TV white space devices. These constraints and guidelines pertain to geographical locations, transmission powers, frequencies and times where TV white space devices can safely be deployed without adversely affecting TV or PSME reception.</w:t>
      </w:r>
    </w:p>
    <w:p w14:paraId="0960564A" w14:textId="471E2571" w:rsidR="00DE28E5" w:rsidRPr="00285E08" w:rsidRDefault="00DE28E5" w:rsidP="00FE61CE">
      <w:pPr>
        <w:pStyle w:val="Heading3"/>
      </w:pPr>
      <w:bookmarkStart w:id="39" w:name="_Toc16054658"/>
      <w:r w:rsidRPr="00285E08">
        <w:t>United States</w:t>
      </w:r>
      <w:bookmarkEnd w:id="39"/>
    </w:p>
    <w:p w14:paraId="4FDB1339" w14:textId="7214BB98" w:rsidR="00DE28E5" w:rsidRPr="00A61EE5" w:rsidRDefault="00DE28E5" w:rsidP="000D7782">
      <w:pPr>
        <w:spacing w:before="120" w:after="120" w:line="240" w:lineRule="auto"/>
        <w:rPr>
          <w:rFonts w:cs="Arial"/>
          <w:szCs w:val="20"/>
        </w:rPr>
      </w:pPr>
      <w:r w:rsidRPr="00A61EE5">
        <w:rPr>
          <w:rFonts w:cs="Arial"/>
          <w:szCs w:val="20"/>
        </w:rPr>
        <w:t xml:space="preserve">The National Telecommunications and Information Administration (NTIA), who </w:t>
      </w:r>
      <w:r w:rsidR="00AD6616">
        <w:rPr>
          <w:rFonts w:cs="Arial"/>
          <w:szCs w:val="20"/>
        </w:rPr>
        <w:t>manage access to</w:t>
      </w:r>
      <w:r w:rsidR="00AD6616" w:rsidRPr="00A61EE5">
        <w:rPr>
          <w:rFonts w:cs="Arial"/>
          <w:szCs w:val="20"/>
        </w:rPr>
        <w:t xml:space="preserve"> </w:t>
      </w:r>
      <w:r w:rsidRPr="00A61EE5">
        <w:rPr>
          <w:rFonts w:cs="Arial"/>
          <w:szCs w:val="20"/>
        </w:rPr>
        <w:t xml:space="preserve">government-held spectrum in the US, </w:t>
      </w:r>
      <w:r w:rsidR="00AA0DF0">
        <w:rPr>
          <w:rFonts w:cs="Arial"/>
          <w:szCs w:val="20"/>
        </w:rPr>
        <w:t>initially trialled</w:t>
      </w:r>
      <w:r w:rsidR="00AA0DF0" w:rsidRPr="00A61EE5">
        <w:rPr>
          <w:rFonts w:cs="Arial"/>
          <w:szCs w:val="20"/>
        </w:rPr>
        <w:t xml:space="preserve"> </w:t>
      </w:r>
      <w:r w:rsidR="00106756">
        <w:rPr>
          <w:rFonts w:cs="Arial"/>
          <w:szCs w:val="20"/>
        </w:rPr>
        <w:t>dynamic sharing in the</w:t>
      </w:r>
      <w:r w:rsidRPr="00A61EE5">
        <w:rPr>
          <w:rFonts w:cs="Arial"/>
          <w:szCs w:val="20"/>
        </w:rPr>
        <w:t xml:space="preserve"> 3550</w:t>
      </w:r>
      <w:r w:rsidR="00285E08">
        <w:rPr>
          <w:rFonts w:cs="Arial"/>
          <w:szCs w:val="20"/>
        </w:rPr>
        <w:t>–</w:t>
      </w:r>
      <w:r w:rsidRPr="00A61EE5">
        <w:rPr>
          <w:rFonts w:cs="Arial"/>
          <w:szCs w:val="20"/>
        </w:rPr>
        <w:t>3700 MHz band</w:t>
      </w:r>
      <w:r w:rsidR="006C5CBF" w:rsidRPr="00A61EE5">
        <w:rPr>
          <w:rStyle w:val="FootnoteReference"/>
          <w:rFonts w:cs="Arial"/>
          <w:szCs w:val="20"/>
        </w:rPr>
        <w:footnoteReference w:id="15"/>
      </w:r>
      <w:r w:rsidR="00ED71A1">
        <w:rPr>
          <w:rFonts w:cs="Arial"/>
          <w:szCs w:val="20"/>
        </w:rPr>
        <w:t xml:space="preserve"> </w:t>
      </w:r>
      <w:r w:rsidR="00857BB8">
        <w:rPr>
          <w:rFonts w:cs="Arial"/>
          <w:szCs w:val="20"/>
        </w:rPr>
        <w:t>prior to</w:t>
      </w:r>
      <w:r w:rsidR="00A61BA8">
        <w:rPr>
          <w:rFonts w:cs="Arial"/>
          <w:szCs w:val="20"/>
        </w:rPr>
        <w:t xml:space="preserve"> considering more permanent </w:t>
      </w:r>
      <w:r w:rsidR="006C5CBF">
        <w:rPr>
          <w:rFonts w:cs="Arial"/>
          <w:szCs w:val="20"/>
        </w:rPr>
        <w:t xml:space="preserve">commercial </w:t>
      </w:r>
      <w:r w:rsidR="00230543">
        <w:rPr>
          <w:rFonts w:cs="Arial"/>
          <w:szCs w:val="20"/>
        </w:rPr>
        <w:t>arrangements</w:t>
      </w:r>
      <w:r w:rsidRPr="00A61EE5">
        <w:rPr>
          <w:rFonts w:cs="Arial"/>
          <w:szCs w:val="20"/>
        </w:rPr>
        <w:t>.</w:t>
      </w:r>
      <w:r w:rsidR="006D121A">
        <w:rPr>
          <w:rFonts w:cs="Arial"/>
          <w:szCs w:val="20"/>
        </w:rPr>
        <w:t xml:space="preserve"> </w:t>
      </w:r>
      <w:r w:rsidR="00230543">
        <w:rPr>
          <w:rFonts w:cs="Arial"/>
          <w:szCs w:val="20"/>
        </w:rPr>
        <w:t>Early</w:t>
      </w:r>
      <w:r w:rsidR="006D121A">
        <w:rPr>
          <w:rFonts w:cs="Arial"/>
          <w:szCs w:val="20"/>
        </w:rPr>
        <w:t xml:space="preserve"> </w:t>
      </w:r>
      <w:r w:rsidR="004834FD">
        <w:rPr>
          <w:rFonts w:cs="Arial"/>
          <w:szCs w:val="20"/>
        </w:rPr>
        <w:t xml:space="preserve">analysis showed that </w:t>
      </w:r>
      <w:r w:rsidRPr="00A61EE5">
        <w:rPr>
          <w:rFonts w:cs="Arial"/>
          <w:szCs w:val="20"/>
        </w:rPr>
        <w:t xml:space="preserve">large exclusion zones would be </w:t>
      </w:r>
      <w:r w:rsidRPr="00A61EE5">
        <w:rPr>
          <w:rFonts w:cs="Arial"/>
          <w:szCs w:val="20"/>
        </w:rPr>
        <w:lastRenderedPageBreak/>
        <w:t>required to protect incumbent radar systems from typical macro-cell wireless broadband systems</w:t>
      </w:r>
      <w:r w:rsidR="006D121A">
        <w:rPr>
          <w:rFonts w:cs="Arial"/>
          <w:szCs w:val="20"/>
        </w:rPr>
        <w:t xml:space="preserve"> (which were the most likely </w:t>
      </w:r>
      <w:r w:rsidR="00302C6A">
        <w:rPr>
          <w:rFonts w:cs="Arial"/>
          <w:szCs w:val="20"/>
        </w:rPr>
        <w:t xml:space="preserve">service </w:t>
      </w:r>
      <w:r w:rsidR="006D121A">
        <w:rPr>
          <w:rFonts w:cs="Arial"/>
          <w:szCs w:val="20"/>
        </w:rPr>
        <w:t xml:space="preserve">to </w:t>
      </w:r>
      <w:r w:rsidR="00302C6A">
        <w:rPr>
          <w:rFonts w:cs="Arial"/>
          <w:szCs w:val="20"/>
        </w:rPr>
        <w:t xml:space="preserve">seek access to that </w:t>
      </w:r>
      <w:r w:rsidR="006D121A">
        <w:rPr>
          <w:rFonts w:cs="Arial"/>
          <w:szCs w:val="20"/>
        </w:rPr>
        <w:t>band)</w:t>
      </w:r>
      <w:r w:rsidR="00F91F88">
        <w:rPr>
          <w:rFonts w:cs="Arial"/>
          <w:szCs w:val="20"/>
        </w:rPr>
        <w:t xml:space="preserve">, which would compromise the utility of those bands for </w:t>
      </w:r>
      <w:r w:rsidRPr="00A61EE5">
        <w:rPr>
          <w:rFonts w:cs="Arial"/>
          <w:szCs w:val="20"/>
        </w:rPr>
        <w:t xml:space="preserve">wireless broadband deployments in coastal areas. </w:t>
      </w:r>
    </w:p>
    <w:p w14:paraId="227D5058" w14:textId="7D9B6D15" w:rsidR="00DE28E5" w:rsidRPr="00A61EE5" w:rsidRDefault="00DE28E5" w:rsidP="000D7782">
      <w:pPr>
        <w:spacing w:before="120" w:after="120" w:line="240" w:lineRule="auto"/>
        <w:rPr>
          <w:rFonts w:cs="Arial"/>
          <w:szCs w:val="20"/>
        </w:rPr>
      </w:pPr>
      <w:r w:rsidRPr="00A61EE5">
        <w:rPr>
          <w:rFonts w:cs="Arial"/>
          <w:szCs w:val="20"/>
        </w:rPr>
        <w:t xml:space="preserve">In 2015, the </w:t>
      </w:r>
      <w:r w:rsidRPr="00A61EE5">
        <w:rPr>
          <w:rFonts w:cs="Arial"/>
        </w:rPr>
        <w:t>FCC</w:t>
      </w:r>
      <w:r w:rsidR="00CB572C">
        <w:rPr>
          <w:rFonts w:cs="Arial"/>
        </w:rPr>
        <w:t xml:space="preserve"> </w:t>
      </w:r>
      <w:r w:rsidRPr="00A61EE5">
        <w:rPr>
          <w:rFonts w:cs="Arial"/>
          <w:szCs w:val="20"/>
        </w:rPr>
        <w:t xml:space="preserve">proposed new rules based </w:t>
      </w:r>
      <w:r w:rsidR="005327A2">
        <w:rPr>
          <w:rFonts w:cs="Arial"/>
          <w:szCs w:val="20"/>
        </w:rPr>
        <w:t>to facilitate</w:t>
      </w:r>
      <w:r w:rsidR="005327A2" w:rsidRPr="00A61EE5">
        <w:rPr>
          <w:rFonts w:cs="Arial"/>
          <w:szCs w:val="20"/>
        </w:rPr>
        <w:t xml:space="preserve"> </w:t>
      </w:r>
      <w:r w:rsidRPr="00A61EE5">
        <w:rPr>
          <w:rFonts w:cs="Arial"/>
          <w:szCs w:val="20"/>
        </w:rPr>
        <w:t xml:space="preserve">lower power small cell </w:t>
      </w:r>
      <w:r w:rsidR="00EA666C">
        <w:rPr>
          <w:rFonts w:cs="Arial"/>
          <w:szCs w:val="20"/>
        </w:rPr>
        <w:t>wireless broadband deployments</w:t>
      </w:r>
      <w:r w:rsidR="00EA666C" w:rsidRPr="00A61EE5">
        <w:rPr>
          <w:rFonts w:cs="Arial"/>
          <w:szCs w:val="20"/>
        </w:rPr>
        <w:t xml:space="preserve"> </w:t>
      </w:r>
      <w:r w:rsidRPr="00A61EE5">
        <w:rPr>
          <w:rFonts w:cs="Arial"/>
          <w:szCs w:val="20"/>
        </w:rPr>
        <w:t xml:space="preserve">that </w:t>
      </w:r>
      <w:r w:rsidR="0054632E">
        <w:rPr>
          <w:rFonts w:cs="Arial"/>
          <w:szCs w:val="20"/>
        </w:rPr>
        <w:t>meant</w:t>
      </w:r>
      <w:r w:rsidR="0054632E" w:rsidRPr="00A61EE5">
        <w:rPr>
          <w:rFonts w:cs="Arial"/>
          <w:szCs w:val="20"/>
        </w:rPr>
        <w:t xml:space="preserve"> </w:t>
      </w:r>
      <w:r w:rsidRPr="00A61EE5">
        <w:rPr>
          <w:rFonts w:cs="Arial"/>
          <w:szCs w:val="20"/>
        </w:rPr>
        <w:t xml:space="preserve">the </w:t>
      </w:r>
      <w:r w:rsidR="00EA666C">
        <w:rPr>
          <w:rFonts w:cs="Arial"/>
          <w:szCs w:val="20"/>
        </w:rPr>
        <w:t xml:space="preserve">necessary </w:t>
      </w:r>
      <w:r w:rsidRPr="00A61EE5">
        <w:rPr>
          <w:rFonts w:cs="Arial"/>
          <w:szCs w:val="20"/>
        </w:rPr>
        <w:t>exclusion zones</w:t>
      </w:r>
      <w:r w:rsidR="0054632E">
        <w:rPr>
          <w:rFonts w:cs="Arial"/>
          <w:szCs w:val="20"/>
        </w:rPr>
        <w:t xml:space="preserve"> could be reduced</w:t>
      </w:r>
      <w:r w:rsidRPr="00A61EE5">
        <w:rPr>
          <w:rFonts w:cs="Arial"/>
          <w:szCs w:val="20"/>
        </w:rPr>
        <w:t xml:space="preserve"> by 77</w:t>
      </w:r>
      <w:r w:rsidR="0065440C" w:rsidRPr="00A61EE5">
        <w:rPr>
          <w:rFonts w:cs="Arial"/>
          <w:szCs w:val="20"/>
        </w:rPr>
        <w:t xml:space="preserve"> per cent</w:t>
      </w:r>
      <w:r w:rsidRPr="00A61EE5">
        <w:rPr>
          <w:rFonts w:cs="Arial"/>
          <w:szCs w:val="20"/>
        </w:rPr>
        <w:t>. This</w:t>
      </w:r>
      <w:r w:rsidR="00857654">
        <w:rPr>
          <w:rFonts w:cs="Arial"/>
          <w:szCs w:val="20"/>
        </w:rPr>
        <w:t xml:space="preserve"> was initially the subject of a trial and ultimately</w:t>
      </w:r>
      <w:r w:rsidRPr="00A61EE5">
        <w:rPr>
          <w:rFonts w:cs="Arial"/>
          <w:szCs w:val="20"/>
        </w:rPr>
        <w:t xml:space="preserve"> </w:t>
      </w:r>
      <w:r w:rsidR="00054083">
        <w:rPr>
          <w:rFonts w:cs="Arial"/>
          <w:szCs w:val="20"/>
        </w:rPr>
        <w:t xml:space="preserve">led to what is now known as the </w:t>
      </w:r>
      <w:r w:rsidR="00054083" w:rsidRPr="00A61EE5">
        <w:rPr>
          <w:rFonts w:cs="Arial"/>
          <w:szCs w:val="20"/>
        </w:rPr>
        <w:t>CBRS</w:t>
      </w:r>
      <w:r w:rsidR="00B907BE">
        <w:rPr>
          <w:rFonts w:cs="Arial"/>
          <w:szCs w:val="20"/>
        </w:rPr>
        <w:t xml:space="preserve"> </w:t>
      </w:r>
      <w:r w:rsidR="002D31A4">
        <w:rPr>
          <w:rFonts w:cs="Arial"/>
          <w:szCs w:val="20"/>
        </w:rPr>
        <w:t xml:space="preserve">which enables </w:t>
      </w:r>
      <w:r w:rsidR="00397FFC">
        <w:rPr>
          <w:rFonts w:cs="Arial"/>
          <w:szCs w:val="20"/>
        </w:rPr>
        <w:t>sharing</w:t>
      </w:r>
      <w:r w:rsidR="006D121A">
        <w:rPr>
          <w:rFonts w:cs="Arial"/>
          <w:szCs w:val="20"/>
        </w:rPr>
        <w:t xml:space="preserve"> </w:t>
      </w:r>
      <w:r w:rsidRPr="00A61EE5">
        <w:rPr>
          <w:rFonts w:cs="Arial"/>
          <w:szCs w:val="20"/>
        </w:rPr>
        <w:t xml:space="preserve">between government and commercial users </w:t>
      </w:r>
      <w:r w:rsidR="002D31A4">
        <w:rPr>
          <w:rFonts w:cs="Arial"/>
          <w:szCs w:val="20"/>
        </w:rPr>
        <w:t>under</w:t>
      </w:r>
      <w:r w:rsidRPr="00A61EE5">
        <w:rPr>
          <w:rFonts w:cs="Arial"/>
          <w:szCs w:val="20"/>
        </w:rPr>
        <w:t xml:space="preserve"> a three-tiered sharing framework</w:t>
      </w:r>
      <w:r w:rsidR="00AF1587">
        <w:rPr>
          <w:rFonts w:cs="Arial"/>
          <w:szCs w:val="20"/>
        </w:rPr>
        <w:t xml:space="preserve">. </w:t>
      </w:r>
    </w:p>
    <w:p w14:paraId="3C800341" w14:textId="04270471" w:rsidR="00DE28E5" w:rsidRPr="00A61EE5" w:rsidRDefault="009B4F2E" w:rsidP="000D7782">
      <w:pPr>
        <w:spacing w:before="120" w:after="120" w:line="240" w:lineRule="auto"/>
        <w:rPr>
          <w:rFonts w:cs="Arial"/>
          <w:szCs w:val="20"/>
        </w:rPr>
      </w:pPr>
      <w:r>
        <w:rPr>
          <w:rFonts w:cs="Arial"/>
          <w:szCs w:val="20"/>
        </w:rPr>
        <w:t xml:space="preserve">Under the CBRS, </w:t>
      </w:r>
      <w:r w:rsidR="00EE43C6">
        <w:rPr>
          <w:rFonts w:cs="Arial"/>
          <w:szCs w:val="20"/>
        </w:rPr>
        <w:t>a</w:t>
      </w:r>
      <w:r>
        <w:rPr>
          <w:rFonts w:cs="Arial"/>
          <w:szCs w:val="20"/>
        </w:rPr>
        <w:t xml:space="preserve">ccess is </w:t>
      </w:r>
      <w:r w:rsidRPr="00A61EE5">
        <w:rPr>
          <w:rFonts w:cs="Arial"/>
          <w:szCs w:val="20"/>
        </w:rPr>
        <w:t>controlled by an SAS which automates spectrum allocation on a priority/occupancy basis.</w:t>
      </w:r>
      <w:r w:rsidR="00EE43C6">
        <w:rPr>
          <w:rFonts w:cs="Arial"/>
          <w:szCs w:val="20"/>
        </w:rPr>
        <w:t xml:space="preserve"> S</w:t>
      </w:r>
      <w:r w:rsidR="00DE28E5" w:rsidRPr="00A61EE5">
        <w:rPr>
          <w:rFonts w:cs="Arial"/>
          <w:szCs w:val="20"/>
        </w:rPr>
        <w:t xml:space="preserve">econdary access </w:t>
      </w:r>
      <w:r w:rsidR="00EE43C6">
        <w:rPr>
          <w:rFonts w:cs="Arial"/>
          <w:szCs w:val="20"/>
        </w:rPr>
        <w:t>is provided for</w:t>
      </w:r>
      <w:r w:rsidR="00DE28E5" w:rsidRPr="00A61EE5">
        <w:rPr>
          <w:rFonts w:cs="Arial"/>
          <w:szCs w:val="20"/>
        </w:rPr>
        <w:t xml:space="preserve"> TD-LTE services in the band (3GPP band 48) which </w:t>
      </w:r>
      <w:r w:rsidR="0006451B">
        <w:rPr>
          <w:rFonts w:cs="Arial"/>
          <w:szCs w:val="20"/>
        </w:rPr>
        <w:t>includes</w:t>
      </w:r>
      <w:r w:rsidR="005A4179">
        <w:rPr>
          <w:rFonts w:cs="Arial"/>
          <w:szCs w:val="20"/>
        </w:rPr>
        <w:t xml:space="preserve"> </w:t>
      </w:r>
      <w:r w:rsidR="00DE28E5" w:rsidRPr="00A61EE5">
        <w:rPr>
          <w:rFonts w:cs="Arial"/>
          <w:szCs w:val="20"/>
        </w:rPr>
        <w:t>3GPP bands 42 (3400</w:t>
      </w:r>
      <w:r w:rsidR="00285E08">
        <w:rPr>
          <w:rFonts w:cs="Arial"/>
          <w:szCs w:val="20"/>
        </w:rPr>
        <w:t>–</w:t>
      </w:r>
      <w:r w:rsidR="00DE28E5" w:rsidRPr="00A61EE5">
        <w:rPr>
          <w:rFonts w:cs="Arial"/>
          <w:szCs w:val="20"/>
        </w:rPr>
        <w:t>3600) and 43 (3600</w:t>
      </w:r>
      <w:r w:rsidR="00285E08">
        <w:rPr>
          <w:rFonts w:cs="Arial"/>
          <w:szCs w:val="20"/>
        </w:rPr>
        <w:t>–</w:t>
      </w:r>
      <w:r w:rsidR="00DE28E5" w:rsidRPr="00A61EE5">
        <w:rPr>
          <w:rFonts w:cs="Arial"/>
          <w:szCs w:val="20"/>
        </w:rPr>
        <w:t xml:space="preserve">3800 MHz). 10 MHz blocks are automatically assigned on request and priority access is given to indoor deployments as this most readily </w:t>
      </w:r>
      <w:r w:rsidR="002C4534">
        <w:rPr>
          <w:rFonts w:cs="Arial"/>
          <w:szCs w:val="20"/>
        </w:rPr>
        <w:t>enables</w:t>
      </w:r>
      <w:r w:rsidR="00DE28E5" w:rsidRPr="00A61EE5">
        <w:rPr>
          <w:rFonts w:cs="Arial"/>
          <w:szCs w:val="20"/>
        </w:rPr>
        <w:t xml:space="preserve"> co-existence with both incumbent (primary) and secondary users. </w:t>
      </w:r>
    </w:p>
    <w:p w14:paraId="1609B2CD" w14:textId="5DB54D2A" w:rsidR="00DE28E5" w:rsidRPr="00A61EE5" w:rsidRDefault="00DE28E5" w:rsidP="00FE61CE">
      <w:pPr>
        <w:keepNext/>
        <w:spacing w:before="120" w:after="120" w:line="240" w:lineRule="auto"/>
        <w:rPr>
          <w:rFonts w:cs="Arial"/>
          <w:szCs w:val="20"/>
        </w:rPr>
      </w:pPr>
      <w:r w:rsidRPr="00A61EE5">
        <w:rPr>
          <w:rFonts w:cs="Arial"/>
          <w:szCs w:val="20"/>
        </w:rPr>
        <w:t>Users requesting access must report their location to within 50</w:t>
      </w:r>
      <w:r w:rsidR="00B907BE">
        <w:rPr>
          <w:rFonts w:cs="Arial"/>
          <w:szCs w:val="20"/>
        </w:rPr>
        <w:t xml:space="preserve"> </w:t>
      </w:r>
      <w:r w:rsidRPr="00A61EE5">
        <w:rPr>
          <w:rFonts w:cs="Arial"/>
          <w:szCs w:val="20"/>
        </w:rPr>
        <w:t xml:space="preserve">m </w:t>
      </w:r>
      <w:r w:rsidR="00AD2812">
        <w:rPr>
          <w:rFonts w:cs="Arial"/>
          <w:szCs w:val="20"/>
        </w:rPr>
        <w:t>(</w:t>
      </w:r>
      <w:r w:rsidRPr="00A61EE5">
        <w:rPr>
          <w:rFonts w:cs="Arial"/>
          <w:szCs w:val="20"/>
        </w:rPr>
        <w:t>horizontally</w:t>
      </w:r>
      <w:r w:rsidR="000F355D">
        <w:rPr>
          <w:rFonts w:cs="Arial"/>
          <w:szCs w:val="20"/>
        </w:rPr>
        <w:t>)</w:t>
      </w:r>
      <w:r w:rsidRPr="00A61EE5">
        <w:rPr>
          <w:rFonts w:cs="Arial"/>
          <w:szCs w:val="20"/>
        </w:rPr>
        <w:t xml:space="preserve"> and 3</w:t>
      </w:r>
      <w:r w:rsidR="00B907BE">
        <w:rPr>
          <w:rFonts w:cs="Arial"/>
          <w:szCs w:val="20"/>
        </w:rPr>
        <w:t xml:space="preserve"> </w:t>
      </w:r>
      <w:r w:rsidRPr="00A61EE5">
        <w:rPr>
          <w:rFonts w:cs="Arial"/>
          <w:szCs w:val="20"/>
        </w:rPr>
        <w:t xml:space="preserve">m </w:t>
      </w:r>
      <w:r w:rsidR="00AD2812">
        <w:rPr>
          <w:rFonts w:cs="Arial"/>
          <w:szCs w:val="20"/>
        </w:rPr>
        <w:t>(</w:t>
      </w:r>
      <w:r w:rsidRPr="00A61EE5">
        <w:rPr>
          <w:rFonts w:cs="Arial"/>
          <w:szCs w:val="20"/>
        </w:rPr>
        <w:t>vertically</w:t>
      </w:r>
      <w:r w:rsidR="00AD2812">
        <w:rPr>
          <w:rFonts w:cs="Arial"/>
          <w:szCs w:val="20"/>
        </w:rPr>
        <w:t>)</w:t>
      </w:r>
      <w:r w:rsidRPr="00A61EE5">
        <w:rPr>
          <w:rFonts w:cs="Arial"/>
          <w:szCs w:val="20"/>
        </w:rPr>
        <w:t>. The SAS uses terrain data and propagation model</w:t>
      </w:r>
      <w:r w:rsidR="00A52879">
        <w:rPr>
          <w:rFonts w:cs="Arial"/>
          <w:szCs w:val="20"/>
        </w:rPr>
        <w:t>ling</w:t>
      </w:r>
      <w:r w:rsidRPr="00A61EE5">
        <w:rPr>
          <w:rFonts w:cs="Arial"/>
          <w:szCs w:val="20"/>
        </w:rPr>
        <w:t xml:space="preserve"> to calculate the potential interference impact to other users and assigns or denies access accordingly. Additional outdoor sensors are also used to assess potential for interference into prospective wireless broadband from radars, which are generally itinerant in nature. </w:t>
      </w:r>
    </w:p>
    <w:p w14:paraId="0D1D2251" w14:textId="77777777" w:rsidR="00DE28E5" w:rsidRPr="00A61EE5" w:rsidRDefault="00DE28E5" w:rsidP="000D7782">
      <w:pPr>
        <w:spacing w:before="120" w:after="120" w:line="240" w:lineRule="auto"/>
        <w:rPr>
          <w:rFonts w:cs="Arial"/>
          <w:szCs w:val="20"/>
        </w:rPr>
      </w:pPr>
      <w:r w:rsidRPr="00A61EE5">
        <w:rPr>
          <w:rFonts w:cs="Arial"/>
          <w:szCs w:val="20"/>
        </w:rPr>
        <w:t>The scheme defines three tiers of shared access:</w:t>
      </w:r>
    </w:p>
    <w:p w14:paraId="31BA279D" w14:textId="78D985A3" w:rsidR="00DE28E5" w:rsidRPr="00A61EE5" w:rsidRDefault="00DE28E5" w:rsidP="00FE61CE">
      <w:pPr>
        <w:pStyle w:val="ListNumber"/>
        <w:numPr>
          <w:ilvl w:val="0"/>
          <w:numId w:val="31"/>
        </w:numPr>
      </w:pPr>
      <w:r w:rsidRPr="00A61EE5">
        <w:t>Incumbent</w:t>
      </w:r>
      <w:r w:rsidR="003C42D8">
        <w:t xml:space="preserve"> Defence (</w:t>
      </w:r>
      <w:r w:rsidR="00716257">
        <w:t>n</w:t>
      </w:r>
      <w:r w:rsidRPr="00A61EE5">
        <w:t>aval</w:t>
      </w:r>
      <w:r w:rsidR="003C42D8">
        <w:t>)</w:t>
      </w:r>
      <w:r w:rsidRPr="00A61EE5">
        <w:t xml:space="preserve"> radar </w:t>
      </w:r>
      <w:r w:rsidR="00716257">
        <w:t>systems</w:t>
      </w:r>
      <w:r w:rsidR="003C42D8">
        <w:t xml:space="preserve"> </w:t>
      </w:r>
      <w:r w:rsidRPr="00A61EE5">
        <w:t xml:space="preserve">operating under the radiolocation service </w:t>
      </w:r>
      <w:r w:rsidR="003C42D8">
        <w:t>are</w:t>
      </w:r>
      <w:r w:rsidR="003C42D8" w:rsidRPr="00A61EE5">
        <w:t xml:space="preserve"> </w:t>
      </w:r>
      <w:r w:rsidRPr="00A61EE5">
        <w:t xml:space="preserve">the most common Defence use of this band and receives the highest priority. Areas of operation are mainly coastal but </w:t>
      </w:r>
      <w:r w:rsidR="003C42D8">
        <w:t xml:space="preserve">involve </w:t>
      </w:r>
      <w:r w:rsidRPr="00A61EE5">
        <w:t xml:space="preserve">very </w:t>
      </w:r>
      <w:r w:rsidR="000F355D" w:rsidRPr="00A61EE5">
        <w:t>high-power</w:t>
      </w:r>
      <w:r w:rsidRPr="00A61EE5">
        <w:t xml:space="preserve"> transmissions which can impact land-based services some distance inland. Fixed Satellite Service (FSS) and grandfathered terrestrial wireless broadband services </w:t>
      </w:r>
      <w:r w:rsidR="000C53DD">
        <w:t>comprise</w:t>
      </w:r>
      <w:r w:rsidRPr="00A61EE5">
        <w:t xml:space="preserve"> the remaining tier 1 users.</w:t>
      </w:r>
    </w:p>
    <w:p w14:paraId="4D8E6FA0" w14:textId="674AAD6E" w:rsidR="00DE28E5" w:rsidRPr="00A61EE5" w:rsidRDefault="00DE28E5" w:rsidP="00FE61CE">
      <w:pPr>
        <w:pStyle w:val="ListNumber"/>
      </w:pPr>
      <w:r w:rsidRPr="00A61EE5">
        <w:t xml:space="preserve">Priority access is given to this </w:t>
      </w:r>
      <w:r w:rsidR="0065440C" w:rsidRPr="00A61EE5">
        <w:t>second</w:t>
      </w:r>
      <w:r w:rsidRPr="00A61EE5">
        <w:t xml:space="preserve"> tier of user, having access to a 10 MHz block in defined geographical areas for a </w:t>
      </w:r>
      <w:r w:rsidR="000F355D" w:rsidRPr="00A61EE5">
        <w:t>three-year</w:t>
      </w:r>
      <w:r w:rsidRPr="00A61EE5">
        <w:t xml:space="preserve"> period. Access is restricted to </w:t>
      </w:r>
      <w:r w:rsidR="00EE72F1">
        <w:t>seven</w:t>
      </w:r>
      <w:r w:rsidRPr="00A61EE5">
        <w:t xml:space="preserve"> contiguous blocks (</w:t>
      </w:r>
      <w:r w:rsidR="00B907BE">
        <w:t xml:space="preserve">that is, </w:t>
      </w:r>
      <w:r w:rsidRPr="00A61EE5">
        <w:t>70 MHz of the total 150 MHz available).</w:t>
      </w:r>
    </w:p>
    <w:p w14:paraId="6C5D32CD" w14:textId="1D1C9A45" w:rsidR="00DE28E5" w:rsidRPr="00A61EE5" w:rsidRDefault="00DE28E5" w:rsidP="00FE61CE">
      <w:pPr>
        <w:pStyle w:val="ListNumberLast"/>
      </w:pPr>
      <w:r w:rsidRPr="00A61EE5">
        <w:t>General Authorised Access (GAA) is most common and lowest priority access to the band. GAA access is permitted to the entire 150 MHz but receive no interference protection from other CBRS users.</w:t>
      </w:r>
    </w:p>
    <w:p w14:paraId="4E72CEF8" w14:textId="78855934" w:rsidR="00DE28E5" w:rsidRDefault="00DE28E5" w:rsidP="000D7782">
      <w:pPr>
        <w:spacing w:before="120" w:after="120" w:line="240" w:lineRule="auto"/>
        <w:rPr>
          <w:rFonts w:cs="Arial"/>
          <w:szCs w:val="20"/>
        </w:rPr>
      </w:pPr>
      <w:r w:rsidRPr="00FD2CD1">
        <w:rPr>
          <w:rFonts w:cs="Arial"/>
          <w:szCs w:val="20"/>
        </w:rPr>
        <w:t xml:space="preserve">This hybrid framework is intended to </w:t>
      </w:r>
      <w:r w:rsidR="00F833AF">
        <w:rPr>
          <w:rFonts w:cs="Arial"/>
          <w:szCs w:val="20"/>
        </w:rPr>
        <w:t>optimise</w:t>
      </w:r>
      <w:r w:rsidRPr="00FD2CD1">
        <w:rPr>
          <w:rFonts w:cs="Arial"/>
          <w:szCs w:val="20"/>
        </w:rPr>
        <w:t xml:space="preserve"> licensing approach</w:t>
      </w:r>
      <w:r w:rsidR="00F833AF">
        <w:rPr>
          <w:rFonts w:cs="Arial"/>
          <w:szCs w:val="20"/>
        </w:rPr>
        <w:t>es to account for</w:t>
      </w:r>
      <w:r w:rsidRPr="00FD2CD1">
        <w:rPr>
          <w:rFonts w:cs="Arial"/>
          <w:szCs w:val="20"/>
        </w:rPr>
        <w:t xml:space="preserve"> local</w:t>
      </w:r>
      <w:r w:rsidR="00207CD0">
        <w:rPr>
          <w:rFonts w:cs="Arial"/>
          <w:szCs w:val="20"/>
        </w:rPr>
        <w:t xml:space="preserve"> </w:t>
      </w:r>
      <w:r>
        <w:rPr>
          <w:rFonts w:cs="Arial"/>
          <w:szCs w:val="20"/>
        </w:rPr>
        <w:t>environmental</w:t>
      </w:r>
      <w:r w:rsidR="00207CD0">
        <w:rPr>
          <w:rFonts w:cs="Arial"/>
          <w:szCs w:val="20"/>
        </w:rPr>
        <w:t xml:space="preserve"> factors and</w:t>
      </w:r>
      <w:r>
        <w:rPr>
          <w:rFonts w:cs="Arial"/>
          <w:szCs w:val="20"/>
        </w:rPr>
        <w:t>,</w:t>
      </w:r>
      <w:r w:rsidRPr="00FD2CD1">
        <w:rPr>
          <w:rFonts w:cs="Arial"/>
          <w:szCs w:val="20"/>
        </w:rPr>
        <w:t xml:space="preserve"> supply and demand. Where demand for spectrum access is low, the </w:t>
      </w:r>
      <w:r>
        <w:rPr>
          <w:rFonts w:cs="Arial"/>
          <w:szCs w:val="20"/>
        </w:rPr>
        <w:t>GAA</w:t>
      </w:r>
      <w:r w:rsidRPr="00FD2CD1">
        <w:rPr>
          <w:rFonts w:cs="Arial"/>
          <w:szCs w:val="20"/>
        </w:rPr>
        <w:t xml:space="preserve"> tier provides a low-cost entry point to the band, </w:t>
      </w:r>
      <w:proofErr w:type="gramStart"/>
      <w:r w:rsidRPr="00FD2CD1">
        <w:rPr>
          <w:rFonts w:cs="Arial"/>
          <w:szCs w:val="20"/>
        </w:rPr>
        <w:t>similar to</w:t>
      </w:r>
      <w:proofErr w:type="gramEnd"/>
      <w:r w:rsidRPr="00FD2CD1">
        <w:rPr>
          <w:rFonts w:cs="Arial"/>
          <w:szCs w:val="20"/>
        </w:rPr>
        <w:t xml:space="preserve"> class licensed access in Australia. </w:t>
      </w:r>
      <w:r>
        <w:rPr>
          <w:rFonts w:cs="Arial"/>
          <w:szCs w:val="20"/>
        </w:rPr>
        <w:t>In geographic areas where</w:t>
      </w:r>
      <w:r w:rsidRPr="00FD2CD1">
        <w:rPr>
          <w:rFonts w:cs="Arial"/>
          <w:szCs w:val="20"/>
        </w:rPr>
        <w:t xml:space="preserve"> demand for spectrum is high, </w:t>
      </w:r>
      <w:r w:rsidR="004C5634">
        <w:rPr>
          <w:rFonts w:cs="Arial"/>
          <w:szCs w:val="20"/>
        </w:rPr>
        <w:t xml:space="preserve">three-year </w:t>
      </w:r>
      <w:r>
        <w:rPr>
          <w:rFonts w:cs="Arial"/>
          <w:szCs w:val="20"/>
        </w:rPr>
        <w:t>priority access</w:t>
      </w:r>
      <w:r w:rsidRPr="00FD2CD1">
        <w:rPr>
          <w:rFonts w:cs="Arial"/>
          <w:szCs w:val="20"/>
        </w:rPr>
        <w:t xml:space="preserve"> </w:t>
      </w:r>
      <w:r>
        <w:rPr>
          <w:rFonts w:cs="Arial"/>
          <w:szCs w:val="20"/>
        </w:rPr>
        <w:t>licenses are awarded through price-based allocations.</w:t>
      </w:r>
      <w:r w:rsidRPr="00FD2CD1">
        <w:rPr>
          <w:rFonts w:cs="Arial"/>
          <w:szCs w:val="20"/>
        </w:rPr>
        <w:t xml:space="preserve"> </w:t>
      </w:r>
    </w:p>
    <w:p w14:paraId="7D94F996" w14:textId="1143F5F0" w:rsidR="002703F7" w:rsidRDefault="006D121A" w:rsidP="000D7782">
      <w:pPr>
        <w:spacing w:before="120" w:after="120" w:line="240" w:lineRule="auto"/>
        <w:rPr>
          <w:rFonts w:cs="Arial"/>
          <w:szCs w:val="20"/>
        </w:rPr>
      </w:pPr>
      <w:r>
        <w:rPr>
          <w:rFonts w:cs="Arial"/>
          <w:szCs w:val="20"/>
        </w:rPr>
        <w:t xml:space="preserve">In 2018, </w:t>
      </w:r>
      <w:r w:rsidR="00F167AC">
        <w:rPr>
          <w:rFonts w:cs="Arial"/>
          <w:szCs w:val="20"/>
        </w:rPr>
        <w:t xml:space="preserve">following a review of trial results and </w:t>
      </w:r>
      <w:r w:rsidR="000749E7">
        <w:rPr>
          <w:rFonts w:cs="Arial"/>
          <w:szCs w:val="20"/>
        </w:rPr>
        <w:t>industry</w:t>
      </w:r>
      <w:r w:rsidR="00F167AC">
        <w:rPr>
          <w:rFonts w:cs="Arial"/>
          <w:szCs w:val="20"/>
        </w:rPr>
        <w:t xml:space="preserve"> input</w:t>
      </w:r>
      <w:r w:rsidR="000749E7">
        <w:rPr>
          <w:rFonts w:cs="Arial"/>
          <w:szCs w:val="20"/>
        </w:rPr>
        <w:t xml:space="preserve">, </w:t>
      </w:r>
      <w:r w:rsidR="00CB572C">
        <w:rPr>
          <w:rFonts w:cs="Arial"/>
          <w:szCs w:val="20"/>
        </w:rPr>
        <w:t xml:space="preserve">the </w:t>
      </w:r>
      <w:r w:rsidR="000749E7">
        <w:rPr>
          <w:rFonts w:cs="Arial"/>
          <w:szCs w:val="20"/>
        </w:rPr>
        <w:t xml:space="preserve">FCC made some changes to the CBRS spectrum sharing rules which included </w:t>
      </w:r>
      <w:r w:rsidR="00A60857">
        <w:rPr>
          <w:rFonts w:cs="Arial"/>
          <w:szCs w:val="20"/>
        </w:rPr>
        <w:t xml:space="preserve">enabling </w:t>
      </w:r>
      <w:r w:rsidR="000749E7">
        <w:rPr>
          <w:rFonts w:cs="Arial"/>
          <w:szCs w:val="20"/>
        </w:rPr>
        <w:t>larger licensing areas</w:t>
      </w:r>
      <w:r w:rsidR="00237477">
        <w:rPr>
          <w:rFonts w:cs="Arial"/>
          <w:szCs w:val="20"/>
        </w:rPr>
        <w:t xml:space="preserve">. </w:t>
      </w:r>
      <w:r w:rsidR="000F355D">
        <w:rPr>
          <w:rFonts w:cs="Arial"/>
          <w:szCs w:val="20"/>
        </w:rPr>
        <w:t>So,</w:t>
      </w:r>
      <w:r w:rsidR="00237477">
        <w:rPr>
          <w:rFonts w:cs="Arial"/>
          <w:szCs w:val="20"/>
        </w:rPr>
        <w:t xml:space="preserve"> the new rules would enable both</w:t>
      </w:r>
      <w:r w:rsidR="002703F7">
        <w:rPr>
          <w:rFonts w:cs="Arial"/>
          <w:szCs w:val="20"/>
        </w:rPr>
        <w:t xml:space="preserve"> larger mobile wireless providers and smaller </w:t>
      </w:r>
      <w:r w:rsidR="00237477">
        <w:rPr>
          <w:rFonts w:cs="Arial"/>
          <w:szCs w:val="20"/>
        </w:rPr>
        <w:t xml:space="preserve">operators servicing </w:t>
      </w:r>
      <w:r w:rsidR="002703F7">
        <w:rPr>
          <w:rFonts w:cs="Arial"/>
          <w:szCs w:val="20"/>
        </w:rPr>
        <w:t xml:space="preserve">industrial </w:t>
      </w:r>
      <w:r w:rsidR="00237477">
        <w:rPr>
          <w:rFonts w:cs="Arial"/>
          <w:szCs w:val="20"/>
        </w:rPr>
        <w:t>applications</w:t>
      </w:r>
      <w:r w:rsidR="002703F7">
        <w:rPr>
          <w:rFonts w:cs="Arial"/>
          <w:szCs w:val="20"/>
        </w:rPr>
        <w:t xml:space="preserve">. The FCC also </w:t>
      </w:r>
      <w:r w:rsidR="0001510D">
        <w:rPr>
          <w:rFonts w:cs="Arial"/>
          <w:szCs w:val="20"/>
        </w:rPr>
        <w:t xml:space="preserve">modified </w:t>
      </w:r>
      <w:r w:rsidR="002703F7">
        <w:rPr>
          <w:rFonts w:cs="Arial"/>
          <w:szCs w:val="20"/>
        </w:rPr>
        <w:t xml:space="preserve">the emission limits to </w:t>
      </w:r>
      <w:r w:rsidR="0001510D">
        <w:rPr>
          <w:rFonts w:cs="Arial"/>
          <w:szCs w:val="20"/>
        </w:rPr>
        <w:t>enable</w:t>
      </w:r>
      <w:r w:rsidR="002703F7">
        <w:rPr>
          <w:rFonts w:cs="Arial"/>
          <w:szCs w:val="20"/>
        </w:rPr>
        <w:t xml:space="preserve"> w</w:t>
      </w:r>
      <w:r w:rsidR="000749E7">
        <w:rPr>
          <w:rFonts w:cs="Arial"/>
          <w:szCs w:val="20"/>
        </w:rPr>
        <w:t>ider bandwidth</w:t>
      </w:r>
      <w:r w:rsidR="00667B78">
        <w:rPr>
          <w:rFonts w:cs="Arial"/>
          <w:szCs w:val="20"/>
        </w:rPr>
        <w:t xml:space="preserve"> applications as a mean</w:t>
      </w:r>
      <w:r w:rsidR="002703F7">
        <w:rPr>
          <w:rFonts w:cs="Arial"/>
          <w:szCs w:val="20"/>
        </w:rPr>
        <w:t xml:space="preserve">s </w:t>
      </w:r>
      <w:r w:rsidR="00667B78">
        <w:rPr>
          <w:rFonts w:cs="Arial"/>
          <w:szCs w:val="20"/>
        </w:rPr>
        <w:t xml:space="preserve">of </w:t>
      </w:r>
      <w:r w:rsidR="002703F7">
        <w:rPr>
          <w:rFonts w:cs="Arial"/>
          <w:szCs w:val="20"/>
        </w:rPr>
        <w:t>promot</w:t>
      </w:r>
      <w:r w:rsidR="00667B78">
        <w:rPr>
          <w:rFonts w:cs="Arial"/>
          <w:szCs w:val="20"/>
        </w:rPr>
        <w:t>ing</w:t>
      </w:r>
      <w:r w:rsidR="000749E7">
        <w:rPr>
          <w:rFonts w:cs="Arial"/>
          <w:szCs w:val="20"/>
        </w:rPr>
        <w:t xml:space="preserve"> the deployment of new and emerging technologies</w:t>
      </w:r>
      <w:r w:rsidR="002703F7">
        <w:rPr>
          <w:rFonts w:cs="Arial"/>
          <w:szCs w:val="20"/>
        </w:rPr>
        <w:t xml:space="preserve">. The FCC </w:t>
      </w:r>
      <w:r w:rsidR="00192938">
        <w:rPr>
          <w:rFonts w:cs="Arial"/>
          <w:szCs w:val="20"/>
        </w:rPr>
        <w:t>intends</w:t>
      </w:r>
      <w:r w:rsidR="001B6FAD">
        <w:rPr>
          <w:rFonts w:cs="Arial"/>
          <w:szCs w:val="20"/>
        </w:rPr>
        <w:t xml:space="preserve"> to put in place authorisation </w:t>
      </w:r>
      <w:r w:rsidR="002703F7">
        <w:rPr>
          <w:rFonts w:cs="Arial"/>
          <w:szCs w:val="20"/>
        </w:rPr>
        <w:t>arrangements</w:t>
      </w:r>
      <w:r w:rsidR="00D642D3">
        <w:rPr>
          <w:rFonts w:cs="Arial"/>
          <w:szCs w:val="20"/>
        </w:rPr>
        <w:t xml:space="preserve"> for </w:t>
      </w:r>
      <w:r w:rsidR="001B6FAD">
        <w:rPr>
          <w:rFonts w:cs="Arial"/>
          <w:szCs w:val="20"/>
        </w:rPr>
        <w:t xml:space="preserve">full </w:t>
      </w:r>
      <w:r w:rsidR="00D642D3">
        <w:rPr>
          <w:rFonts w:cs="Arial"/>
          <w:szCs w:val="20"/>
        </w:rPr>
        <w:t xml:space="preserve">commercial </w:t>
      </w:r>
      <w:r w:rsidR="001B6FAD">
        <w:rPr>
          <w:rFonts w:cs="Arial"/>
          <w:szCs w:val="20"/>
        </w:rPr>
        <w:t>access to the band under CBRS sometime this year.</w:t>
      </w:r>
    </w:p>
    <w:p w14:paraId="68817E40" w14:textId="1F9C1A3B" w:rsidR="00FD2948" w:rsidRPr="00275DE6" w:rsidRDefault="00FF23CF" w:rsidP="000D7782">
      <w:pPr>
        <w:spacing w:before="120" w:after="120" w:line="240" w:lineRule="auto"/>
        <w:rPr>
          <w:rFonts w:cs="Arial"/>
          <w:szCs w:val="20"/>
        </w:rPr>
      </w:pPr>
      <w:r>
        <w:rPr>
          <w:rFonts w:cs="Arial"/>
          <w:szCs w:val="20"/>
        </w:rPr>
        <w:t xml:space="preserve">The </w:t>
      </w:r>
      <w:r w:rsidR="00605FAF">
        <w:rPr>
          <w:rFonts w:cs="Arial"/>
          <w:szCs w:val="20"/>
        </w:rPr>
        <w:t>US</w:t>
      </w:r>
      <w:r>
        <w:rPr>
          <w:rFonts w:cs="Arial"/>
          <w:szCs w:val="20"/>
        </w:rPr>
        <w:t xml:space="preserve"> </w:t>
      </w:r>
      <w:r w:rsidR="00F0327E">
        <w:rPr>
          <w:rFonts w:cs="Arial"/>
          <w:szCs w:val="20"/>
        </w:rPr>
        <w:t>has</w:t>
      </w:r>
      <w:r>
        <w:rPr>
          <w:rFonts w:cs="Arial"/>
          <w:szCs w:val="20"/>
        </w:rPr>
        <w:t xml:space="preserve"> also implemented a spectrum sharing arrangement in their TV white spaces</w:t>
      </w:r>
      <w:r w:rsidR="005A20A7">
        <w:rPr>
          <w:rFonts w:cs="Arial"/>
          <w:szCs w:val="20"/>
        </w:rPr>
        <w:t xml:space="preserve">, which </w:t>
      </w:r>
      <w:r w:rsidR="0087145A">
        <w:rPr>
          <w:rFonts w:cs="Arial"/>
          <w:szCs w:val="20"/>
        </w:rPr>
        <w:t>was</w:t>
      </w:r>
      <w:r w:rsidR="005A20A7">
        <w:rPr>
          <w:rFonts w:cs="Arial"/>
          <w:szCs w:val="20"/>
        </w:rPr>
        <w:t xml:space="preserve"> finalised in late 2010.</w:t>
      </w:r>
      <w:r w:rsidR="0087145A">
        <w:rPr>
          <w:rFonts w:cs="Arial"/>
          <w:szCs w:val="20"/>
        </w:rPr>
        <w:t xml:space="preserve"> The FCC arrangement makes access to unused </w:t>
      </w:r>
      <w:r w:rsidR="0044557C">
        <w:rPr>
          <w:rFonts w:cs="Arial"/>
          <w:szCs w:val="20"/>
        </w:rPr>
        <w:t xml:space="preserve">TV </w:t>
      </w:r>
      <w:r w:rsidR="0087145A">
        <w:rPr>
          <w:rFonts w:cs="Arial"/>
          <w:szCs w:val="20"/>
        </w:rPr>
        <w:t xml:space="preserve">broadcast </w:t>
      </w:r>
      <w:r w:rsidR="00C1637D">
        <w:rPr>
          <w:rFonts w:cs="Arial"/>
          <w:szCs w:val="20"/>
        </w:rPr>
        <w:t xml:space="preserve">spectrum </w:t>
      </w:r>
      <w:r w:rsidR="0087145A">
        <w:rPr>
          <w:rFonts w:cs="Arial"/>
          <w:szCs w:val="20"/>
        </w:rPr>
        <w:t>on an unlicensed basis (comparable to the class licence system in Australia)</w:t>
      </w:r>
      <w:r w:rsidR="00FD2948">
        <w:rPr>
          <w:rFonts w:cs="Arial"/>
          <w:szCs w:val="20"/>
        </w:rPr>
        <w:t xml:space="preserve">, on the basis that TV broadcast and wireless microphones would continue to be protected. This concept is described in the above section on arrangements in the </w:t>
      </w:r>
      <w:r w:rsidR="00FD2948" w:rsidRPr="00F3395E">
        <w:rPr>
          <w:rFonts w:cs="Arial"/>
          <w:i/>
          <w:szCs w:val="20"/>
        </w:rPr>
        <w:fldChar w:fldCharType="begin"/>
      </w:r>
      <w:r w:rsidR="00FD2948" w:rsidRPr="00F3395E">
        <w:rPr>
          <w:rFonts w:cs="Arial"/>
          <w:i/>
          <w:szCs w:val="20"/>
        </w:rPr>
        <w:instrText xml:space="preserve"> REF _Ref1777460 \h </w:instrText>
      </w:r>
      <w:r w:rsidR="00FD2948">
        <w:rPr>
          <w:rFonts w:cs="Arial"/>
          <w:i/>
          <w:szCs w:val="20"/>
        </w:rPr>
        <w:instrText xml:space="preserve"> \* MERGEFORMAT </w:instrText>
      </w:r>
      <w:r w:rsidR="00FD2948" w:rsidRPr="00F3395E">
        <w:rPr>
          <w:rFonts w:cs="Arial"/>
          <w:i/>
          <w:szCs w:val="20"/>
        </w:rPr>
      </w:r>
      <w:r w:rsidR="00FD2948" w:rsidRPr="00F3395E">
        <w:rPr>
          <w:rFonts w:cs="Arial"/>
          <w:i/>
          <w:szCs w:val="20"/>
        </w:rPr>
        <w:fldChar w:fldCharType="separate"/>
      </w:r>
      <w:r w:rsidR="00FD2948" w:rsidRPr="00F3395E">
        <w:rPr>
          <w:i/>
        </w:rPr>
        <w:t>United Kingdom</w:t>
      </w:r>
      <w:r w:rsidR="00FD2948" w:rsidRPr="00F3395E">
        <w:rPr>
          <w:rFonts w:cs="Arial"/>
          <w:i/>
          <w:szCs w:val="20"/>
        </w:rPr>
        <w:fldChar w:fldCharType="end"/>
      </w:r>
      <w:r w:rsidR="00FD2948">
        <w:rPr>
          <w:rFonts w:cs="Arial"/>
          <w:szCs w:val="20"/>
        </w:rPr>
        <w:t>).</w:t>
      </w:r>
    </w:p>
    <w:p w14:paraId="7BE1662A" w14:textId="77777777" w:rsidR="009129B5" w:rsidRPr="009129B5" w:rsidRDefault="009129B5" w:rsidP="000D7782">
      <w:pPr>
        <w:spacing w:before="120" w:after="120" w:line="240" w:lineRule="auto"/>
      </w:pPr>
    </w:p>
    <w:p w14:paraId="1119490E" w14:textId="6F4940F6" w:rsidR="00FF3C69" w:rsidRPr="00285E08" w:rsidRDefault="00430B45" w:rsidP="00FE61CE">
      <w:pPr>
        <w:pStyle w:val="Heading1"/>
      </w:pPr>
      <w:bookmarkStart w:id="40" w:name="_Toc16054659"/>
      <w:r w:rsidRPr="00285E08">
        <w:lastRenderedPageBreak/>
        <w:t>Domestic considerations</w:t>
      </w:r>
      <w:bookmarkEnd w:id="40"/>
    </w:p>
    <w:p w14:paraId="0FA282CE" w14:textId="3B01FD1F" w:rsidR="009129B5" w:rsidRPr="00694839" w:rsidRDefault="004151EF"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Che" w:cs="Arial"/>
          <w:szCs w:val="20"/>
        </w:rPr>
      </w:pPr>
      <w:r w:rsidRPr="00694839">
        <w:rPr>
          <w:rFonts w:cs="Arial"/>
          <w:szCs w:val="20"/>
        </w:rPr>
        <w:t>The</w:t>
      </w:r>
      <w:r w:rsidR="009129B5" w:rsidRPr="00694839">
        <w:rPr>
          <w:rFonts w:cs="Arial"/>
          <w:szCs w:val="20"/>
        </w:rPr>
        <w:t xml:space="preserve"> common premise</w:t>
      </w:r>
      <w:r w:rsidRPr="00694839">
        <w:rPr>
          <w:rFonts w:cs="Arial"/>
          <w:szCs w:val="20"/>
        </w:rPr>
        <w:t xml:space="preserve"> of most sharing models considered to date</w:t>
      </w:r>
      <w:r w:rsidR="009129B5" w:rsidRPr="00694839">
        <w:rPr>
          <w:rFonts w:cs="Arial"/>
          <w:szCs w:val="20"/>
        </w:rPr>
        <w:t xml:space="preserve"> is that entities responsible for managing spectrum access by secondary </w:t>
      </w:r>
      <w:r w:rsidR="004B7F68" w:rsidRPr="00694839">
        <w:rPr>
          <w:rFonts w:cs="Arial"/>
          <w:szCs w:val="20"/>
        </w:rPr>
        <w:t>access seekers</w:t>
      </w:r>
      <w:r w:rsidR="009129B5" w:rsidRPr="00694839">
        <w:rPr>
          <w:rFonts w:cs="Arial"/>
          <w:szCs w:val="20"/>
        </w:rPr>
        <w:t xml:space="preserve"> have some degree of knowledge of </w:t>
      </w:r>
      <w:r w:rsidR="004B7F68" w:rsidRPr="00694839">
        <w:rPr>
          <w:rFonts w:cs="Arial"/>
          <w:szCs w:val="20"/>
        </w:rPr>
        <w:t xml:space="preserve">usage patterns. The underlying idea is </w:t>
      </w:r>
      <w:r w:rsidR="001100D2" w:rsidRPr="00694839">
        <w:rPr>
          <w:rFonts w:cs="Arial"/>
          <w:szCs w:val="20"/>
        </w:rPr>
        <w:t xml:space="preserve">that an </w:t>
      </w:r>
      <w:r w:rsidR="009129B5" w:rsidRPr="00694839">
        <w:rPr>
          <w:rFonts w:cs="Arial"/>
          <w:szCs w:val="20"/>
        </w:rPr>
        <w:t xml:space="preserve">access-seeking </w:t>
      </w:r>
      <w:r w:rsidR="00FD68C8" w:rsidRPr="00694839">
        <w:rPr>
          <w:rFonts w:cs="Arial"/>
          <w:szCs w:val="20"/>
        </w:rPr>
        <w:t xml:space="preserve">user </w:t>
      </w:r>
      <w:r w:rsidR="009129B5" w:rsidRPr="00694839">
        <w:rPr>
          <w:rFonts w:cs="Arial"/>
          <w:szCs w:val="20"/>
        </w:rPr>
        <w:t xml:space="preserve">can ‘avoid’ or ‘work </w:t>
      </w:r>
      <w:r w:rsidR="00E66B2A" w:rsidRPr="00694839">
        <w:rPr>
          <w:rFonts w:cs="Arial"/>
          <w:szCs w:val="20"/>
        </w:rPr>
        <w:t>a</w:t>
      </w:r>
      <w:r w:rsidR="009129B5" w:rsidRPr="00694839">
        <w:rPr>
          <w:rFonts w:cs="Arial"/>
          <w:szCs w:val="20"/>
        </w:rPr>
        <w:t xml:space="preserve">round’ </w:t>
      </w:r>
      <w:r w:rsidR="001100D2" w:rsidRPr="00694839">
        <w:rPr>
          <w:rFonts w:cs="Arial"/>
          <w:szCs w:val="20"/>
        </w:rPr>
        <w:t xml:space="preserve">incumbent users, </w:t>
      </w:r>
      <w:r w:rsidR="009129B5" w:rsidRPr="00694839">
        <w:rPr>
          <w:rFonts w:cs="Arial"/>
          <w:szCs w:val="20"/>
        </w:rPr>
        <w:t xml:space="preserve">through </w:t>
      </w:r>
      <w:r w:rsidR="004B7F68" w:rsidRPr="00694839">
        <w:rPr>
          <w:rFonts w:cs="Arial"/>
          <w:szCs w:val="20"/>
        </w:rPr>
        <w:t>interference avoidance techniques based on spectral, geographic</w:t>
      </w:r>
      <w:r w:rsidR="001100D2" w:rsidRPr="00694839">
        <w:rPr>
          <w:rFonts w:cs="Arial"/>
          <w:szCs w:val="20"/>
        </w:rPr>
        <w:t xml:space="preserve"> or time separation.</w:t>
      </w:r>
    </w:p>
    <w:p w14:paraId="52684D6B" w14:textId="11E28566" w:rsidR="00250B17" w:rsidRDefault="001100D2"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cs="Arial"/>
          <w:szCs w:val="20"/>
        </w:rPr>
      </w:pPr>
      <w:r w:rsidRPr="00694839">
        <w:rPr>
          <w:rFonts w:cs="Arial"/>
          <w:szCs w:val="20"/>
        </w:rPr>
        <w:t xml:space="preserve">These </w:t>
      </w:r>
      <w:r w:rsidR="009129B5" w:rsidRPr="00694839">
        <w:rPr>
          <w:rFonts w:cs="Arial"/>
          <w:szCs w:val="20"/>
        </w:rPr>
        <w:t xml:space="preserve">traditional </w:t>
      </w:r>
      <w:r w:rsidR="00291E83" w:rsidRPr="00694839">
        <w:rPr>
          <w:rFonts w:cs="Arial"/>
          <w:szCs w:val="20"/>
        </w:rPr>
        <w:t>sharing</w:t>
      </w:r>
      <w:r w:rsidR="009129B5" w:rsidRPr="00694839">
        <w:rPr>
          <w:rFonts w:cs="Arial"/>
          <w:szCs w:val="20"/>
        </w:rPr>
        <w:t xml:space="preserve"> methods </w:t>
      </w:r>
      <w:r w:rsidRPr="00694839">
        <w:rPr>
          <w:rFonts w:cs="Arial"/>
          <w:szCs w:val="20"/>
        </w:rPr>
        <w:t xml:space="preserve">do </w:t>
      </w:r>
      <w:r w:rsidR="009129B5" w:rsidRPr="00694839">
        <w:rPr>
          <w:rFonts w:cs="Arial"/>
          <w:szCs w:val="20"/>
        </w:rPr>
        <w:t>not cater for scenarios where incumbent use cannot be predicted or measured, such as highly dynamic/itinerant services that are authori</w:t>
      </w:r>
      <w:r w:rsidR="00001FE8" w:rsidRPr="00694839">
        <w:rPr>
          <w:rFonts w:cs="Arial"/>
          <w:szCs w:val="20"/>
        </w:rPr>
        <w:t>s</w:t>
      </w:r>
      <w:r w:rsidR="009129B5" w:rsidRPr="00694839">
        <w:rPr>
          <w:rFonts w:cs="Arial"/>
          <w:szCs w:val="20"/>
        </w:rPr>
        <w:t xml:space="preserve">ed by wide area licenses. </w:t>
      </w:r>
      <w:r w:rsidR="00250B17">
        <w:rPr>
          <w:rFonts w:cs="Arial"/>
          <w:szCs w:val="20"/>
        </w:rPr>
        <w:t>In the case of the CBRS example, this is partially overcome through the deployment of sensor networks to provide real-time information on tier 1 use and inform the access controller accordingly. While this has been deemed an appropriate approach in the US environment, the infrastructure cost would unlikely be justifiable in a relatively small market such as Australia.</w:t>
      </w:r>
    </w:p>
    <w:p w14:paraId="637F0BD1" w14:textId="7D6CD2A3" w:rsidR="00911CC3" w:rsidRPr="00694839" w:rsidRDefault="00250B17"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cs="Arial"/>
          <w:szCs w:val="20"/>
        </w:rPr>
      </w:pPr>
      <w:r>
        <w:rPr>
          <w:rFonts w:cs="Arial"/>
          <w:szCs w:val="20"/>
        </w:rPr>
        <w:t xml:space="preserve">A potential variation on CBRS might involve replacing sensing with pre-emption, for example, in which case </w:t>
      </w:r>
      <w:r w:rsidR="009129B5" w:rsidRPr="00694839">
        <w:rPr>
          <w:rFonts w:cs="Arial"/>
          <w:szCs w:val="20"/>
        </w:rPr>
        <w:t xml:space="preserve">incumbent users </w:t>
      </w:r>
      <w:r>
        <w:rPr>
          <w:rFonts w:cs="Arial"/>
          <w:szCs w:val="20"/>
        </w:rPr>
        <w:t>would be furnished with</w:t>
      </w:r>
      <w:r w:rsidRPr="00694839">
        <w:rPr>
          <w:rFonts w:cs="Arial"/>
          <w:szCs w:val="20"/>
        </w:rPr>
        <w:t xml:space="preserve"> </w:t>
      </w:r>
      <w:r w:rsidR="009129B5" w:rsidRPr="00694839">
        <w:rPr>
          <w:rFonts w:cs="Arial"/>
          <w:szCs w:val="20"/>
        </w:rPr>
        <w:t>the regulatory tools to be able to pre-empt access to frequencies and/or areas at their discretion</w:t>
      </w:r>
      <w:r w:rsidR="001100D2" w:rsidRPr="00694839">
        <w:rPr>
          <w:rFonts w:cs="Arial"/>
          <w:szCs w:val="20"/>
        </w:rPr>
        <w:t>.</w:t>
      </w:r>
      <w:r w:rsidR="00911CC3" w:rsidRPr="00694839">
        <w:rPr>
          <w:rFonts w:cs="Arial"/>
          <w:szCs w:val="20"/>
        </w:rPr>
        <w:t xml:space="preserve"> </w:t>
      </w:r>
      <w:r w:rsidR="00430B45">
        <w:rPr>
          <w:rFonts w:cs="Arial"/>
          <w:szCs w:val="20"/>
        </w:rPr>
        <w:t>This pre-emption would be the ‘exception’ case (although this is not to suggest it would be irregular); the ‘default’ would be that secondary access seekers would be able to deploy in the absence of any pre-emption notification.</w:t>
      </w:r>
    </w:p>
    <w:p w14:paraId="7AF3D33D" w14:textId="032123DD" w:rsidR="00E55E13" w:rsidRPr="00694839" w:rsidRDefault="0065440C"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cs="Arial"/>
          <w:szCs w:val="20"/>
        </w:rPr>
      </w:pPr>
      <w:r w:rsidRPr="00694839">
        <w:rPr>
          <w:rFonts w:cs="Arial"/>
          <w:szCs w:val="20"/>
        </w:rPr>
        <w:t>Such a mod</w:t>
      </w:r>
      <w:r w:rsidR="001C5FAD" w:rsidRPr="00694839">
        <w:rPr>
          <w:rFonts w:cs="Arial"/>
          <w:szCs w:val="20"/>
        </w:rPr>
        <w:t>el</w:t>
      </w:r>
      <w:r w:rsidRPr="00694839">
        <w:rPr>
          <w:rFonts w:cs="Arial"/>
          <w:szCs w:val="20"/>
        </w:rPr>
        <w:t xml:space="preserve"> enables</w:t>
      </w:r>
      <w:r w:rsidR="009129B5" w:rsidRPr="00694839">
        <w:rPr>
          <w:rFonts w:cs="Arial"/>
          <w:szCs w:val="20"/>
        </w:rPr>
        <w:t xml:space="preserve"> secondary access-seekers to deploy networks across the frequencies identified for shared </w:t>
      </w:r>
      <w:r w:rsidR="007C4E45" w:rsidRPr="00694839">
        <w:rPr>
          <w:rFonts w:cs="Arial"/>
          <w:szCs w:val="20"/>
        </w:rPr>
        <w:t>access but</w:t>
      </w:r>
      <w:r w:rsidR="009129B5" w:rsidRPr="00694839">
        <w:rPr>
          <w:rFonts w:cs="Arial"/>
          <w:szCs w:val="20"/>
        </w:rPr>
        <w:t xml:space="preserve"> allow incumbent users to pre-emptively clear that use within the areas/frequencies they require</w:t>
      </w:r>
      <w:r w:rsidR="0068041A" w:rsidRPr="00694839">
        <w:rPr>
          <w:rFonts w:cs="Arial"/>
          <w:szCs w:val="20"/>
        </w:rPr>
        <w:t>, when they are required</w:t>
      </w:r>
      <w:r w:rsidR="009129B5" w:rsidRPr="00694839">
        <w:rPr>
          <w:rFonts w:cs="Arial"/>
          <w:szCs w:val="20"/>
        </w:rPr>
        <w:t xml:space="preserve">. This aligns with the pre-emptive sharing model </w:t>
      </w:r>
      <w:r w:rsidR="004A74CA" w:rsidRPr="00694839">
        <w:rPr>
          <w:rFonts w:cs="Arial"/>
          <w:szCs w:val="20"/>
        </w:rPr>
        <w:t xml:space="preserve">which </w:t>
      </w:r>
      <w:r w:rsidR="009129B5" w:rsidRPr="00694839">
        <w:rPr>
          <w:rFonts w:cs="Arial"/>
          <w:szCs w:val="20"/>
        </w:rPr>
        <w:t>relies on active communication (notification) between the incumbent and access-seeking services, rather than passive observance of protection requirements and knowledge of incumbent users’ operating characteristics.</w:t>
      </w:r>
      <w:r w:rsidR="001100D2" w:rsidRPr="00694839">
        <w:rPr>
          <w:rFonts w:cs="Arial"/>
          <w:szCs w:val="20"/>
        </w:rPr>
        <w:t xml:space="preserve"> </w:t>
      </w:r>
    </w:p>
    <w:p w14:paraId="2F8FB1B8" w14:textId="7F53C62D" w:rsidR="009129B5" w:rsidRPr="00694839" w:rsidRDefault="0065440C"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cs="Arial"/>
          <w:szCs w:val="20"/>
        </w:rPr>
      </w:pPr>
      <w:r w:rsidRPr="00694839">
        <w:rPr>
          <w:rFonts w:cs="Arial"/>
          <w:szCs w:val="20"/>
        </w:rPr>
        <w:t>Th</w:t>
      </w:r>
      <w:r w:rsidR="001100D2" w:rsidRPr="00694839">
        <w:rPr>
          <w:rFonts w:cs="Arial"/>
          <w:szCs w:val="20"/>
        </w:rPr>
        <w:t>is model best lends itself to scenarios where the primary service is itinerant, sporadic and infrequent in nature, in terms of both geographic location and frequency.</w:t>
      </w:r>
      <w:r w:rsidR="00E55E13" w:rsidRPr="00694839">
        <w:rPr>
          <w:rFonts w:cs="Arial"/>
          <w:szCs w:val="20"/>
        </w:rPr>
        <w:t xml:space="preserve"> </w:t>
      </w:r>
      <w:r w:rsidR="00250B17">
        <w:rPr>
          <w:rFonts w:cs="Arial"/>
          <w:szCs w:val="20"/>
        </w:rPr>
        <w:t>Such users might</w:t>
      </w:r>
      <w:r w:rsidR="009D413A">
        <w:rPr>
          <w:rFonts w:cs="Arial"/>
          <w:szCs w:val="20"/>
        </w:rPr>
        <w:t xml:space="preserve"> </w:t>
      </w:r>
      <w:r w:rsidR="00E55E13" w:rsidRPr="00694839">
        <w:rPr>
          <w:rFonts w:cs="Arial"/>
          <w:szCs w:val="20"/>
        </w:rPr>
        <w:t>hold spectrum on a contingency basis for often nomadic platforms that might not necessarily be used everywhere or all the time.</w:t>
      </w:r>
      <w:r w:rsidR="00A44A92" w:rsidRPr="00694839">
        <w:rPr>
          <w:rFonts w:cs="Arial"/>
          <w:szCs w:val="20"/>
        </w:rPr>
        <w:t xml:space="preserve"> </w:t>
      </w:r>
      <w:r w:rsidR="00250B17">
        <w:rPr>
          <w:rFonts w:cs="Arial"/>
          <w:szCs w:val="20"/>
        </w:rPr>
        <w:t>A sharing arrangement would not be intended to diminish this access, rather make better use of the unused spectrum/spaces.</w:t>
      </w:r>
    </w:p>
    <w:p w14:paraId="5247973D" w14:textId="1F4EA90A" w:rsidR="00AE21EB" w:rsidRPr="00694839" w:rsidRDefault="00250B17"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cs="Arial"/>
          <w:szCs w:val="20"/>
        </w:rPr>
      </w:pPr>
      <w:r>
        <w:rPr>
          <w:rFonts w:cs="Arial"/>
          <w:szCs w:val="20"/>
        </w:rPr>
        <w:t>Under this example, i</w:t>
      </w:r>
      <w:r w:rsidR="00AE21EB" w:rsidRPr="00694839">
        <w:rPr>
          <w:rFonts w:cs="Arial"/>
          <w:szCs w:val="20"/>
        </w:rPr>
        <w:t>n some cases</w:t>
      </w:r>
      <w:r>
        <w:rPr>
          <w:rFonts w:cs="Arial"/>
          <w:szCs w:val="20"/>
        </w:rPr>
        <w:t xml:space="preserve"> </w:t>
      </w:r>
      <w:r w:rsidR="00AE21EB" w:rsidRPr="00694839">
        <w:rPr>
          <w:rFonts w:cs="Arial"/>
          <w:szCs w:val="20"/>
        </w:rPr>
        <w:t xml:space="preserve">it </w:t>
      </w:r>
      <w:r>
        <w:rPr>
          <w:rFonts w:cs="Arial"/>
          <w:szCs w:val="20"/>
        </w:rPr>
        <w:t>might</w:t>
      </w:r>
      <w:r w:rsidRPr="00694839">
        <w:rPr>
          <w:rFonts w:cs="Arial"/>
          <w:szCs w:val="20"/>
        </w:rPr>
        <w:t xml:space="preserve"> </w:t>
      </w:r>
      <w:r w:rsidR="00AE21EB" w:rsidRPr="00694839">
        <w:rPr>
          <w:rFonts w:cs="Arial"/>
          <w:szCs w:val="20"/>
        </w:rPr>
        <w:t xml:space="preserve">be useful to identify certain areas where incumbent use is more intensive or common. </w:t>
      </w:r>
      <w:r>
        <w:rPr>
          <w:rFonts w:cs="Arial"/>
          <w:szCs w:val="20"/>
        </w:rPr>
        <w:t>T</w:t>
      </w:r>
      <w:r w:rsidR="00AE21EB" w:rsidRPr="00694839">
        <w:rPr>
          <w:rFonts w:cs="Arial"/>
          <w:szCs w:val="20"/>
        </w:rPr>
        <w:t xml:space="preserve">hese areas may not be available for secondary use given the increased likelihood that these areas will experience high rates of incumbent usage, hence making them practically unattractive for a secondary user for commercial use.   </w:t>
      </w:r>
    </w:p>
    <w:p w14:paraId="7426CE36" w14:textId="3634CB52" w:rsidR="009129B5" w:rsidRPr="00694839" w:rsidRDefault="005B6814"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cs="Arial"/>
          <w:szCs w:val="20"/>
        </w:rPr>
      </w:pPr>
      <w:r w:rsidRPr="00694839">
        <w:rPr>
          <w:rFonts w:cs="Arial"/>
          <w:szCs w:val="20"/>
        </w:rPr>
        <w:t xml:space="preserve">This approach, if managed effectively, would mean that parts </w:t>
      </w:r>
      <w:r w:rsidR="00E17E6F" w:rsidRPr="00694839">
        <w:rPr>
          <w:rFonts w:cs="Arial"/>
          <w:szCs w:val="20"/>
        </w:rPr>
        <w:t xml:space="preserve">of </w:t>
      </w:r>
      <w:r w:rsidRPr="00694839">
        <w:rPr>
          <w:rFonts w:cs="Arial"/>
          <w:szCs w:val="20"/>
        </w:rPr>
        <w:t xml:space="preserve">spectrum would be available to </w:t>
      </w:r>
      <w:r w:rsidR="00522AC0" w:rsidRPr="00694839">
        <w:rPr>
          <w:rFonts w:cs="Arial"/>
          <w:szCs w:val="20"/>
        </w:rPr>
        <w:t>secondary</w:t>
      </w:r>
      <w:r w:rsidRPr="00694839">
        <w:rPr>
          <w:rFonts w:cs="Arial"/>
          <w:szCs w:val="20"/>
        </w:rPr>
        <w:t xml:space="preserve"> access seekers that would otherwise not have been available</w:t>
      </w:r>
      <w:r w:rsidR="008D214B" w:rsidRPr="00694839">
        <w:rPr>
          <w:rFonts w:cs="Arial"/>
          <w:szCs w:val="20"/>
        </w:rPr>
        <w:t xml:space="preserve">, </w:t>
      </w:r>
      <w:r w:rsidR="00EF1BDC" w:rsidRPr="00694839">
        <w:rPr>
          <w:rFonts w:cs="Arial"/>
          <w:szCs w:val="20"/>
        </w:rPr>
        <w:t>and the impact of notifications</w:t>
      </w:r>
      <w:r w:rsidR="00105C72" w:rsidRPr="00694839">
        <w:rPr>
          <w:rFonts w:cs="Arial"/>
          <w:szCs w:val="20"/>
        </w:rPr>
        <w:t xml:space="preserve"> to secondary access seekers would be </w:t>
      </w:r>
      <w:r w:rsidR="00EF1BDC" w:rsidRPr="00694839">
        <w:rPr>
          <w:rFonts w:cs="Arial"/>
          <w:szCs w:val="20"/>
        </w:rPr>
        <w:t xml:space="preserve">limited </w:t>
      </w:r>
      <w:r w:rsidR="00105C72" w:rsidRPr="00694839">
        <w:rPr>
          <w:rFonts w:cs="Arial"/>
          <w:szCs w:val="20"/>
        </w:rPr>
        <w:t xml:space="preserve">to specific </w:t>
      </w:r>
      <w:r w:rsidR="00DA2A78" w:rsidRPr="00694839">
        <w:rPr>
          <w:rFonts w:cs="Arial"/>
          <w:szCs w:val="20"/>
        </w:rPr>
        <w:t xml:space="preserve">geographical </w:t>
      </w:r>
      <w:r w:rsidR="00105C72" w:rsidRPr="00694839">
        <w:rPr>
          <w:rFonts w:cs="Arial"/>
          <w:szCs w:val="20"/>
        </w:rPr>
        <w:t>areas</w:t>
      </w:r>
      <w:r w:rsidR="00EF1BDC" w:rsidRPr="00694839">
        <w:rPr>
          <w:rFonts w:cs="Arial"/>
          <w:szCs w:val="20"/>
        </w:rPr>
        <w:t xml:space="preserve"> on an occasional (in some, potentially many cases, never) basis.</w:t>
      </w:r>
    </w:p>
    <w:p w14:paraId="464D70A2" w14:textId="4CD1339F" w:rsidR="00EF1BDC" w:rsidRDefault="00EF1BDC"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cs="Arial"/>
          <w:szCs w:val="20"/>
        </w:rPr>
      </w:pPr>
      <w:r w:rsidRPr="00694839">
        <w:rPr>
          <w:rFonts w:cs="Arial"/>
          <w:szCs w:val="20"/>
        </w:rPr>
        <w:t>In the context of fixed or mobile wireless broadband services sharing with itinerant</w:t>
      </w:r>
      <w:r w:rsidR="00250B17">
        <w:rPr>
          <w:rFonts w:cs="Arial"/>
          <w:szCs w:val="20"/>
        </w:rPr>
        <w:t xml:space="preserve">, nomadic or sporadic </w:t>
      </w:r>
      <w:r w:rsidRPr="00694839">
        <w:rPr>
          <w:rFonts w:cs="Arial"/>
          <w:szCs w:val="20"/>
        </w:rPr>
        <w:t xml:space="preserve">services, application of a pre-emptive sharing model would mean wireless broadband operators would assume tier 2 status and would be required to alter or cease operation where and when specified when notified of pending use by </w:t>
      </w:r>
      <w:r w:rsidR="0037536F">
        <w:rPr>
          <w:rFonts w:cs="Arial"/>
          <w:szCs w:val="20"/>
        </w:rPr>
        <w:t>tier 1</w:t>
      </w:r>
      <w:r w:rsidR="0037536F" w:rsidRPr="00694839">
        <w:rPr>
          <w:rFonts w:cs="Arial"/>
          <w:szCs w:val="20"/>
        </w:rPr>
        <w:t xml:space="preserve"> </w:t>
      </w:r>
      <w:r w:rsidRPr="00694839">
        <w:rPr>
          <w:rFonts w:cs="Arial"/>
          <w:szCs w:val="20"/>
        </w:rPr>
        <w:t>users. A notification portal could be set up to streamline the process and minimise administrative overheads on tier 1 users.</w:t>
      </w:r>
    </w:p>
    <w:p w14:paraId="7DF6C884" w14:textId="36EC382B" w:rsidR="001065A5" w:rsidRPr="00694839" w:rsidRDefault="00823C42" w:rsidP="000D778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cs="Arial"/>
          <w:szCs w:val="20"/>
        </w:rPr>
      </w:pPr>
      <w:r>
        <w:rPr>
          <w:rFonts w:cs="Arial"/>
          <w:szCs w:val="20"/>
        </w:rPr>
        <w:t>A</w:t>
      </w:r>
      <w:r w:rsidR="00250B17">
        <w:rPr>
          <w:rFonts w:cs="Arial"/>
          <w:szCs w:val="20"/>
        </w:rPr>
        <w:t>gain, these notes are simply intended to stimulate discussion</w:t>
      </w:r>
      <w:r w:rsidR="00285E08">
        <w:rPr>
          <w:rFonts w:cs="Arial"/>
          <w:szCs w:val="20"/>
        </w:rPr>
        <w:t>—</w:t>
      </w:r>
      <w:r w:rsidR="00250B17">
        <w:rPr>
          <w:rFonts w:cs="Arial"/>
          <w:szCs w:val="20"/>
        </w:rPr>
        <w:t>at this stage there are not defined plans to implement</w:t>
      </w:r>
      <w:r>
        <w:rPr>
          <w:rFonts w:cs="Arial"/>
          <w:szCs w:val="20"/>
        </w:rPr>
        <w:t xml:space="preserve"> DSA </w:t>
      </w:r>
      <w:r w:rsidR="00250B17">
        <w:rPr>
          <w:rFonts w:cs="Arial"/>
          <w:szCs w:val="20"/>
        </w:rPr>
        <w:t>in Australia. The</w:t>
      </w:r>
      <w:r w:rsidR="00C14B13">
        <w:rPr>
          <w:rFonts w:cs="Arial"/>
          <w:szCs w:val="20"/>
        </w:rPr>
        <w:t xml:space="preserve"> ACMA </w:t>
      </w:r>
      <w:r w:rsidR="00250B17">
        <w:rPr>
          <w:rFonts w:cs="Arial"/>
          <w:szCs w:val="20"/>
        </w:rPr>
        <w:t xml:space="preserve">welcomes </w:t>
      </w:r>
      <w:r w:rsidR="0026789B">
        <w:rPr>
          <w:rFonts w:cs="Arial"/>
          <w:szCs w:val="20"/>
        </w:rPr>
        <w:t>suggestions</w:t>
      </w:r>
      <w:r w:rsidR="00250B17">
        <w:rPr>
          <w:rFonts w:cs="Arial"/>
          <w:szCs w:val="20"/>
        </w:rPr>
        <w:t xml:space="preserve"> on </w:t>
      </w:r>
      <w:r w:rsidR="00E24EF3">
        <w:rPr>
          <w:rFonts w:cs="Arial"/>
          <w:szCs w:val="20"/>
        </w:rPr>
        <w:t xml:space="preserve">the appropriateness of such arrangements in the Australian environment, </w:t>
      </w:r>
      <w:r w:rsidR="00250B17">
        <w:rPr>
          <w:rFonts w:cs="Arial"/>
          <w:szCs w:val="20"/>
        </w:rPr>
        <w:t xml:space="preserve">where </w:t>
      </w:r>
      <w:r w:rsidR="00E24EF3">
        <w:rPr>
          <w:rFonts w:cs="Arial"/>
          <w:szCs w:val="20"/>
        </w:rPr>
        <w:t xml:space="preserve">the </w:t>
      </w:r>
      <w:r w:rsidR="00250B17">
        <w:rPr>
          <w:rFonts w:cs="Arial"/>
          <w:szCs w:val="20"/>
        </w:rPr>
        <w:lastRenderedPageBreak/>
        <w:t>opportunities might exist</w:t>
      </w:r>
      <w:r w:rsidR="00F101D4">
        <w:rPr>
          <w:rFonts w:cs="Arial"/>
          <w:szCs w:val="20"/>
        </w:rPr>
        <w:t xml:space="preserve">, what the implementation challenges might be and what roles government and industry might play in </w:t>
      </w:r>
      <w:r w:rsidR="00E24EF3">
        <w:rPr>
          <w:rFonts w:cs="Arial"/>
          <w:szCs w:val="20"/>
        </w:rPr>
        <w:t>introducing such a regime.</w:t>
      </w:r>
    </w:p>
    <w:p w14:paraId="0CD56ED4" w14:textId="62D0511C" w:rsidR="00E31663" w:rsidRPr="00285E08" w:rsidRDefault="007869CA" w:rsidP="00FE61CE">
      <w:pPr>
        <w:pStyle w:val="Heading1"/>
      </w:pPr>
      <w:bookmarkStart w:id="41" w:name="_Toc863380"/>
      <w:bookmarkStart w:id="42" w:name="_Toc16054660"/>
      <w:r w:rsidRPr="00285E08">
        <w:lastRenderedPageBreak/>
        <w:t>C</w:t>
      </w:r>
      <w:r w:rsidR="00481901" w:rsidRPr="00285E08">
        <w:t>onclusion</w:t>
      </w:r>
      <w:bookmarkEnd w:id="41"/>
      <w:bookmarkEnd w:id="42"/>
      <w:r w:rsidR="00E31663" w:rsidRPr="00285E08">
        <w:t xml:space="preserve"> </w:t>
      </w:r>
    </w:p>
    <w:p w14:paraId="1BE10EE2" w14:textId="77777777" w:rsidR="0065440C" w:rsidRDefault="00770F3A" w:rsidP="000D7782">
      <w:pPr>
        <w:pStyle w:val="ListBullet"/>
        <w:numPr>
          <w:ilvl w:val="0"/>
          <w:numId w:val="0"/>
        </w:numPr>
        <w:spacing w:before="120" w:after="120" w:line="240" w:lineRule="auto"/>
      </w:pPr>
      <w:r>
        <w:t xml:space="preserve">This paper is intended </w:t>
      </w:r>
      <w:r w:rsidR="0065440C">
        <w:t>to stimulate consideration of how spectrum sharing models can be developed in Australia.</w:t>
      </w:r>
    </w:p>
    <w:p w14:paraId="33C969F5" w14:textId="1F338FFB" w:rsidR="007A436B" w:rsidRDefault="004C171C" w:rsidP="000D7782">
      <w:pPr>
        <w:pStyle w:val="ListBullet"/>
        <w:numPr>
          <w:ilvl w:val="0"/>
          <w:numId w:val="0"/>
        </w:numPr>
        <w:spacing w:before="120" w:after="120" w:line="240" w:lineRule="auto"/>
      </w:pPr>
      <w:r>
        <w:t>Sharing in a broader sense is in no way a new concept</w:t>
      </w:r>
      <w:r w:rsidR="00285E08">
        <w:t>—</w:t>
      </w:r>
      <w:r>
        <w:t xml:space="preserve">all spectrum access is shared in some form or another. In that sense, ‘traditional’ sharing can be considered as access to spectrum facilitated through everyday spectrum management functions such as allocations, licensing, coordination and so on. </w:t>
      </w:r>
    </w:p>
    <w:p w14:paraId="55738ECD" w14:textId="1827592B" w:rsidR="004C171C" w:rsidRDefault="007B430A" w:rsidP="000D7782">
      <w:pPr>
        <w:pStyle w:val="ListBullet"/>
        <w:numPr>
          <w:ilvl w:val="0"/>
          <w:numId w:val="0"/>
        </w:numPr>
        <w:spacing w:before="120" w:after="120" w:line="240" w:lineRule="auto"/>
      </w:pPr>
      <w:r>
        <w:t>M</w:t>
      </w:r>
      <w:r w:rsidR="004C171C">
        <w:t>ore contemporary</w:t>
      </w:r>
      <w:r w:rsidR="00D678C0">
        <w:t xml:space="preserve"> spectrum sharing</w:t>
      </w:r>
      <w:r w:rsidR="004C171C">
        <w:t xml:space="preserve"> approaches such as LSA/DSA, cognitive radio, whitespace devices and the like have in recent times </w:t>
      </w:r>
      <w:r>
        <w:t>appropriated the term</w:t>
      </w:r>
      <w:r w:rsidR="004C171C">
        <w:t xml:space="preserve"> ‘sharing’</w:t>
      </w:r>
      <w:r w:rsidR="00285E08">
        <w:t>—</w:t>
      </w:r>
      <w:r w:rsidR="004C171C">
        <w:t xml:space="preserve">these concepts should more correctly be grouped as </w:t>
      </w:r>
      <w:r>
        <w:t>‘</w:t>
      </w:r>
      <w:r w:rsidR="004C171C">
        <w:t>non-traditional</w:t>
      </w:r>
      <w:r>
        <w:t>’</w:t>
      </w:r>
      <w:r w:rsidR="004C171C">
        <w:t xml:space="preserve"> sharing approaches</w:t>
      </w:r>
      <w:r>
        <w:t>. T</w:t>
      </w:r>
      <w:r w:rsidR="004C171C">
        <w:t xml:space="preserve">he </w:t>
      </w:r>
      <w:r w:rsidR="00C04C31">
        <w:t xml:space="preserve">international </w:t>
      </w:r>
      <w:r w:rsidR="004C171C">
        <w:t>case studies floated in this paper fit within that latter category.</w:t>
      </w:r>
    </w:p>
    <w:p w14:paraId="7C41EA50" w14:textId="180327FB" w:rsidR="007B65BC" w:rsidRDefault="004518AD" w:rsidP="000D7782">
      <w:pPr>
        <w:pStyle w:val="ListBullet"/>
        <w:numPr>
          <w:ilvl w:val="0"/>
          <w:numId w:val="0"/>
        </w:numPr>
        <w:spacing w:before="120" w:after="120" w:line="240" w:lineRule="auto"/>
      </w:pPr>
      <w:r>
        <w:t>Adopting</w:t>
      </w:r>
      <w:r w:rsidR="00770F3A" w:rsidRPr="005E1951">
        <w:t xml:space="preserve"> flexible regulatory </w:t>
      </w:r>
      <w:r>
        <w:t xml:space="preserve">frameworks, </w:t>
      </w:r>
      <w:r w:rsidR="007B430A">
        <w:t xml:space="preserve">through </w:t>
      </w:r>
      <w:r w:rsidR="007B430A" w:rsidRPr="005E1951">
        <w:t xml:space="preserve">implementation of measures at </w:t>
      </w:r>
      <w:r w:rsidR="007B430A">
        <w:t xml:space="preserve">both </w:t>
      </w:r>
      <w:r w:rsidR="007B430A" w:rsidRPr="005E1951">
        <w:t>the planning and assignment</w:t>
      </w:r>
      <w:r w:rsidR="007B430A">
        <w:t>/</w:t>
      </w:r>
      <w:r w:rsidR="007B430A" w:rsidRPr="005E1951">
        <w:t xml:space="preserve">licensing level and through </w:t>
      </w:r>
      <w:r w:rsidR="00E24EF3">
        <w:t xml:space="preserve">enabling </w:t>
      </w:r>
      <w:r w:rsidR="007B430A">
        <w:t>technologies and protocols that provide for</w:t>
      </w:r>
      <w:r w:rsidR="007B430A" w:rsidRPr="005E1951">
        <w:t xml:space="preserve"> negotiating access to spectrum directly </w:t>
      </w:r>
      <w:r w:rsidR="007B430A">
        <w:t>between users</w:t>
      </w:r>
      <w:r w:rsidR="003405E1">
        <w:t>,</w:t>
      </w:r>
      <w:r w:rsidR="007B430A">
        <w:t xml:space="preserve"> might </w:t>
      </w:r>
      <w:r>
        <w:t xml:space="preserve">help </w:t>
      </w:r>
      <w:r w:rsidR="00E24EF3">
        <w:t xml:space="preserve">bring about </w:t>
      </w:r>
      <w:r w:rsidR="007B430A">
        <w:t xml:space="preserve">the introduction of </w:t>
      </w:r>
      <w:r w:rsidR="003405E1">
        <w:t xml:space="preserve">these </w:t>
      </w:r>
      <w:r w:rsidR="007B430A">
        <w:t>non-traditional sharing approaches</w:t>
      </w:r>
      <w:r w:rsidR="003405E1">
        <w:t>.</w:t>
      </w:r>
      <w:r w:rsidR="007B430A">
        <w:t xml:space="preserve"> </w:t>
      </w:r>
      <w:r w:rsidR="003405E1">
        <w:t>This could</w:t>
      </w:r>
      <w:r w:rsidR="007B430A">
        <w:t xml:space="preserve"> </w:t>
      </w:r>
      <w:r>
        <w:t xml:space="preserve">unlock </w:t>
      </w:r>
      <w:r w:rsidR="000F355D">
        <w:t>previously unrealised</w:t>
      </w:r>
      <w:r w:rsidR="003405E1">
        <w:t xml:space="preserve"> </w:t>
      </w:r>
      <w:r w:rsidR="00770F3A" w:rsidRPr="005E1951">
        <w:t xml:space="preserve">opportunities for </w:t>
      </w:r>
      <w:r>
        <w:t>improved</w:t>
      </w:r>
      <w:r w:rsidR="00770F3A" w:rsidRPr="005E1951">
        <w:t xml:space="preserve"> spectrum utilisation. </w:t>
      </w:r>
    </w:p>
    <w:p w14:paraId="46043CF7" w14:textId="32A42830" w:rsidR="00C2312F" w:rsidRDefault="00587CEB" w:rsidP="000D7782">
      <w:pPr>
        <w:spacing w:before="120" w:after="120" w:line="240" w:lineRule="auto"/>
      </w:pPr>
      <w:r>
        <w:rPr>
          <w:rFonts w:cs="Arial"/>
          <w:szCs w:val="20"/>
        </w:rPr>
        <w:t xml:space="preserve">The ACMA </w:t>
      </w:r>
      <w:r w:rsidR="002A212F">
        <w:rPr>
          <w:rFonts w:cs="Arial"/>
          <w:szCs w:val="20"/>
        </w:rPr>
        <w:t>acknowledge</w:t>
      </w:r>
      <w:r w:rsidR="003405E1">
        <w:rPr>
          <w:rFonts w:cs="Arial"/>
          <w:szCs w:val="20"/>
        </w:rPr>
        <w:t>s</w:t>
      </w:r>
      <w:r>
        <w:rPr>
          <w:rFonts w:cs="Arial"/>
          <w:szCs w:val="20"/>
        </w:rPr>
        <w:t xml:space="preserve"> that</w:t>
      </w:r>
      <w:r w:rsidR="00FC247E">
        <w:rPr>
          <w:rFonts w:cs="Arial"/>
          <w:szCs w:val="20"/>
        </w:rPr>
        <w:t xml:space="preserve"> spectrum</w:t>
      </w:r>
      <w:r>
        <w:rPr>
          <w:rFonts w:cs="Arial"/>
          <w:szCs w:val="20"/>
        </w:rPr>
        <w:t xml:space="preserve"> sharing has </w:t>
      </w:r>
      <w:r w:rsidR="0065440C">
        <w:rPr>
          <w:rFonts w:cs="Arial"/>
          <w:szCs w:val="20"/>
        </w:rPr>
        <w:t xml:space="preserve">design and implementation </w:t>
      </w:r>
      <w:r>
        <w:rPr>
          <w:rFonts w:cs="Arial"/>
          <w:szCs w:val="20"/>
        </w:rPr>
        <w:t>challenges</w:t>
      </w:r>
      <w:r w:rsidR="003405E1">
        <w:t xml:space="preserve"> and there is a significant body of work to follow if we are to go down this path. However, w</w:t>
      </w:r>
      <w:r w:rsidR="004518AD">
        <w:t xml:space="preserve">e hope that </w:t>
      </w:r>
      <w:r w:rsidR="00E24EF3">
        <w:t xml:space="preserve">current </w:t>
      </w:r>
      <w:r w:rsidR="00AF58A9">
        <w:t xml:space="preserve">international </w:t>
      </w:r>
      <w:r w:rsidR="00E24EF3">
        <w:t>developments</w:t>
      </w:r>
      <w:r w:rsidR="00285E08">
        <w:t>—</w:t>
      </w:r>
      <w:r w:rsidR="003405E1">
        <w:t xml:space="preserve">and this </w:t>
      </w:r>
      <w:r w:rsidR="004518AD">
        <w:t>paper</w:t>
      </w:r>
      <w:r w:rsidR="003405E1">
        <w:t xml:space="preserve"> more broadly</w:t>
      </w:r>
      <w:r w:rsidR="00285E08">
        <w:t>—</w:t>
      </w:r>
      <w:r w:rsidR="004518AD">
        <w:t xml:space="preserve">can lead to a </w:t>
      </w:r>
      <w:r w:rsidR="003405E1">
        <w:t xml:space="preserve">wider </w:t>
      </w:r>
      <w:r w:rsidR="004518AD">
        <w:t xml:space="preserve">discussion </w:t>
      </w:r>
      <w:r w:rsidR="003E302E">
        <w:t xml:space="preserve">on </w:t>
      </w:r>
      <w:r w:rsidR="004518AD">
        <w:t>how more forward-thinking approaches might provide additional flexibility</w:t>
      </w:r>
      <w:r w:rsidR="003405E1">
        <w:t xml:space="preserve"> in the management of/access to spectrum.</w:t>
      </w:r>
      <w:r w:rsidR="004518AD">
        <w:t xml:space="preserve"> </w:t>
      </w:r>
    </w:p>
    <w:p w14:paraId="4FB18251" w14:textId="77777777" w:rsidR="004D0B7F" w:rsidRDefault="004D0B7F" w:rsidP="004D0B7F">
      <w:pPr>
        <w:pStyle w:val="Heading1"/>
      </w:pPr>
      <w:bookmarkStart w:id="43" w:name="_Toc442879669"/>
      <w:bookmarkStart w:id="44" w:name="_Toc16054661"/>
      <w:r>
        <w:lastRenderedPageBreak/>
        <w:t>Invitation to comment</w:t>
      </w:r>
      <w:bookmarkEnd w:id="43"/>
      <w:bookmarkEnd w:id="44"/>
    </w:p>
    <w:p w14:paraId="67E140EE" w14:textId="77777777" w:rsidR="004D0B7F" w:rsidRDefault="004D0B7F" w:rsidP="004D0B7F">
      <w:pPr>
        <w:pStyle w:val="Heading2"/>
      </w:pPr>
      <w:bookmarkStart w:id="45" w:name="_Toc442879670"/>
      <w:bookmarkStart w:id="46" w:name="_Toc433122131"/>
      <w:bookmarkStart w:id="47" w:name="_Toc348105637"/>
      <w:bookmarkStart w:id="48" w:name="_Toc300909556"/>
      <w:bookmarkStart w:id="49" w:name="_Toc298924673"/>
      <w:bookmarkStart w:id="50" w:name="_Toc348105638"/>
      <w:bookmarkStart w:id="51" w:name="_Toc300909557"/>
      <w:bookmarkStart w:id="52" w:name="_Toc298924674"/>
      <w:bookmarkStart w:id="53" w:name="_Toc274296357"/>
      <w:bookmarkStart w:id="54" w:name="_Toc16054662"/>
      <w:r>
        <w:t>Making a submission</w:t>
      </w:r>
      <w:bookmarkEnd w:id="45"/>
      <w:bookmarkEnd w:id="46"/>
      <w:bookmarkEnd w:id="47"/>
      <w:bookmarkEnd w:id="48"/>
      <w:bookmarkEnd w:id="49"/>
      <w:bookmarkEnd w:id="54"/>
    </w:p>
    <w:p w14:paraId="4784CCB1" w14:textId="4D80C129" w:rsidR="004D0B7F" w:rsidRDefault="004D0B7F" w:rsidP="004D0B7F">
      <w:r>
        <w:t xml:space="preserve">The ACMA invites comments on the issues set out in this </w:t>
      </w:r>
      <w:r w:rsidR="00652E03">
        <w:t>information</w:t>
      </w:r>
      <w:r>
        <w:t xml:space="preserve"> paper. </w:t>
      </w:r>
    </w:p>
    <w:p w14:paraId="4CAD8129" w14:textId="77777777" w:rsidR="004D0B7F" w:rsidRDefault="004C4932" w:rsidP="004D0B7F">
      <w:pPr>
        <w:pStyle w:val="ListBullet"/>
      </w:pPr>
      <w:hyperlink r:id="rId32" w:history="1">
        <w:r w:rsidR="004D0B7F">
          <w:rPr>
            <w:rStyle w:val="Hyperlink"/>
          </w:rPr>
          <w:t>Online submissions</w:t>
        </w:r>
      </w:hyperlink>
      <w:r w:rsidR="004D0B7F">
        <w:t xml:space="preserve"> can be made via the comment function or by uploading a document. Submissions in Microsoft Word or Rich Text Format are preferred.</w:t>
      </w:r>
    </w:p>
    <w:p w14:paraId="3740DA16" w14:textId="77777777" w:rsidR="004D0B7F" w:rsidRDefault="004D0B7F" w:rsidP="004D0B7F">
      <w:pPr>
        <w:pStyle w:val="ListBullet"/>
      </w:pPr>
      <w:r>
        <w:t xml:space="preserve">Submissions by post can be sent to: </w:t>
      </w:r>
    </w:p>
    <w:p w14:paraId="4DFB4FD0" w14:textId="77777777" w:rsidR="004D0B7F" w:rsidRPr="00FE61CE" w:rsidRDefault="004D0B7F" w:rsidP="004D0B7F">
      <w:pPr>
        <w:pStyle w:val="ACMANormalTabbed"/>
        <w:tabs>
          <w:tab w:val="num" w:pos="295"/>
        </w:tabs>
        <w:spacing w:after="0"/>
        <w:ind w:left="295"/>
        <w:rPr>
          <w:szCs w:val="20"/>
        </w:rPr>
      </w:pPr>
      <w:r w:rsidRPr="00FE61CE">
        <w:rPr>
          <w:szCs w:val="20"/>
        </w:rPr>
        <w:t>The Manager</w:t>
      </w:r>
    </w:p>
    <w:p w14:paraId="55F07325" w14:textId="35945436" w:rsidR="004D0B7F" w:rsidRPr="00FE61CE" w:rsidRDefault="00B907BE" w:rsidP="004D0B7F">
      <w:pPr>
        <w:pStyle w:val="ACMANormalTabbed"/>
        <w:spacing w:after="0"/>
        <w:ind w:left="295"/>
        <w:rPr>
          <w:szCs w:val="20"/>
        </w:rPr>
      </w:pPr>
      <w:r w:rsidRPr="00FE61CE">
        <w:rPr>
          <w:szCs w:val="20"/>
        </w:rPr>
        <w:t>Spectrum Planning and Engineering Branch</w:t>
      </w:r>
    </w:p>
    <w:p w14:paraId="398181D0" w14:textId="43B01A5E" w:rsidR="004D0B7F" w:rsidRPr="00FE61CE" w:rsidRDefault="004D0B7F" w:rsidP="004D0B7F">
      <w:pPr>
        <w:pStyle w:val="ACMANormalTabbed"/>
        <w:spacing w:after="0"/>
        <w:ind w:left="295"/>
        <w:rPr>
          <w:szCs w:val="20"/>
        </w:rPr>
      </w:pPr>
      <w:r w:rsidRPr="00FE61CE">
        <w:rPr>
          <w:szCs w:val="20"/>
        </w:rPr>
        <w:t>Australian Communications and Media Authority</w:t>
      </w:r>
    </w:p>
    <w:p w14:paraId="385DD511" w14:textId="77777777" w:rsidR="004D0B7F" w:rsidRPr="00FE61CE" w:rsidRDefault="004D0B7F" w:rsidP="004D0B7F">
      <w:pPr>
        <w:pStyle w:val="ACMANormalTabbed"/>
        <w:spacing w:after="0"/>
        <w:ind w:left="295"/>
        <w:rPr>
          <w:szCs w:val="20"/>
        </w:rPr>
      </w:pPr>
      <w:r w:rsidRPr="00FE61CE">
        <w:rPr>
          <w:szCs w:val="20"/>
        </w:rPr>
        <w:t>PO Box 78</w:t>
      </w:r>
    </w:p>
    <w:p w14:paraId="02C3B21D" w14:textId="77777777" w:rsidR="004D0B7F" w:rsidRDefault="004D0B7F" w:rsidP="004D0B7F">
      <w:pPr>
        <w:pStyle w:val="ACMANormalTabbed"/>
        <w:ind w:left="295"/>
        <w:rPr>
          <w:szCs w:val="20"/>
        </w:rPr>
      </w:pPr>
      <w:r w:rsidRPr="00FE61CE">
        <w:rPr>
          <w:szCs w:val="20"/>
        </w:rPr>
        <w:t>Belconnen ACT 2616</w:t>
      </w:r>
    </w:p>
    <w:p w14:paraId="2894BA35" w14:textId="4942AC03" w:rsidR="004D0B7F" w:rsidRDefault="004D0B7F" w:rsidP="004D0B7F">
      <w:pPr>
        <w:rPr>
          <w:rStyle w:val="Strong"/>
        </w:rPr>
      </w:pPr>
      <w:r>
        <w:rPr>
          <w:rStyle w:val="Strong"/>
        </w:rPr>
        <w:t>The closing date for submissions is COB,</w:t>
      </w:r>
      <w:r w:rsidR="00FE61CE">
        <w:rPr>
          <w:rStyle w:val="Strong"/>
        </w:rPr>
        <w:t xml:space="preserve"> 27 September</w:t>
      </w:r>
      <w:r>
        <w:rPr>
          <w:rStyle w:val="Strong"/>
        </w:rPr>
        <w:t xml:space="preserve"> </w:t>
      </w:r>
      <w:r w:rsidRPr="0037281C">
        <w:rPr>
          <w:rStyle w:val="Strong"/>
        </w:rPr>
        <w:t>2019</w:t>
      </w:r>
      <w:r w:rsidRPr="0089797C">
        <w:rPr>
          <w:rStyle w:val="Strong"/>
        </w:rPr>
        <w:t>.</w:t>
      </w:r>
    </w:p>
    <w:p w14:paraId="6CB85B85" w14:textId="6EC7E839" w:rsidR="004D0B7F" w:rsidRDefault="004D0B7F" w:rsidP="004D0B7F">
      <w:pPr>
        <w:rPr>
          <w:szCs w:val="20"/>
        </w:rPr>
      </w:pPr>
      <w:r>
        <w:t xml:space="preserve">Consultation enquiries can be emailed </w:t>
      </w:r>
      <w:r>
        <w:rPr>
          <w:szCs w:val="20"/>
        </w:rPr>
        <w:t xml:space="preserve">to </w:t>
      </w:r>
      <w:r w:rsidR="00FE61CE">
        <w:rPr>
          <w:szCs w:val="20"/>
        </w:rPr>
        <w:t>freqplan</w:t>
      </w:r>
      <w:hyperlink r:id="rId33" w:history="1">
        <w:r w:rsidRPr="00FE61CE">
          <w:rPr>
            <w:rStyle w:val="Hyperlink"/>
            <w:szCs w:val="20"/>
          </w:rPr>
          <w:t>@acma.gov.au</w:t>
        </w:r>
      </w:hyperlink>
      <w:r w:rsidRPr="0089797C">
        <w:rPr>
          <w:szCs w:val="20"/>
        </w:rPr>
        <w:t>.</w:t>
      </w:r>
    </w:p>
    <w:p w14:paraId="779BED1B" w14:textId="77777777" w:rsidR="004D0B7F" w:rsidRDefault="004D0B7F" w:rsidP="004D0B7F">
      <w:pPr>
        <w:pStyle w:val="BodySubHeader"/>
      </w:pPr>
      <w:bookmarkStart w:id="55" w:name="_Toc348105639"/>
      <w:bookmarkStart w:id="56" w:name="_Toc300909558"/>
      <w:bookmarkEnd w:id="50"/>
      <w:bookmarkEnd w:id="51"/>
      <w:r>
        <w:t>Publication of submissions</w:t>
      </w:r>
      <w:bookmarkEnd w:id="52"/>
      <w:bookmarkEnd w:id="53"/>
      <w:bookmarkEnd w:id="55"/>
      <w:bookmarkEnd w:id="56"/>
    </w:p>
    <w:p w14:paraId="33E42550" w14:textId="77777777" w:rsidR="004D0B7F" w:rsidRDefault="004D0B7F" w:rsidP="004D0B7F">
      <w:bookmarkStart w:id="57" w:name="_Toc348105640"/>
      <w:bookmarkStart w:id="58" w:name="_Toc300909559"/>
      <w:bookmarkStart w:id="59" w:name="_Toc265246234"/>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52783552" w14:textId="77777777" w:rsidR="004D0B7F" w:rsidRDefault="004D0B7F" w:rsidP="004D0B7F">
      <w:r>
        <w:t>Confidential information will not be published or otherwise released unless required or authorised by law.</w:t>
      </w:r>
    </w:p>
    <w:p w14:paraId="68A25AA9" w14:textId="77777777" w:rsidR="004D0B7F" w:rsidRDefault="004D0B7F" w:rsidP="004D0B7F">
      <w:pPr>
        <w:pStyle w:val="BodySubHeader"/>
      </w:pPr>
      <w:r>
        <w:t>Privacy</w:t>
      </w:r>
    </w:p>
    <w:p w14:paraId="377CF75C" w14:textId="77777777" w:rsidR="004D0B7F" w:rsidRDefault="004C4932" w:rsidP="004D0B7F">
      <w:pPr>
        <w:spacing w:after="0"/>
      </w:pPr>
      <w:hyperlink r:id="rId34" w:history="1">
        <w:r w:rsidR="004D0B7F">
          <w:rPr>
            <w:rStyle w:val="Hyperlink"/>
            <w:i/>
          </w:rPr>
          <w:t>Privacy and consultation</w:t>
        </w:r>
      </w:hyperlink>
      <w:r w:rsidR="004D0B7F">
        <w:t xml:space="preserve"> </w:t>
      </w:r>
      <w:proofErr w:type="gramStart"/>
      <w:r w:rsidR="004D0B7F">
        <w:t>provides</w:t>
      </w:r>
      <w:proofErr w:type="gramEnd"/>
      <w:r w:rsidR="004D0B7F">
        <w:t xml:space="preserve"> information about the ACMA’s collection of personal information during consultation and how we handle that information.  </w:t>
      </w:r>
    </w:p>
    <w:p w14:paraId="502A68D3" w14:textId="77777777" w:rsidR="004D0B7F" w:rsidRDefault="004D0B7F" w:rsidP="004D0B7F">
      <w:pPr>
        <w:spacing w:after="0"/>
      </w:pPr>
    </w:p>
    <w:bookmarkEnd w:id="57"/>
    <w:bookmarkEnd w:id="58"/>
    <w:bookmarkEnd w:id="59"/>
    <w:p w14:paraId="06044FC8" w14:textId="77777777" w:rsidR="004D0B7F" w:rsidRPr="0041233F" w:rsidRDefault="004D0B7F" w:rsidP="004D0B7F">
      <w:r>
        <w:t xml:space="preserve">Information on the </w:t>
      </w:r>
      <w:r>
        <w:rPr>
          <w:i/>
        </w:rPr>
        <w:t xml:space="preserve">Privacy Act 1988 </w:t>
      </w:r>
      <w:r>
        <w:t xml:space="preserve">and the ACMA’s privacy policy (including how to access or correct personal information, how to make a privacy complaint and how we will deal with the complaint) is available at </w:t>
      </w:r>
      <w:hyperlink r:id="rId35" w:tooltip="ACMA Privacy Policy" w:history="1">
        <w:r>
          <w:rPr>
            <w:rStyle w:val="Hyperlink"/>
          </w:rPr>
          <w:t>acma.gov.au/</w:t>
        </w:r>
        <w:proofErr w:type="spellStart"/>
        <w:r>
          <w:rPr>
            <w:rStyle w:val="Hyperlink"/>
          </w:rPr>
          <w:t>privacypolicy</w:t>
        </w:r>
        <w:proofErr w:type="spellEnd"/>
      </w:hyperlink>
      <w:r>
        <w:t xml:space="preserve">. </w:t>
      </w:r>
    </w:p>
    <w:p w14:paraId="593E8CEF" w14:textId="77777777" w:rsidR="004D0B7F" w:rsidRPr="00C2312F" w:rsidRDefault="004D0B7F" w:rsidP="000D7782">
      <w:pPr>
        <w:spacing w:before="120" w:after="120" w:line="240" w:lineRule="auto"/>
        <w:rPr>
          <w:rFonts w:cs="Arial"/>
        </w:rPr>
      </w:pPr>
    </w:p>
    <w:sectPr w:rsidR="004D0B7F" w:rsidRPr="00C2312F" w:rsidSect="00184BF7">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78447" w14:textId="77777777" w:rsidR="004A7C81" w:rsidRDefault="004A7C81">
      <w:r>
        <w:separator/>
      </w:r>
    </w:p>
  </w:endnote>
  <w:endnote w:type="continuationSeparator" w:id="0">
    <w:p w14:paraId="433AD5CD" w14:textId="77777777" w:rsidR="004A7C81" w:rsidRDefault="004A7C81">
      <w:r>
        <w:continuationSeparator/>
      </w:r>
    </w:p>
  </w:endnote>
  <w:endnote w:type="continuationNotice" w:id="1">
    <w:p w14:paraId="17107E75" w14:textId="77777777" w:rsidR="004A7C81" w:rsidRDefault="004A7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CC23" w14:textId="77777777" w:rsidR="004A7C81" w:rsidRPr="00A5474E" w:rsidRDefault="004A7C81" w:rsidP="00A5474E">
    <w:pPr>
      <w:pStyle w:val="Footer"/>
    </w:pPr>
    <w:r>
      <w:rPr>
        <w:noProof/>
      </w:rPr>
      <w:drawing>
        <wp:inline distT="0" distB="0" distL="0" distR="0" wp14:anchorId="45E4FFC4" wp14:editId="7D34DE49">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6F29" w14:textId="77777777" w:rsidR="004A7C81" w:rsidRDefault="004A7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9573" w14:textId="77777777" w:rsidR="004A7C81" w:rsidRDefault="004A7C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A5F7" w14:textId="77777777" w:rsidR="004A7C81" w:rsidRPr="00622A3B" w:rsidRDefault="004A7C81"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45AF4A1" w14:textId="77777777" w:rsidR="004A7C81" w:rsidRPr="00A5474E" w:rsidRDefault="004A7C8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87EA" w14:textId="77777777" w:rsidR="004A7C81" w:rsidRPr="00622A3B" w:rsidRDefault="004A7C81"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163C538" w14:textId="77777777" w:rsidR="004A7C81" w:rsidRPr="00A5474E" w:rsidRDefault="004A7C8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5636" w14:textId="77777777" w:rsidR="004A7C81" w:rsidRPr="00622A3B" w:rsidRDefault="004A7C8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06963D3F" w14:textId="77777777" w:rsidR="004A7C81" w:rsidRPr="00A5474E" w:rsidRDefault="004A7C8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4A6D" w14:textId="77777777" w:rsidR="00184BF7" w:rsidRPr="00622A3B" w:rsidRDefault="00184BF7" w:rsidP="00184BF7">
    <w:pPr>
      <w:pStyle w:val="FooterLeft"/>
      <w:framePr w:wrap="around"/>
    </w:pPr>
    <w:r w:rsidRPr="00575AC5">
      <w:fldChar w:fldCharType="begin"/>
    </w:r>
    <w:r w:rsidRPr="00575AC5">
      <w:instrText xml:space="preserve"> PAGE  \* Arabic  \* MERGEFORMAT </w:instrText>
    </w:r>
    <w:r w:rsidRPr="00575AC5">
      <w:fldChar w:fldCharType="separate"/>
    </w:r>
    <w:r>
      <w:t>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2C03703" w14:textId="77777777" w:rsidR="004A7C81" w:rsidRPr="00A5474E" w:rsidRDefault="004A7C8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AE65" w14:textId="77777777" w:rsidR="00184BF7" w:rsidRPr="00622A3B" w:rsidRDefault="00184BF7" w:rsidP="00184BF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2ECB0053" w14:textId="77777777" w:rsidR="004A7C81" w:rsidRPr="00A5474E" w:rsidRDefault="004A7C8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519DA" w14:textId="77777777" w:rsidR="004A7C81" w:rsidRDefault="004A7C81">
      <w:r>
        <w:separator/>
      </w:r>
    </w:p>
  </w:footnote>
  <w:footnote w:type="continuationSeparator" w:id="0">
    <w:p w14:paraId="2CC82E6B" w14:textId="77777777" w:rsidR="004A7C81" w:rsidRDefault="004A7C81">
      <w:r>
        <w:continuationSeparator/>
      </w:r>
    </w:p>
  </w:footnote>
  <w:footnote w:type="continuationNotice" w:id="1">
    <w:p w14:paraId="0165E60A" w14:textId="77777777" w:rsidR="004A7C81" w:rsidRDefault="004A7C81">
      <w:pPr>
        <w:spacing w:after="0" w:line="240" w:lineRule="auto"/>
      </w:pPr>
    </w:p>
  </w:footnote>
  <w:footnote w:id="2">
    <w:p w14:paraId="0C2C2606" w14:textId="77777777" w:rsidR="004A7C81" w:rsidRPr="00BC7A52" w:rsidRDefault="004A7C81" w:rsidP="00862DE9">
      <w:pPr>
        <w:pStyle w:val="FootnoteText"/>
        <w:spacing w:after="0" w:line="240" w:lineRule="auto"/>
        <w:rPr>
          <w:lang w:val="en-US"/>
        </w:rPr>
      </w:pPr>
      <w:r>
        <w:rPr>
          <w:rStyle w:val="FootnoteReference"/>
        </w:rPr>
        <w:footnoteRef/>
      </w:r>
      <w:r>
        <w:t xml:space="preserve"> A m</w:t>
      </w:r>
      <w:r>
        <w:rPr>
          <w:lang w:val="en-US"/>
        </w:rPr>
        <w:t>ore complete reference to ‘sharing’ should be ‘sharing and compatibility’ to be consistent with established international (i.e. ITU) terminology. In that framework, ‘sharing’ refers to in-band coexistence while ‘compatibility’ refers to adjacent band coexistence. However, for readability, the term ‘sharing’ will be used in this document but should be read as referring to both in band and adjacent band considerations.</w:t>
      </w:r>
    </w:p>
  </w:footnote>
  <w:footnote w:id="3">
    <w:p w14:paraId="4F6C0EDC" w14:textId="7FB96811" w:rsidR="004A7C81" w:rsidRDefault="004A7C81">
      <w:pPr>
        <w:pStyle w:val="FootnoteText"/>
      </w:pPr>
      <w:r>
        <w:rPr>
          <w:rStyle w:val="FootnoteReference"/>
        </w:rPr>
        <w:footnoteRef/>
      </w:r>
      <w:r>
        <w:t xml:space="preserve"> See </w:t>
      </w:r>
      <w:hyperlink r:id="rId1" w:history="1">
        <w:r>
          <w:rPr>
            <w:rStyle w:val="Hyperlink"/>
          </w:rPr>
          <w:t>ACMA website</w:t>
        </w:r>
      </w:hyperlink>
      <w:r>
        <w:rPr>
          <w:rStyle w:val="Hyperlink"/>
        </w:rPr>
        <w:t>.</w:t>
      </w:r>
    </w:p>
  </w:footnote>
  <w:footnote w:id="4">
    <w:p w14:paraId="12EC757D" w14:textId="77777777" w:rsidR="004A7C81" w:rsidRDefault="004A7C81" w:rsidP="00DB3521">
      <w:pPr>
        <w:pStyle w:val="FootnoteText"/>
      </w:pPr>
      <w:r>
        <w:rPr>
          <w:rStyle w:val="FootnoteReference"/>
        </w:rPr>
        <w:footnoteRef/>
      </w:r>
      <w:r>
        <w:t xml:space="preserve"> Dynamic Spectrum Access has been referred to in other publications as Dynamic Spectrum Licensing Model and Dynamic Spectrum Licensing Management.</w:t>
      </w:r>
    </w:p>
  </w:footnote>
  <w:footnote w:id="5">
    <w:p w14:paraId="1EA5564E" w14:textId="156A915C" w:rsidR="004A7C81" w:rsidRDefault="004A7C81">
      <w:pPr>
        <w:pStyle w:val="FootnoteText"/>
      </w:pPr>
      <w:r>
        <w:rPr>
          <w:rStyle w:val="FootnoteReference"/>
        </w:rPr>
        <w:footnoteRef/>
      </w:r>
      <w:r>
        <w:t xml:space="preserve"> </w:t>
      </w:r>
      <w:r w:rsidRPr="005E1951">
        <w:rPr>
          <w:rFonts w:cs="Arial"/>
        </w:rPr>
        <w:t>ITU-R SM.1132-2</w:t>
      </w:r>
      <w:r>
        <w:rPr>
          <w:rFonts w:cs="Arial"/>
        </w:rPr>
        <w:t xml:space="preserve">: </w:t>
      </w:r>
      <w:r w:rsidRPr="007D7039">
        <w:rPr>
          <w:rFonts w:cs="Arial"/>
        </w:rPr>
        <w:t>General principles and methods for sharing between radiocommunication services or between radio stations</w:t>
      </w:r>
      <w:r>
        <w:rPr>
          <w:rFonts w:cs="Arial"/>
        </w:rPr>
        <w:t>.</w:t>
      </w:r>
    </w:p>
  </w:footnote>
  <w:footnote w:id="6">
    <w:p w14:paraId="50E37287" w14:textId="02CC8901" w:rsidR="004A7C81" w:rsidRDefault="004A7C81" w:rsidP="00B32BE6">
      <w:pPr>
        <w:pStyle w:val="FootnoteText"/>
      </w:pPr>
      <w:r>
        <w:rPr>
          <w:rStyle w:val="FootnoteReference"/>
        </w:rPr>
        <w:footnoteRef/>
      </w:r>
      <w:r>
        <w:t xml:space="preserve"> Note that </w:t>
      </w:r>
      <w:r>
        <w:rPr>
          <w:rFonts w:cs="Arial"/>
        </w:rPr>
        <w:t>from a theoretical perspective, a scenario of completely ‘no interference’  is often impossible to achieve.</w:t>
      </w:r>
    </w:p>
  </w:footnote>
  <w:footnote w:id="7">
    <w:p w14:paraId="2BB07CF9" w14:textId="53096842" w:rsidR="004A7C81" w:rsidRDefault="004A7C81" w:rsidP="006B2138">
      <w:pPr>
        <w:pStyle w:val="FootnoteText"/>
      </w:pPr>
      <w:r>
        <w:rPr>
          <w:rStyle w:val="FootnoteReference"/>
        </w:rPr>
        <w:footnoteRef/>
      </w:r>
      <w:r>
        <w:t xml:space="preserve"> </w:t>
      </w:r>
      <w:r w:rsidRPr="00FE61CE">
        <w:rPr>
          <w:i/>
          <w:iCs/>
        </w:rPr>
        <w:t>ECC Report 205 Licensed Shared Access (LSA</w:t>
      </w:r>
      <w:r w:rsidR="0037281C" w:rsidRPr="00FE61CE">
        <w:rPr>
          <w:i/>
          <w:iCs/>
        </w:rPr>
        <w:t>),</w:t>
      </w:r>
      <w:r w:rsidR="0037281C">
        <w:t xml:space="preserve"> February</w:t>
      </w:r>
      <w:r>
        <w:t xml:space="preserve"> 2014.</w:t>
      </w:r>
    </w:p>
  </w:footnote>
  <w:footnote w:id="8">
    <w:p w14:paraId="2CB72656" w14:textId="4B64CBB2" w:rsidR="004A7C81" w:rsidRPr="00324FD3" w:rsidRDefault="004A7C81" w:rsidP="006B2138">
      <w:pPr>
        <w:pStyle w:val="FootnoteText"/>
        <w:spacing w:after="0"/>
        <w:rPr>
          <w:rFonts w:cs="Arial"/>
          <w:iCs/>
          <w:szCs w:val="20"/>
          <w:lang w:val="en-US"/>
        </w:rPr>
      </w:pPr>
      <w:r w:rsidRPr="00324FD3">
        <w:rPr>
          <w:rStyle w:val="FootnoteReference"/>
        </w:rPr>
        <w:footnoteRef/>
      </w:r>
      <w:r w:rsidRPr="00324FD3">
        <w:t xml:space="preserve"> </w:t>
      </w:r>
      <w:r w:rsidRPr="00324FD3">
        <w:rPr>
          <w:rFonts w:cs="Arial"/>
          <w:iCs/>
          <w:szCs w:val="20"/>
          <w:lang w:val="en-US"/>
        </w:rPr>
        <w:t>ETSI TS 103 154</w:t>
      </w:r>
      <w:r>
        <w:rPr>
          <w:rFonts w:cs="Arial"/>
          <w:iCs/>
          <w:szCs w:val="20"/>
          <w:lang w:val="en-US"/>
        </w:rPr>
        <w:t>—</w:t>
      </w:r>
      <w:r w:rsidRPr="00324FD3">
        <w:rPr>
          <w:rFonts w:cs="Arial"/>
          <w:iCs/>
          <w:szCs w:val="20"/>
          <w:lang w:val="en-US"/>
        </w:rPr>
        <w:t>Reconfigurable Radio Systems (RRS); System requirements for operation of Mobile Broadband Systems in the 2300</w:t>
      </w:r>
      <w:r>
        <w:rPr>
          <w:rFonts w:cs="Arial"/>
          <w:iCs/>
          <w:szCs w:val="20"/>
          <w:lang w:val="en-US"/>
        </w:rPr>
        <w:t>–</w:t>
      </w:r>
      <w:r w:rsidRPr="00324FD3">
        <w:rPr>
          <w:rFonts w:cs="Arial"/>
          <w:iCs/>
          <w:szCs w:val="20"/>
          <w:lang w:val="en-US"/>
        </w:rPr>
        <w:t>2400 MHz band under Licensed Shared Access (LSA)</w:t>
      </w:r>
      <w:r>
        <w:rPr>
          <w:rFonts w:cs="Arial"/>
          <w:iCs/>
          <w:szCs w:val="20"/>
          <w:lang w:val="en-US"/>
        </w:rPr>
        <w:t>.</w:t>
      </w:r>
    </w:p>
    <w:p w14:paraId="09468ED5" w14:textId="447CC2AA" w:rsidR="004A7C81" w:rsidRPr="00324FD3" w:rsidRDefault="004A7C81" w:rsidP="006B2138">
      <w:pPr>
        <w:pStyle w:val="FootnoteText"/>
        <w:spacing w:after="0"/>
        <w:rPr>
          <w:rFonts w:cs="Arial"/>
          <w:iCs/>
          <w:szCs w:val="20"/>
          <w:lang w:val="en-US"/>
        </w:rPr>
      </w:pPr>
      <w:r w:rsidRPr="00324FD3">
        <w:rPr>
          <w:rFonts w:cs="Arial"/>
          <w:iCs/>
          <w:szCs w:val="20"/>
          <w:lang w:val="en-US"/>
        </w:rPr>
        <w:t>ETSI TS 103 235</w:t>
      </w:r>
      <w:r>
        <w:rPr>
          <w:rFonts w:cs="Arial"/>
          <w:iCs/>
          <w:szCs w:val="20"/>
          <w:lang w:val="en-US"/>
        </w:rPr>
        <w:t>—</w:t>
      </w:r>
      <w:r w:rsidRPr="00324FD3">
        <w:rPr>
          <w:rFonts w:cs="Arial"/>
          <w:iCs/>
          <w:szCs w:val="20"/>
          <w:lang w:val="en-US"/>
        </w:rPr>
        <w:t>Reconfigurable Radio Systems (RRS); System architecture and high-level procedures for operation of Licensed Shared Access (LSA) in the 2300</w:t>
      </w:r>
      <w:r>
        <w:rPr>
          <w:rFonts w:cs="Arial"/>
          <w:iCs/>
          <w:szCs w:val="20"/>
          <w:lang w:val="en-US"/>
        </w:rPr>
        <w:t>–</w:t>
      </w:r>
      <w:r w:rsidRPr="00324FD3">
        <w:rPr>
          <w:rFonts w:cs="Arial"/>
          <w:iCs/>
          <w:szCs w:val="20"/>
          <w:lang w:val="en-US"/>
        </w:rPr>
        <w:t>2400 MHz band</w:t>
      </w:r>
      <w:r>
        <w:rPr>
          <w:rFonts w:cs="Arial"/>
          <w:iCs/>
          <w:szCs w:val="20"/>
          <w:lang w:val="en-US"/>
        </w:rPr>
        <w:t>.</w:t>
      </w:r>
    </w:p>
    <w:p w14:paraId="72E22FD5" w14:textId="420F6219" w:rsidR="004A7C81" w:rsidRPr="00324FD3" w:rsidRDefault="004A7C81" w:rsidP="006B2138">
      <w:pPr>
        <w:pStyle w:val="FootnoteText"/>
        <w:spacing w:after="0"/>
        <w:rPr>
          <w:rFonts w:cs="Arial"/>
          <w:iCs/>
          <w:szCs w:val="20"/>
          <w:lang w:val="en-US"/>
        </w:rPr>
      </w:pPr>
      <w:r w:rsidRPr="00324FD3">
        <w:rPr>
          <w:rFonts w:cs="Arial"/>
          <w:iCs/>
          <w:szCs w:val="20"/>
          <w:lang w:val="en-US"/>
        </w:rPr>
        <w:t>ETSI TS 103 379</w:t>
      </w:r>
      <w:r>
        <w:rPr>
          <w:rFonts w:cs="Arial"/>
          <w:iCs/>
          <w:szCs w:val="20"/>
          <w:lang w:val="en-US"/>
        </w:rPr>
        <w:t>—</w:t>
      </w:r>
      <w:r w:rsidRPr="00324FD3">
        <w:rPr>
          <w:rFonts w:cs="Arial"/>
          <w:iCs/>
          <w:szCs w:val="20"/>
          <w:lang w:val="en-US"/>
        </w:rPr>
        <w:t>Reconfigurable Radio Systems (RRS); Information elements and protocols for the interface between LSA Controller (LC) and LSA Repository (LR)for operation of Licensed Shared Access (LSA)in the 2300</w:t>
      </w:r>
      <w:r>
        <w:rPr>
          <w:rFonts w:cs="Arial"/>
          <w:iCs/>
          <w:szCs w:val="20"/>
          <w:lang w:val="en-US"/>
        </w:rPr>
        <w:t>–</w:t>
      </w:r>
      <w:r w:rsidRPr="00324FD3">
        <w:rPr>
          <w:rFonts w:cs="Arial"/>
          <w:iCs/>
          <w:szCs w:val="20"/>
          <w:lang w:val="en-US"/>
        </w:rPr>
        <w:t>2400 MHz band</w:t>
      </w:r>
      <w:r>
        <w:rPr>
          <w:rFonts w:cs="Arial"/>
          <w:iCs/>
          <w:szCs w:val="20"/>
          <w:lang w:val="en-US"/>
        </w:rPr>
        <w:t>.</w:t>
      </w:r>
    </w:p>
    <w:p w14:paraId="6A51EFE5" w14:textId="63332B6D" w:rsidR="004A7C81" w:rsidRPr="00DC3519" w:rsidRDefault="004A7C81" w:rsidP="006B2138">
      <w:pPr>
        <w:pStyle w:val="FootnoteText"/>
        <w:spacing w:after="0"/>
        <w:rPr>
          <w:rFonts w:cs="Arial"/>
          <w:b/>
          <w:szCs w:val="20"/>
          <w:lang w:val="en-US"/>
        </w:rPr>
      </w:pPr>
      <w:r w:rsidRPr="00324FD3">
        <w:rPr>
          <w:rFonts w:cs="Arial"/>
          <w:iCs/>
          <w:szCs w:val="20"/>
          <w:lang w:val="en-US"/>
        </w:rPr>
        <w:t xml:space="preserve">3GPP </w:t>
      </w:r>
      <w:r w:rsidRPr="00324FD3">
        <w:rPr>
          <w:rFonts w:cs="Arial"/>
          <w:szCs w:val="20"/>
        </w:rPr>
        <w:t>TS 28.302</w:t>
      </w:r>
      <w:r>
        <w:rPr>
          <w:rFonts w:cs="Arial"/>
          <w:iCs/>
          <w:szCs w:val="20"/>
          <w:lang w:val="en-US"/>
        </w:rPr>
        <w:t>—</w:t>
      </w:r>
      <w:r w:rsidRPr="00324FD3">
        <w:rPr>
          <w:rFonts w:cs="Arial"/>
          <w:szCs w:val="20"/>
        </w:rPr>
        <w:t>LTE; Telecommunication management; Licensed Shared Access (LSA) Controller (LC) Integration Reference Point (IRP); Information Service (IS)</w:t>
      </w:r>
      <w:r>
        <w:rPr>
          <w:rFonts w:cs="Arial"/>
          <w:szCs w:val="20"/>
        </w:rPr>
        <w:t>.</w:t>
      </w:r>
    </w:p>
  </w:footnote>
  <w:footnote w:id="9">
    <w:p w14:paraId="24496AAA" w14:textId="181F86E5" w:rsidR="004A7C81" w:rsidRDefault="004A7C81">
      <w:pPr>
        <w:pStyle w:val="FootnoteText"/>
      </w:pPr>
      <w:r>
        <w:rPr>
          <w:rStyle w:val="FootnoteReference"/>
        </w:rPr>
        <w:footnoteRef/>
      </w:r>
      <w:r>
        <w:t xml:space="preserve"> Diagram published in: Electronic Communications Committee, </w:t>
      </w:r>
      <w:hyperlink r:id="rId2" w:history="1">
        <w:r w:rsidRPr="0037281C">
          <w:rPr>
            <w:rStyle w:val="Hyperlink"/>
            <w:i/>
            <w:iCs/>
          </w:rPr>
          <w:t>ECC Report 205</w:t>
        </w:r>
      </w:hyperlink>
      <w:r>
        <w:t>, February 2014, p. 19.</w:t>
      </w:r>
    </w:p>
  </w:footnote>
  <w:footnote w:id="10">
    <w:p w14:paraId="646D0539" w14:textId="0E70DE8E" w:rsidR="004A7C81" w:rsidRDefault="004A7C81" w:rsidP="006B2138">
      <w:pPr>
        <w:pStyle w:val="FootnoteText"/>
      </w:pPr>
      <w:r>
        <w:rPr>
          <w:rStyle w:val="FootnoteReference"/>
        </w:rPr>
        <w:footnoteRef/>
      </w:r>
      <w:r w:rsidRPr="00BB5F54">
        <w:t xml:space="preserve"> APT/AWG/REP-6</w:t>
      </w:r>
      <w:r>
        <w:t>8</w:t>
      </w:r>
      <w:r w:rsidRPr="00BB5F54">
        <w:t xml:space="preserve"> (September 2016)</w:t>
      </w:r>
      <w:r w:rsidR="0037281C">
        <w:t>,</w:t>
      </w:r>
      <w:hyperlink w:history="1"/>
      <w:r w:rsidRPr="00325A99">
        <w:t xml:space="preserve"> </w:t>
      </w:r>
      <w:r w:rsidRPr="00325A99">
        <w:rPr>
          <w:rStyle w:val="Hyperlink"/>
        </w:rPr>
        <w:t>https://www.apt.int/AWG-RECS-REPS</w:t>
      </w:r>
      <w:r>
        <w:rPr>
          <w:rStyle w:val="Hyperlink"/>
        </w:rPr>
        <w:t>.</w:t>
      </w:r>
      <w:r w:rsidRPr="00BB5F54">
        <w:t xml:space="preserve"> </w:t>
      </w:r>
    </w:p>
  </w:footnote>
  <w:footnote w:id="11">
    <w:p w14:paraId="4A5C87AC" w14:textId="416AD93A" w:rsidR="004A7C81" w:rsidRDefault="004A7C81">
      <w:pPr>
        <w:pStyle w:val="FootnoteText"/>
      </w:pPr>
      <w:r>
        <w:rPr>
          <w:rStyle w:val="FootnoteReference"/>
        </w:rPr>
        <w:footnoteRef/>
      </w:r>
      <w:r>
        <w:t xml:space="preserve"> IMT stands for International Mobile Telecommunications and is an ITU term for mobile wireless broadband technologies.</w:t>
      </w:r>
    </w:p>
  </w:footnote>
  <w:footnote w:id="12">
    <w:p w14:paraId="2D2AA594" w14:textId="4E13D5A6" w:rsidR="004A7C81" w:rsidRDefault="004A7C81" w:rsidP="00DE28E5">
      <w:pPr>
        <w:pStyle w:val="FootnoteText"/>
      </w:pPr>
      <w:r>
        <w:rPr>
          <w:rStyle w:val="FootnoteReference"/>
        </w:rPr>
        <w:footnoteRef/>
      </w:r>
      <w:r>
        <w:t xml:space="preserve"> Document FM52(15)05 </w:t>
      </w:r>
      <w:r>
        <w:rPr>
          <w:i/>
          <w:iCs/>
        </w:rPr>
        <w:t xml:space="preserve">Update of Spanish PMSE usage pattern in the 2.3-2.4GHz band, </w:t>
      </w:r>
      <w:r>
        <w:t>from the January 2015 meeting in Bonn,</w:t>
      </w:r>
      <w:r>
        <w:rPr>
          <w:i/>
          <w:iCs/>
        </w:rPr>
        <w:t xml:space="preserve"> </w:t>
      </w:r>
      <w:r>
        <w:t xml:space="preserve">can be found </w:t>
      </w:r>
      <w:hyperlink r:id="rId3" w:history="1">
        <w:r w:rsidRPr="00F35508">
          <w:rPr>
            <w:rStyle w:val="Hyperlink"/>
          </w:rPr>
          <w:t>here</w:t>
        </w:r>
      </w:hyperlink>
      <w:r>
        <w:t xml:space="preserve">. </w:t>
      </w:r>
    </w:p>
  </w:footnote>
  <w:footnote w:id="13">
    <w:p w14:paraId="581EE6B2" w14:textId="1AC4D42E" w:rsidR="004A7C81" w:rsidRDefault="004A7C81" w:rsidP="00DE28E5">
      <w:pPr>
        <w:pStyle w:val="FootnoteText"/>
      </w:pPr>
      <w:r>
        <w:rPr>
          <w:rStyle w:val="FootnoteReference"/>
        </w:rPr>
        <w:footnoteRef/>
      </w:r>
      <w:r>
        <w:t xml:space="preserve"> Ministry of Economic Development (Italy: Results from this study and supporting documentation can be found </w:t>
      </w:r>
      <w:hyperlink r:id="rId4" w:history="1">
        <w:r w:rsidRPr="00F35508">
          <w:rPr>
            <w:rStyle w:val="Hyperlink"/>
          </w:rPr>
          <w:t>here</w:t>
        </w:r>
      </w:hyperlink>
      <w:r>
        <w:t xml:space="preserve">. </w:t>
      </w:r>
    </w:p>
  </w:footnote>
  <w:footnote w:id="14">
    <w:p w14:paraId="348522E4" w14:textId="3D15E657" w:rsidR="004A7C81" w:rsidRDefault="004A7C81" w:rsidP="00DE28E5">
      <w:pPr>
        <w:pStyle w:val="FootnoteText"/>
      </w:pPr>
      <w:r>
        <w:rPr>
          <w:rStyle w:val="FootnoteReference"/>
        </w:rPr>
        <w:footnoteRef/>
      </w:r>
      <w:r>
        <w:t xml:space="preserve"> OFCOM consultation work on shared access to spectrum, </w:t>
      </w:r>
      <w:r w:rsidRPr="009E5FB6">
        <w:t>https://www.ofcom.org.uk/consultations-and-statements/category-2/spectrum-sharing-framework</w:t>
      </w:r>
      <w:r>
        <w:t>.</w:t>
      </w:r>
    </w:p>
  </w:footnote>
  <w:footnote w:id="15">
    <w:p w14:paraId="1F395BAE" w14:textId="19052FD0" w:rsidR="004A7C81" w:rsidRDefault="004A7C81" w:rsidP="00FE61CE">
      <w:pPr>
        <w:pStyle w:val="FootnoteText"/>
        <w:keepLines/>
        <w:ind w:left="284" w:hanging="284"/>
      </w:pPr>
      <w:r>
        <w:rPr>
          <w:rStyle w:val="FootnoteReference"/>
        </w:rPr>
        <w:footnoteRef/>
      </w:r>
      <w:r>
        <w:t xml:space="preserve"> </w:t>
      </w:r>
      <w:r w:rsidRPr="006A2334">
        <w:t xml:space="preserve">See NTIA, </w:t>
      </w:r>
      <w:r w:rsidRPr="00FE61CE">
        <w:rPr>
          <w:i/>
          <w:iCs/>
        </w:rPr>
        <w:t>An Assessment of the Near-Term Viability of Accommodating Wireless Broadband Systems in the 1675–1710 MHz, 1755–1780 MHz, 3500–3650 MHz, 4200–4220 MHz, and 4380–4400 MHz Bands</w:t>
      </w:r>
      <w:r w:rsidRPr="006A2334">
        <w:t xml:space="preserve"> </w:t>
      </w:r>
      <w:r>
        <w:t>(</w:t>
      </w:r>
      <w:r w:rsidRPr="006A2334">
        <w:t>Oct. 2010)</w:t>
      </w:r>
      <w:r>
        <w:t>, h</w:t>
      </w:r>
      <w:r w:rsidRPr="006A2334">
        <w:t>ttp://www.ntia.doc.gov/files/ntia/publications/fasttrackevaluation_11152010.pdf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67E9" w14:textId="77777777" w:rsidR="004A7C81" w:rsidRPr="00A5474E" w:rsidRDefault="004A7C81" w:rsidP="00A5474E">
    <w:pPr>
      <w:pStyle w:val="Header"/>
    </w:pPr>
    <w:r>
      <w:rPr>
        <w:noProof/>
      </w:rPr>
      <w:drawing>
        <wp:inline distT="0" distB="0" distL="0" distR="0" wp14:anchorId="28C9B836" wp14:editId="5DACB693">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A20B" w14:textId="77777777" w:rsidR="004A7C81" w:rsidRPr="00A5474E" w:rsidRDefault="004A7C8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3915" w14:textId="77777777" w:rsidR="004A7C81" w:rsidRDefault="004A7C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524AF" w14:textId="77777777" w:rsidR="004A7C81" w:rsidRDefault="004A7C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4A7C81" w14:paraId="064193C3" w14:textId="77777777" w:rsidTr="00896919">
      <w:trPr>
        <w:trHeight w:hRule="exact" w:val="988"/>
      </w:trPr>
      <w:tc>
        <w:tcPr>
          <w:tcW w:w="7678" w:type="dxa"/>
          <w:shd w:val="clear" w:color="auto" w:fill="auto"/>
        </w:tcPr>
        <w:p w14:paraId="26F453DA" w14:textId="77777777" w:rsidR="004A7C81" w:rsidRDefault="004A7C81" w:rsidP="00971914">
          <w:pPr>
            <w:pStyle w:val="Header"/>
          </w:pPr>
        </w:p>
      </w:tc>
    </w:tr>
    <w:tr w:rsidR="004A7C81" w14:paraId="3200405E" w14:textId="77777777" w:rsidTr="00896919">
      <w:tc>
        <w:tcPr>
          <w:tcW w:w="7678" w:type="dxa"/>
          <w:shd w:val="clear" w:color="auto" w:fill="auto"/>
        </w:tcPr>
        <w:p w14:paraId="1CCE50D8" w14:textId="77777777" w:rsidR="004A7C81" w:rsidRDefault="004A7C81" w:rsidP="00971914">
          <w:pPr>
            <w:pStyle w:val="GridTable31"/>
          </w:pPr>
          <w:r>
            <w:t xml:space="preserve">Contents </w:t>
          </w:r>
          <w:r w:rsidRPr="00915B1C">
            <w:rPr>
              <w:b w:val="0"/>
              <w:spacing w:val="0"/>
              <w:sz w:val="28"/>
              <w:szCs w:val="28"/>
            </w:rPr>
            <w:t>(Continued)</w:t>
          </w:r>
        </w:p>
      </w:tc>
    </w:tr>
    <w:tr w:rsidR="004A7C81" w14:paraId="2238CD7E" w14:textId="77777777" w:rsidTr="00896919">
      <w:trPr>
        <w:trHeight w:val="1220"/>
      </w:trPr>
      <w:tc>
        <w:tcPr>
          <w:tcW w:w="7678" w:type="dxa"/>
          <w:shd w:val="clear" w:color="auto" w:fill="auto"/>
        </w:tcPr>
        <w:p w14:paraId="4EB21E14" w14:textId="77777777" w:rsidR="004A7C81" w:rsidRDefault="004A7C81" w:rsidP="00971914"/>
      </w:tc>
    </w:tr>
  </w:tbl>
  <w:p w14:paraId="783027A6" w14:textId="77777777" w:rsidR="004A7C81" w:rsidRDefault="004A7C81"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4A7C81" w14:paraId="57109775" w14:textId="77777777" w:rsidTr="00896919">
      <w:trPr>
        <w:trHeight w:hRule="exact" w:val="988"/>
      </w:trPr>
      <w:tc>
        <w:tcPr>
          <w:tcW w:w="7678" w:type="dxa"/>
          <w:shd w:val="clear" w:color="auto" w:fill="auto"/>
        </w:tcPr>
        <w:p w14:paraId="17133623" w14:textId="77777777" w:rsidR="004A7C81" w:rsidRDefault="004A7C81" w:rsidP="00971914">
          <w:pPr>
            <w:pStyle w:val="Header"/>
          </w:pPr>
        </w:p>
      </w:tc>
    </w:tr>
    <w:tr w:rsidR="004A7C81" w14:paraId="3E870FBE" w14:textId="77777777" w:rsidTr="00896919">
      <w:tc>
        <w:tcPr>
          <w:tcW w:w="7678" w:type="dxa"/>
          <w:shd w:val="clear" w:color="auto" w:fill="auto"/>
        </w:tcPr>
        <w:p w14:paraId="328F4CEE" w14:textId="77777777" w:rsidR="004A7C81" w:rsidRDefault="004A7C81" w:rsidP="00971914">
          <w:pPr>
            <w:pStyle w:val="GridTable31"/>
          </w:pPr>
          <w:r>
            <w:t xml:space="preserve">Contents </w:t>
          </w:r>
          <w:r w:rsidRPr="00915B1C">
            <w:rPr>
              <w:b w:val="0"/>
              <w:spacing w:val="0"/>
              <w:sz w:val="28"/>
              <w:szCs w:val="28"/>
            </w:rPr>
            <w:t>(Continued)</w:t>
          </w:r>
        </w:p>
      </w:tc>
    </w:tr>
    <w:tr w:rsidR="004A7C81" w14:paraId="186F587F" w14:textId="77777777" w:rsidTr="00896919">
      <w:trPr>
        <w:trHeight w:val="1220"/>
      </w:trPr>
      <w:tc>
        <w:tcPr>
          <w:tcW w:w="7678" w:type="dxa"/>
          <w:shd w:val="clear" w:color="auto" w:fill="auto"/>
        </w:tcPr>
        <w:p w14:paraId="5E73B839" w14:textId="77777777" w:rsidR="004A7C81" w:rsidRDefault="004A7C81" w:rsidP="00971914"/>
      </w:tc>
    </w:tr>
  </w:tbl>
  <w:p w14:paraId="02A2C84C" w14:textId="77777777" w:rsidR="004A7C81" w:rsidRPr="00A5474E" w:rsidRDefault="004A7C8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2C7D" w14:textId="77777777" w:rsidR="004A7C81" w:rsidRDefault="004A7C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3C50" w14:textId="77777777" w:rsidR="004A7C81" w:rsidRDefault="004A7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6E3F2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C52462"/>
    <w:multiLevelType w:val="hybridMultilevel"/>
    <w:tmpl w:val="F3C2DC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2F5417B"/>
    <w:multiLevelType w:val="hybridMultilevel"/>
    <w:tmpl w:val="7BF863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DE0425"/>
    <w:multiLevelType w:val="hybridMultilevel"/>
    <w:tmpl w:val="3AC64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93DB1"/>
    <w:multiLevelType w:val="hybridMultilevel"/>
    <w:tmpl w:val="D15687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A760DE"/>
    <w:multiLevelType w:val="hybridMultilevel"/>
    <w:tmpl w:val="12186BC6"/>
    <w:lvl w:ilvl="0" w:tplc="BF8E2552">
      <w:start w:val="1"/>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F952CA7"/>
    <w:multiLevelType w:val="hybridMultilevel"/>
    <w:tmpl w:val="966E654A"/>
    <w:lvl w:ilvl="0" w:tplc="B0F6504E">
      <w:start w:val="5"/>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F1A97"/>
    <w:multiLevelType w:val="hybridMultilevel"/>
    <w:tmpl w:val="B786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95C1B"/>
    <w:multiLevelType w:val="hybridMultilevel"/>
    <w:tmpl w:val="4FF044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90B90"/>
    <w:multiLevelType w:val="multilevel"/>
    <w:tmpl w:val="6F1C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22F22"/>
    <w:multiLevelType w:val="hybridMultilevel"/>
    <w:tmpl w:val="B7223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16040"/>
    <w:multiLevelType w:val="hybridMultilevel"/>
    <w:tmpl w:val="E91C7A8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E3F72"/>
    <w:multiLevelType w:val="hybridMultilevel"/>
    <w:tmpl w:val="5120B01E"/>
    <w:lvl w:ilvl="0" w:tplc="4F7E2DE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E74FE1"/>
    <w:multiLevelType w:val="hybridMultilevel"/>
    <w:tmpl w:val="4FF044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855B14"/>
    <w:multiLevelType w:val="multilevel"/>
    <w:tmpl w:val="9D08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AA6AEC"/>
    <w:multiLevelType w:val="multilevel"/>
    <w:tmpl w:val="3D126D5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gt;"/>
      <w:lvlJc w:val="left"/>
      <w:pPr>
        <w:ind w:left="1080" w:hanging="360"/>
      </w:pPr>
      <w:rPr>
        <w:rFonts w:ascii="Arial" w:hAnsi="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840D21"/>
    <w:multiLevelType w:val="hybridMultilevel"/>
    <w:tmpl w:val="8A123A66"/>
    <w:lvl w:ilvl="0" w:tplc="FE8E3A78">
      <w:start w:val="24"/>
      <w:numFmt w:val="bullet"/>
      <w:lvlText w:val=""/>
      <w:lvlJc w:val="left"/>
      <w:pPr>
        <w:ind w:left="720" w:hanging="360"/>
      </w:pPr>
      <w:rPr>
        <w:rFonts w:ascii="Wingdings" w:eastAsia="Times New Roman" w:hAnsi="Wingding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1"/>
  </w:num>
  <w:num w:numId="6">
    <w:abstractNumId w:val="19"/>
  </w:num>
  <w:num w:numId="7">
    <w:abstractNumId w:val="16"/>
  </w:num>
  <w:num w:numId="8">
    <w:abstractNumId w:val="18"/>
  </w:num>
  <w:num w:numId="9">
    <w:abstractNumId w:val="21"/>
  </w:num>
  <w:num w:numId="10">
    <w:abstractNumId w:val="9"/>
  </w:num>
  <w:num w:numId="11">
    <w:abstractNumId w:val="10"/>
  </w:num>
  <w:num w:numId="12">
    <w:abstractNumId w:val="22"/>
  </w:num>
  <w:num w:numId="13">
    <w:abstractNumId w:val="7"/>
  </w:num>
  <w:num w:numId="14">
    <w:abstractNumId w:val="12"/>
  </w:num>
  <w:num w:numId="15">
    <w:abstractNumId w:val="26"/>
  </w:num>
  <w:num w:numId="16">
    <w:abstractNumId w:val="20"/>
  </w:num>
  <w:num w:numId="17">
    <w:abstractNumId w:val="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6"/>
  </w:num>
  <w:num w:numId="19">
    <w:abstractNumId w:val="17"/>
  </w:num>
  <w:num w:numId="20">
    <w:abstractNumId w:val="13"/>
  </w:num>
  <w:num w:numId="21">
    <w:abstractNumId w:val="3"/>
  </w:num>
  <w:num w:numId="22">
    <w:abstractNumId w:val="23"/>
  </w:num>
  <w:num w:numId="23">
    <w:abstractNumId w:val="14"/>
  </w:num>
  <w:num w:numId="24">
    <w:abstractNumId w:val="8"/>
  </w:num>
  <w:num w:numId="25">
    <w:abstractNumId w:val="24"/>
  </w:num>
  <w:num w:numId="26">
    <w:abstractNumId w:val="4"/>
  </w:num>
  <w:num w:numId="27">
    <w:abstractNumId w:val="15"/>
  </w:num>
  <w:num w:numId="28">
    <w:abstractNumId w:val="25"/>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16385">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B5"/>
    <w:rsid w:val="00001195"/>
    <w:rsid w:val="00001679"/>
    <w:rsid w:val="00001D6B"/>
    <w:rsid w:val="00001FE8"/>
    <w:rsid w:val="00002D65"/>
    <w:rsid w:val="0000456E"/>
    <w:rsid w:val="0000676C"/>
    <w:rsid w:val="00010667"/>
    <w:rsid w:val="00010984"/>
    <w:rsid w:val="00010C0D"/>
    <w:rsid w:val="0001163B"/>
    <w:rsid w:val="000118F2"/>
    <w:rsid w:val="00011BFE"/>
    <w:rsid w:val="000129D5"/>
    <w:rsid w:val="00012ED8"/>
    <w:rsid w:val="000145BF"/>
    <w:rsid w:val="00014AFC"/>
    <w:rsid w:val="0001510D"/>
    <w:rsid w:val="00015928"/>
    <w:rsid w:val="00015AE7"/>
    <w:rsid w:val="00015D92"/>
    <w:rsid w:val="000162E3"/>
    <w:rsid w:val="000169C7"/>
    <w:rsid w:val="00016E21"/>
    <w:rsid w:val="0001719C"/>
    <w:rsid w:val="000177BE"/>
    <w:rsid w:val="00017951"/>
    <w:rsid w:val="000206C1"/>
    <w:rsid w:val="00021EE0"/>
    <w:rsid w:val="0002224E"/>
    <w:rsid w:val="000241B0"/>
    <w:rsid w:val="000245E5"/>
    <w:rsid w:val="00024D6B"/>
    <w:rsid w:val="00026AD3"/>
    <w:rsid w:val="00026F91"/>
    <w:rsid w:val="00027DD9"/>
    <w:rsid w:val="00030CBC"/>
    <w:rsid w:val="000316FA"/>
    <w:rsid w:val="00033040"/>
    <w:rsid w:val="00033467"/>
    <w:rsid w:val="00035C51"/>
    <w:rsid w:val="00035F7C"/>
    <w:rsid w:val="00036A66"/>
    <w:rsid w:val="000409E7"/>
    <w:rsid w:val="0004142E"/>
    <w:rsid w:val="00041E38"/>
    <w:rsid w:val="000434DB"/>
    <w:rsid w:val="00044AC3"/>
    <w:rsid w:val="0004764C"/>
    <w:rsid w:val="000477AE"/>
    <w:rsid w:val="00047F81"/>
    <w:rsid w:val="0005011A"/>
    <w:rsid w:val="0005034D"/>
    <w:rsid w:val="000503B0"/>
    <w:rsid w:val="0005045A"/>
    <w:rsid w:val="00051C1E"/>
    <w:rsid w:val="00052E95"/>
    <w:rsid w:val="000539F9"/>
    <w:rsid w:val="00053F7C"/>
    <w:rsid w:val="00054083"/>
    <w:rsid w:val="000545E9"/>
    <w:rsid w:val="000547A4"/>
    <w:rsid w:val="00054C27"/>
    <w:rsid w:val="00055449"/>
    <w:rsid w:val="00055D32"/>
    <w:rsid w:val="00055EC3"/>
    <w:rsid w:val="0005611B"/>
    <w:rsid w:val="000563CE"/>
    <w:rsid w:val="000571FA"/>
    <w:rsid w:val="00061B9E"/>
    <w:rsid w:val="00063521"/>
    <w:rsid w:val="00063928"/>
    <w:rsid w:val="00063CB6"/>
    <w:rsid w:val="00064056"/>
    <w:rsid w:val="0006451B"/>
    <w:rsid w:val="00064B96"/>
    <w:rsid w:val="00065734"/>
    <w:rsid w:val="000659B6"/>
    <w:rsid w:val="0006686F"/>
    <w:rsid w:val="00067002"/>
    <w:rsid w:val="0006722A"/>
    <w:rsid w:val="00067303"/>
    <w:rsid w:val="0006753A"/>
    <w:rsid w:val="00070890"/>
    <w:rsid w:val="000732CF"/>
    <w:rsid w:val="00074720"/>
    <w:rsid w:val="000749E7"/>
    <w:rsid w:val="00075B96"/>
    <w:rsid w:val="00077365"/>
    <w:rsid w:val="000807F9"/>
    <w:rsid w:val="00080BB3"/>
    <w:rsid w:val="0008196A"/>
    <w:rsid w:val="000819AC"/>
    <w:rsid w:val="00084BCE"/>
    <w:rsid w:val="00085EC5"/>
    <w:rsid w:val="00086D61"/>
    <w:rsid w:val="00087DCC"/>
    <w:rsid w:val="000905B1"/>
    <w:rsid w:val="0009074B"/>
    <w:rsid w:val="000915ED"/>
    <w:rsid w:val="00091E83"/>
    <w:rsid w:val="0009209D"/>
    <w:rsid w:val="00092481"/>
    <w:rsid w:val="000937EE"/>
    <w:rsid w:val="000969BD"/>
    <w:rsid w:val="000969BF"/>
    <w:rsid w:val="000975C9"/>
    <w:rsid w:val="00097E8E"/>
    <w:rsid w:val="000A0C22"/>
    <w:rsid w:val="000A0D93"/>
    <w:rsid w:val="000A0F9E"/>
    <w:rsid w:val="000A1400"/>
    <w:rsid w:val="000A38C9"/>
    <w:rsid w:val="000A3C43"/>
    <w:rsid w:val="000A4812"/>
    <w:rsid w:val="000A497C"/>
    <w:rsid w:val="000A4A51"/>
    <w:rsid w:val="000A4CCE"/>
    <w:rsid w:val="000A4CEC"/>
    <w:rsid w:val="000A59EA"/>
    <w:rsid w:val="000A5D2B"/>
    <w:rsid w:val="000A6406"/>
    <w:rsid w:val="000A663D"/>
    <w:rsid w:val="000B5DE3"/>
    <w:rsid w:val="000C01A7"/>
    <w:rsid w:val="000C0A57"/>
    <w:rsid w:val="000C230C"/>
    <w:rsid w:val="000C3AEA"/>
    <w:rsid w:val="000C4910"/>
    <w:rsid w:val="000C53DD"/>
    <w:rsid w:val="000C5DDC"/>
    <w:rsid w:val="000C641F"/>
    <w:rsid w:val="000C6AB4"/>
    <w:rsid w:val="000C7741"/>
    <w:rsid w:val="000C7EED"/>
    <w:rsid w:val="000D086C"/>
    <w:rsid w:val="000D12E9"/>
    <w:rsid w:val="000D291B"/>
    <w:rsid w:val="000D65A8"/>
    <w:rsid w:val="000D71D9"/>
    <w:rsid w:val="000D76E0"/>
    <w:rsid w:val="000D7782"/>
    <w:rsid w:val="000D7E8B"/>
    <w:rsid w:val="000E0293"/>
    <w:rsid w:val="000E0E48"/>
    <w:rsid w:val="000E2DA3"/>
    <w:rsid w:val="000E4449"/>
    <w:rsid w:val="000E4A62"/>
    <w:rsid w:val="000E5C64"/>
    <w:rsid w:val="000E6097"/>
    <w:rsid w:val="000F174E"/>
    <w:rsid w:val="000F355D"/>
    <w:rsid w:val="000F3AC5"/>
    <w:rsid w:val="000F43F7"/>
    <w:rsid w:val="000F53B5"/>
    <w:rsid w:val="000F6125"/>
    <w:rsid w:val="000F61F7"/>
    <w:rsid w:val="000F6B70"/>
    <w:rsid w:val="000F7692"/>
    <w:rsid w:val="00100745"/>
    <w:rsid w:val="00102A9C"/>
    <w:rsid w:val="00102F13"/>
    <w:rsid w:val="00103829"/>
    <w:rsid w:val="00104AB3"/>
    <w:rsid w:val="00105C72"/>
    <w:rsid w:val="0010658A"/>
    <w:rsid w:val="001065A5"/>
    <w:rsid w:val="00106756"/>
    <w:rsid w:val="00106B68"/>
    <w:rsid w:val="001100D2"/>
    <w:rsid w:val="001117E5"/>
    <w:rsid w:val="00111FCE"/>
    <w:rsid w:val="00112153"/>
    <w:rsid w:val="00113145"/>
    <w:rsid w:val="00116B32"/>
    <w:rsid w:val="00117FA2"/>
    <w:rsid w:val="00120052"/>
    <w:rsid w:val="00121470"/>
    <w:rsid w:val="00121B32"/>
    <w:rsid w:val="001229A5"/>
    <w:rsid w:val="0012472A"/>
    <w:rsid w:val="0012489B"/>
    <w:rsid w:val="00124A29"/>
    <w:rsid w:val="00124E0B"/>
    <w:rsid w:val="00126BE1"/>
    <w:rsid w:val="00130017"/>
    <w:rsid w:val="00130198"/>
    <w:rsid w:val="00130F91"/>
    <w:rsid w:val="00132D19"/>
    <w:rsid w:val="00133010"/>
    <w:rsid w:val="001336E6"/>
    <w:rsid w:val="001349ED"/>
    <w:rsid w:val="00136325"/>
    <w:rsid w:val="0013695F"/>
    <w:rsid w:val="00136F45"/>
    <w:rsid w:val="00137424"/>
    <w:rsid w:val="00140084"/>
    <w:rsid w:val="00140318"/>
    <w:rsid w:val="00141AD9"/>
    <w:rsid w:val="00142CD1"/>
    <w:rsid w:val="0014580C"/>
    <w:rsid w:val="0014602F"/>
    <w:rsid w:val="00146CE6"/>
    <w:rsid w:val="00150113"/>
    <w:rsid w:val="00152903"/>
    <w:rsid w:val="00153FD5"/>
    <w:rsid w:val="00154721"/>
    <w:rsid w:val="0015614F"/>
    <w:rsid w:val="00156BAF"/>
    <w:rsid w:val="001577C2"/>
    <w:rsid w:val="001629DE"/>
    <w:rsid w:val="001633C4"/>
    <w:rsid w:val="0016399A"/>
    <w:rsid w:val="001704D5"/>
    <w:rsid w:val="00171591"/>
    <w:rsid w:val="00171D50"/>
    <w:rsid w:val="00173981"/>
    <w:rsid w:val="00173B77"/>
    <w:rsid w:val="00173C1C"/>
    <w:rsid w:val="001755D3"/>
    <w:rsid w:val="00175EAE"/>
    <w:rsid w:val="001762E1"/>
    <w:rsid w:val="001764FD"/>
    <w:rsid w:val="0017718D"/>
    <w:rsid w:val="0017719D"/>
    <w:rsid w:val="001774C4"/>
    <w:rsid w:val="0018088E"/>
    <w:rsid w:val="00182CB0"/>
    <w:rsid w:val="0018301A"/>
    <w:rsid w:val="0018379B"/>
    <w:rsid w:val="00183CD1"/>
    <w:rsid w:val="00183FD7"/>
    <w:rsid w:val="00184188"/>
    <w:rsid w:val="001849B7"/>
    <w:rsid w:val="00184A10"/>
    <w:rsid w:val="00184BAC"/>
    <w:rsid w:val="00184BF7"/>
    <w:rsid w:val="00184E17"/>
    <w:rsid w:val="001852E2"/>
    <w:rsid w:val="001856A8"/>
    <w:rsid w:val="00185CAB"/>
    <w:rsid w:val="00186508"/>
    <w:rsid w:val="00186EAE"/>
    <w:rsid w:val="001875B7"/>
    <w:rsid w:val="00187CB3"/>
    <w:rsid w:val="001904B4"/>
    <w:rsid w:val="0019050A"/>
    <w:rsid w:val="0019087F"/>
    <w:rsid w:val="00190A28"/>
    <w:rsid w:val="001910D4"/>
    <w:rsid w:val="00192938"/>
    <w:rsid w:val="00193334"/>
    <w:rsid w:val="00193FC5"/>
    <w:rsid w:val="001976E3"/>
    <w:rsid w:val="00197798"/>
    <w:rsid w:val="001A2E3D"/>
    <w:rsid w:val="001A3365"/>
    <w:rsid w:val="001A3975"/>
    <w:rsid w:val="001A3FB0"/>
    <w:rsid w:val="001A44EC"/>
    <w:rsid w:val="001A551E"/>
    <w:rsid w:val="001B09DA"/>
    <w:rsid w:val="001B0DAB"/>
    <w:rsid w:val="001B2916"/>
    <w:rsid w:val="001B2930"/>
    <w:rsid w:val="001B3F25"/>
    <w:rsid w:val="001B5226"/>
    <w:rsid w:val="001B56A1"/>
    <w:rsid w:val="001B58AA"/>
    <w:rsid w:val="001B624E"/>
    <w:rsid w:val="001B6FAD"/>
    <w:rsid w:val="001B7E48"/>
    <w:rsid w:val="001C14F0"/>
    <w:rsid w:val="001C17CE"/>
    <w:rsid w:val="001C22FA"/>
    <w:rsid w:val="001C36CA"/>
    <w:rsid w:val="001C44D1"/>
    <w:rsid w:val="001C4B69"/>
    <w:rsid w:val="001C5FAD"/>
    <w:rsid w:val="001C6AEE"/>
    <w:rsid w:val="001C7283"/>
    <w:rsid w:val="001C7365"/>
    <w:rsid w:val="001C7630"/>
    <w:rsid w:val="001D106C"/>
    <w:rsid w:val="001D6D15"/>
    <w:rsid w:val="001E0150"/>
    <w:rsid w:val="001E04F3"/>
    <w:rsid w:val="001E08F1"/>
    <w:rsid w:val="001E6C74"/>
    <w:rsid w:val="001F0937"/>
    <w:rsid w:val="001F128C"/>
    <w:rsid w:val="001F29D1"/>
    <w:rsid w:val="001F4385"/>
    <w:rsid w:val="001F514C"/>
    <w:rsid w:val="001F6A13"/>
    <w:rsid w:val="001F7558"/>
    <w:rsid w:val="001F7635"/>
    <w:rsid w:val="001F7CA8"/>
    <w:rsid w:val="00200AF7"/>
    <w:rsid w:val="00201E30"/>
    <w:rsid w:val="00202009"/>
    <w:rsid w:val="00205B57"/>
    <w:rsid w:val="00206D1F"/>
    <w:rsid w:val="00207A1F"/>
    <w:rsid w:val="00207CD0"/>
    <w:rsid w:val="00207FCC"/>
    <w:rsid w:val="002101D9"/>
    <w:rsid w:val="00211E9E"/>
    <w:rsid w:val="002127EB"/>
    <w:rsid w:val="00213A2B"/>
    <w:rsid w:val="0021475D"/>
    <w:rsid w:val="002156DB"/>
    <w:rsid w:val="002157E0"/>
    <w:rsid w:val="002162F0"/>
    <w:rsid w:val="00216A57"/>
    <w:rsid w:val="00216DE5"/>
    <w:rsid w:val="002177BA"/>
    <w:rsid w:val="0022012C"/>
    <w:rsid w:val="00221D37"/>
    <w:rsid w:val="00222EAE"/>
    <w:rsid w:val="0022334F"/>
    <w:rsid w:val="00223F1F"/>
    <w:rsid w:val="002245B8"/>
    <w:rsid w:val="00224EB8"/>
    <w:rsid w:val="00225014"/>
    <w:rsid w:val="0022584C"/>
    <w:rsid w:val="00226819"/>
    <w:rsid w:val="00230543"/>
    <w:rsid w:val="00230F1D"/>
    <w:rsid w:val="0023152F"/>
    <w:rsid w:val="00231A71"/>
    <w:rsid w:val="00233101"/>
    <w:rsid w:val="00233817"/>
    <w:rsid w:val="002367FF"/>
    <w:rsid w:val="00237477"/>
    <w:rsid w:val="00240998"/>
    <w:rsid w:val="00240CE9"/>
    <w:rsid w:val="0024120D"/>
    <w:rsid w:val="0024160E"/>
    <w:rsid w:val="002416AA"/>
    <w:rsid w:val="002421C9"/>
    <w:rsid w:val="002434BA"/>
    <w:rsid w:val="002442E5"/>
    <w:rsid w:val="00244B48"/>
    <w:rsid w:val="00246089"/>
    <w:rsid w:val="00246093"/>
    <w:rsid w:val="00246702"/>
    <w:rsid w:val="00247966"/>
    <w:rsid w:val="00247BB5"/>
    <w:rsid w:val="00247C59"/>
    <w:rsid w:val="00247D65"/>
    <w:rsid w:val="00247F2E"/>
    <w:rsid w:val="00250ADC"/>
    <w:rsid w:val="00250B07"/>
    <w:rsid w:val="00250B12"/>
    <w:rsid w:val="00250B17"/>
    <w:rsid w:val="00253345"/>
    <w:rsid w:val="00253C48"/>
    <w:rsid w:val="00257553"/>
    <w:rsid w:val="002578D4"/>
    <w:rsid w:val="00257B72"/>
    <w:rsid w:val="002604A1"/>
    <w:rsid w:val="0026096F"/>
    <w:rsid w:val="00260C4E"/>
    <w:rsid w:val="00260FB2"/>
    <w:rsid w:val="00262128"/>
    <w:rsid w:val="0026453D"/>
    <w:rsid w:val="00265825"/>
    <w:rsid w:val="00265F51"/>
    <w:rsid w:val="0026714A"/>
    <w:rsid w:val="0026789B"/>
    <w:rsid w:val="00267B12"/>
    <w:rsid w:val="002703F7"/>
    <w:rsid w:val="00270BAE"/>
    <w:rsid w:val="0027165D"/>
    <w:rsid w:val="00273CEB"/>
    <w:rsid w:val="0027402F"/>
    <w:rsid w:val="00281C89"/>
    <w:rsid w:val="00282142"/>
    <w:rsid w:val="0028282F"/>
    <w:rsid w:val="00283FE7"/>
    <w:rsid w:val="00284F3E"/>
    <w:rsid w:val="00285E08"/>
    <w:rsid w:val="00286B69"/>
    <w:rsid w:val="002874E8"/>
    <w:rsid w:val="0028796B"/>
    <w:rsid w:val="00291E83"/>
    <w:rsid w:val="00294308"/>
    <w:rsid w:val="00294A04"/>
    <w:rsid w:val="0029593B"/>
    <w:rsid w:val="00295CB2"/>
    <w:rsid w:val="0029653B"/>
    <w:rsid w:val="00296B55"/>
    <w:rsid w:val="0029725C"/>
    <w:rsid w:val="0029793B"/>
    <w:rsid w:val="00297B9A"/>
    <w:rsid w:val="00297FC5"/>
    <w:rsid w:val="002A0417"/>
    <w:rsid w:val="002A16D8"/>
    <w:rsid w:val="002A1BC8"/>
    <w:rsid w:val="002A212F"/>
    <w:rsid w:val="002A242E"/>
    <w:rsid w:val="002A343C"/>
    <w:rsid w:val="002A3C1A"/>
    <w:rsid w:val="002A3E9E"/>
    <w:rsid w:val="002A3EF2"/>
    <w:rsid w:val="002A4E91"/>
    <w:rsid w:val="002B07BF"/>
    <w:rsid w:val="002B0DED"/>
    <w:rsid w:val="002B11AF"/>
    <w:rsid w:val="002B19A2"/>
    <w:rsid w:val="002B26CE"/>
    <w:rsid w:val="002B2FC7"/>
    <w:rsid w:val="002B381A"/>
    <w:rsid w:val="002B4880"/>
    <w:rsid w:val="002B4B2C"/>
    <w:rsid w:val="002B4B41"/>
    <w:rsid w:val="002B4FCC"/>
    <w:rsid w:val="002B5CC8"/>
    <w:rsid w:val="002B7408"/>
    <w:rsid w:val="002B7CFD"/>
    <w:rsid w:val="002C0D89"/>
    <w:rsid w:val="002C0FA0"/>
    <w:rsid w:val="002C1B74"/>
    <w:rsid w:val="002C210F"/>
    <w:rsid w:val="002C42E6"/>
    <w:rsid w:val="002C4534"/>
    <w:rsid w:val="002C52AD"/>
    <w:rsid w:val="002C59C4"/>
    <w:rsid w:val="002C690F"/>
    <w:rsid w:val="002C73EA"/>
    <w:rsid w:val="002D1EB1"/>
    <w:rsid w:val="002D23ED"/>
    <w:rsid w:val="002D2AC9"/>
    <w:rsid w:val="002D2BC0"/>
    <w:rsid w:val="002D31A4"/>
    <w:rsid w:val="002D3600"/>
    <w:rsid w:val="002D4F39"/>
    <w:rsid w:val="002D55FA"/>
    <w:rsid w:val="002D5B3E"/>
    <w:rsid w:val="002E03B2"/>
    <w:rsid w:val="002E1823"/>
    <w:rsid w:val="002E4DDC"/>
    <w:rsid w:val="002E50B9"/>
    <w:rsid w:val="002E586B"/>
    <w:rsid w:val="002E69B4"/>
    <w:rsid w:val="002F054A"/>
    <w:rsid w:val="002F0D63"/>
    <w:rsid w:val="002F22A0"/>
    <w:rsid w:val="002F410E"/>
    <w:rsid w:val="002F4CDF"/>
    <w:rsid w:val="002F4E33"/>
    <w:rsid w:val="002F5313"/>
    <w:rsid w:val="002F6BF3"/>
    <w:rsid w:val="002F7769"/>
    <w:rsid w:val="0030071D"/>
    <w:rsid w:val="003007F4"/>
    <w:rsid w:val="00300BD1"/>
    <w:rsid w:val="00300F18"/>
    <w:rsid w:val="0030163E"/>
    <w:rsid w:val="003018F5"/>
    <w:rsid w:val="00301AC4"/>
    <w:rsid w:val="00301B37"/>
    <w:rsid w:val="00302480"/>
    <w:rsid w:val="00302C4C"/>
    <w:rsid w:val="00302C6A"/>
    <w:rsid w:val="00312612"/>
    <w:rsid w:val="00315A9A"/>
    <w:rsid w:val="003160C8"/>
    <w:rsid w:val="003165E6"/>
    <w:rsid w:val="00317D6D"/>
    <w:rsid w:val="003209B5"/>
    <w:rsid w:val="003215B5"/>
    <w:rsid w:val="003221CF"/>
    <w:rsid w:val="003233ED"/>
    <w:rsid w:val="003244DA"/>
    <w:rsid w:val="00324D9F"/>
    <w:rsid w:val="00324F74"/>
    <w:rsid w:val="00324FD3"/>
    <w:rsid w:val="0032511A"/>
    <w:rsid w:val="00325A99"/>
    <w:rsid w:val="00327948"/>
    <w:rsid w:val="0033000F"/>
    <w:rsid w:val="00331D17"/>
    <w:rsid w:val="00332011"/>
    <w:rsid w:val="003324A0"/>
    <w:rsid w:val="00332518"/>
    <w:rsid w:val="00332925"/>
    <w:rsid w:val="003332ED"/>
    <w:rsid w:val="0033410F"/>
    <w:rsid w:val="00335D74"/>
    <w:rsid w:val="00335FA5"/>
    <w:rsid w:val="003368DC"/>
    <w:rsid w:val="003405E1"/>
    <w:rsid w:val="00341A81"/>
    <w:rsid w:val="00344157"/>
    <w:rsid w:val="0034504B"/>
    <w:rsid w:val="00345453"/>
    <w:rsid w:val="00345927"/>
    <w:rsid w:val="00346208"/>
    <w:rsid w:val="00347807"/>
    <w:rsid w:val="00347C82"/>
    <w:rsid w:val="00350584"/>
    <w:rsid w:val="00351857"/>
    <w:rsid w:val="003533FE"/>
    <w:rsid w:val="0035375E"/>
    <w:rsid w:val="003545E8"/>
    <w:rsid w:val="0035599E"/>
    <w:rsid w:val="00357A91"/>
    <w:rsid w:val="00357DE8"/>
    <w:rsid w:val="003610E1"/>
    <w:rsid w:val="003627B9"/>
    <w:rsid w:val="0036373B"/>
    <w:rsid w:val="00363C94"/>
    <w:rsid w:val="00365329"/>
    <w:rsid w:val="003671BE"/>
    <w:rsid w:val="00372485"/>
    <w:rsid w:val="0037281C"/>
    <w:rsid w:val="00373200"/>
    <w:rsid w:val="00375251"/>
    <w:rsid w:val="0037536F"/>
    <w:rsid w:val="00375EF5"/>
    <w:rsid w:val="003767A5"/>
    <w:rsid w:val="00377039"/>
    <w:rsid w:val="003778FC"/>
    <w:rsid w:val="00381D15"/>
    <w:rsid w:val="003821C1"/>
    <w:rsid w:val="00385254"/>
    <w:rsid w:val="00385544"/>
    <w:rsid w:val="003858A0"/>
    <w:rsid w:val="003860AA"/>
    <w:rsid w:val="00386F0C"/>
    <w:rsid w:val="0039025A"/>
    <w:rsid w:val="0039286D"/>
    <w:rsid w:val="00392CD0"/>
    <w:rsid w:val="00392DAE"/>
    <w:rsid w:val="00394DD7"/>
    <w:rsid w:val="00395704"/>
    <w:rsid w:val="0039777D"/>
    <w:rsid w:val="00397879"/>
    <w:rsid w:val="00397FFC"/>
    <w:rsid w:val="003A04DB"/>
    <w:rsid w:val="003A1216"/>
    <w:rsid w:val="003A2117"/>
    <w:rsid w:val="003A57A4"/>
    <w:rsid w:val="003A589D"/>
    <w:rsid w:val="003A5F5B"/>
    <w:rsid w:val="003A6133"/>
    <w:rsid w:val="003A6FE0"/>
    <w:rsid w:val="003A789A"/>
    <w:rsid w:val="003A78F5"/>
    <w:rsid w:val="003B0ADE"/>
    <w:rsid w:val="003B12EC"/>
    <w:rsid w:val="003B35AD"/>
    <w:rsid w:val="003B7614"/>
    <w:rsid w:val="003C05CD"/>
    <w:rsid w:val="003C42D8"/>
    <w:rsid w:val="003C67DF"/>
    <w:rsid w:val="003C75A0"/>
    <w:rsid w:val="003C77E0"/>
    <w:rsid w:val="003C7FA7"/>
    <w:rsid w:val="003D00AE"/>
    <w:rsid w:val="003D17D7"/>
    <w:rsid w:val="003D2678"/>
    <w:rsid w:val="003D3510"/>
    <w:rsid w:val="003D35B8"/>
    <w:rsid w:val="003D3719"/>
    <w:rsid w:val="003D472C"/>
    <w:rsid w:val="003D50F5"/>
    <w:rsid w:val="003D71A3"/>
    <w:rsid w:val="003D7424"/>
    <w:rsid w:val="003D746C"/>
    <w:rsid w:val="003E1D39"/>
    <w:rsid w:val="003E2B8A"/>
    <w:rsid w:val="003E302E"/>
    <w:rsid w:val="003E34DE"/>
    <w:rsid w:val="003E4D3F"/>
    <w:rsid w:val="003F10EE"/>
    <w:rsid w:val="003F16F6"/>
    <w:rsid w:val="003F2735"/>
    <w:rsid w:val="003F35DB"/>
    <w:rsid w:val="003F3862"/>
    <w:rsid w:val="003F47C3"/>
    <w:rsid w:val="003F482A"/>
    <w:rsid w:val="003F4DC7"/>
    <w:rsid w:val="003F5235"/>
    <w:rsid w:val="003F6828"/>
    <w:rsid w:val="003F78AD"/>
    <w:rsid w:val="003F793B"/>
    <w:rsid w:val="00400388"/>
    <w:rsid w:val="004027E4"/>
    <w:rsid w:val="0040566E"/>
    <w:rsid w:val="0040613E"/>
    <w:rsid w:val="00406E7F"/>
    <w:rsid w:val="0041071D"/>
    <w:rsid w:val="00410DD3"/>
    <w:rsid w:val="00411EC3"/>
    <w:rsid w:val="004121D6"/>
    <w:rsid w:val="00412389"/>
    <w:rsid w:val="00414AFC"/>
    <w:rsid w:val="004151A7"/>
    <w:rsid w:val="004151EF"/>
    <w:rsid w:val="00415310"/>
    <w:rsid w:val="00417715"/>
    <w:rsid w:val="00417AC4"/>
    <w:rsid w:val="00417B88"/>
    <w:rsid w:val="00417BAC"/>
    <w:rsid w:val="0042029E"/>
    <w:rsid w:val="00421539"/>
    <w:rsid w:val="00421709"/>
    <w:rsid w:val="00421FBF"/>
    <w:rsid w:val="00422303"/>
    <w:rsid w:val="00423763"/>
    <w:rsid w:val="0042458B"/>
    <w:rsid w:val="004254E1"/>
    <w:rsid w:val="00425585"/>
    <w:rsid w:val="004259AA"/>
    <w:rsid w:val="004267CD"/>
    <w:rsid w:val="0042762F"/>
    <w:rsid w:val="00427DC7"/>
    <w:rsid w:val="00430B45"/>
    <w:rsid w:val="00431613"/>
    <w:rsid w:val="00431792"/>
    <w:rsid w:val="0043297A"/>
    <w:rsid w:val="00432EB2"/>
    <w:rsid w:val="00435E4A"/>
    <w:rsid w:val="00436225"/>
    <w:rsid w:val="0043714F"/>
    <w:rsid w:val="00437BD1"/>
    <w:rsid w:val="004412AE"/>
    <w:rsid w:val="004438B5"/>
    <w:rsid w:val="00443C04"/>
    <w:rsid w:val="00443F50"/>
    <w:rsid w:val="00444032"/>
    <w:rsid w:val="0044557C"/>
    <w:rsid w:val="00447037"/>
    <w:rsid w:val="004471AB"/>
    <w:rsid w:val="004475CC"/>
    <w:rsid w:val="00447E75"/>
    <w:rsid w:val="0045124D"/>
    <w:rsid w:val="004518AD"/>
    <w:rsid w:val="00451C3C"/>
    <w:rsid w:val="004521D0"/>
    <w:rsid w:val="004537FF"/>
    <w:rsid w:val="00454596"/>
    <w:rsid w:val="00455D96"/>
    <w:rsid w:val="0045605D"/>
    <w:rsid w:val="0046135B"/>
    <w:rsid w:val="00461D47"/>
    <w:rsid w:val="00462635"/>
    <w:rsid w:val="00462654"/>
    <w:rsid w:val="00462BA4"/>
    <w:rsid w:val="0046433E"/>
    <w:rsid w:val="00465DA2"/>
    <w:rsid w:val="00466134"/>
    <w:rsid w:val="0046703A"/>
    <w:rsid w:val="004718CC"/>
    <w:rsid w:val="004728DF"/>
    <w:rsid w:val="00476970"/>
    <w:rsid w:val="00480C14"/>
    <w:rsid w:val="004812C0"/>
    <w:rsid w:val="00481695"/>
    <w:rsid w:val="00481901"/>
    <w:rsid w:val="004829F6"/>
    <w:rsid w:val="004834FD"/>
    <w:rsid w:val="00487356"/>
    <w:rsid w:val="004900E0"/>
    <w:rsid w:val="00492835"/>
    <w:rsid w:val="0049336B"/>
    <w:rsid w:val="00493F9D"/>
    <w:rsid w:val="00494850"/>
    <w:rsid w:val="004955FC"/>
    <w:rsid w:val="00495A96"/>
    <w:rsid w:val="00495BB3"/>
    <w:rsid w:val="004962AF"/>
    <w:rsid w:val="004976E3"/>
    <w:rsid w:val="004979D7"/>
    <w:rsid w:val="004A0B13"/>
    <w:rsid w:val="004A1923"/>
    <w:rsid w:val="004A56BB"/>
    <w:rsid w:val="004A74CA"/>
    <w:rsid w:val="004A7C81"/>
    <w:rsid w:val="004B1738"/>
    <w:rsid w:val="004B1751"/>
    <w:rsid w:val="004B20CD"/>
    <w:rsid w:val="004B22EB"/>
    <w:rsid w:val="004B2FB0"/>
    <w:rsid w:val="004B503E"/>
    <w:rsid w:val="004B597D"/>
    <w:rsid w:val="004B79FA"/>
    <w:rsid w:val="004B7F68"/>
    <w:rsid w:val="004C0253"/>
    <w:rsid w:val="004C171C"/>
    <w:rsid w:val="004C1873"/>
    <w:rsid w:val="004C34C1"/>
    <w:rsid w:val="004C36C8"/>
    <w:rsid w:val="004C3A0F"/>
    <w:rsid w:val="004C4932"/>
    <w:rsid w:val="004C5584"/>
    <w:rsid w:val="004C5634"/>
    <w:rsid w:val="004C5BBF"/>
    <w:rsid w:val="004C6CC1"/>
    <w:rsid w:val="004C7034"/>
    <w:rsid w:val="004D0B7F"/>
    <w:rsid w:val="004D3BAB"/>
    <w:rsid w:val="004D4413"/>
    <w:rsid w:val="004D56FF"/>
    <w:rsid w:val="004D588B"/>
    <w:rsid w:val="004D5957"/>
    <w:rsid w:val="004D67E6"/>
    <w:rsid w:val="004E16AE"/>
    <w:rsid w:val="004E39D3"/>
    <w:rsid w:val="004E4AB8"/>
    <w:rsid w:val="004E4E36"/>
    <w:rsid w:val="004E508A"/>
    <w:rsid w:val="004E5B48"/>
    <w:rsid w:val="004E5C67"/>
    <w:rsid w:val="004E6058"/>
    <w:rsid w:val="004E616D"/>
    <w:rsid w:val="004E66B5"/>
    <w:rsid w:val="004E7852"/>
    <w:rsid w:val="004E7DB3"/>
    <w:rsid w:val="004F1BDE"/>
    <w:rsid w:val="004F2CEE"/>
    <w:rsid w:val="004F4376"/>
    <w:rsid w:val="004F556E"/>
    <w:rsid w:val="004F591C"/>
    <w:rsid w:val="004F5E0F"/>
    <w:rsid w:val="004F631E"/>
    <w:rsid w:val="004F7709"/>
    <w:rsid w:val="004F7F44"/>
    <w:rsid w:val="0050063D"/>
    <w:rsid w:val="0050234A"/>
    <w:rsid w:val="00503041"/>
    <w:rsid w:val="005037B4"/>
    <w:rsid w:val="00503DA7"/>
    <w:rsid w:val="005079BF"/>
    <w:rsid w:val="00507BBE"/>
    <w:rsid w:val="00510E55"/>
    <w:rsid w:val="0051269A"/>
    <w:rsid w:val="00512E68"/>
    <w:rsid w:val="00513A00"/>
    <w:rsid w:val="00513B1B"/>
    <w:rsid w:val="005149C5"/>
    <w:rsid w:val="00514BD7"/>
    <w:rsid w:val="005219E7"/>
    <w:rsid w:val="00522AC0"/>
    <w:rsid w:val="00524F88"/>
    <w:rsid w:val="005264A0"/>
    <w:rsid w:val="00530402"/>
    <w:rsid w:val="005307D3"/>
    <w:rsid w:val="00531B9A"/>
    <w:rsid w:val="00531D15"/>
    <w:rsid w:val="00531F09"/>
    <w:rsid w:val="0053245A"/>
    <w:rsid w:val="005324E5"/>
    <w:rsid w:val="005327A2"/>
    <w:rsid w:val="00532EF1"/>
    <w:rsid w:val="00533022"/>
    <w:rsid w:val="0053375E"/>
    <w:rsid w:val="0053547E"/>
    <w:rsid w:val="00536B8A"/>
    <w:rsid w:val="00536E0C"/>
    <w:rsid w:val="00537604"/>
    <w:rsid w:val="0054095A"/>
    <w:rsid w:val="00540F07"/>
    <w:rsid w:val="0054219E"/>
    <w:rsid w:val="00542377"/>
    <w:rsid w:val="0054459D"/>
    <w:rsid w:val="00544CE5"/>
    <w:rsid w:val="00544DB7"/>
    <w:rsid w:val="00544F69"/>
    <w:rsid w:val="0054594B"/>
    <w:rsid w:val="0054607E"/>
    <w:rsid w:val="0054632E"/>
    <w:rsid w:val="005468FE"/>
    <w:rsid w:val="00546C48"/>
    <w:rsid w:val="005473BD"/>
    <w:rsid w:val="005475A6"/>
    <w:rsid w:val="005476EB"/>
    <w:rsid w:val="0054798F"/>
    <w:rsid w:val="00551782"/>
    <w:rsid w:val="00552599"/>
    <w:rsid w:val="005539B5"/>
    <w:rsid w:val="00554B2F"/>
    <w:rsid w:val="00555092"/>
    <w:rsid w:val="00557DD6"/>
    <w:rsid w:val="005601CC"/>
    <w:rsid w:val="0056182C"/>
    <w:rsid w:val="00561E2A"/>
    <w:rsid w:val="00561F2F"/>
    <w:rsid w:val="00562341"/>
    <w:rsid w:val="00563EF1"/>
    <w:rsid w:val="005647F3"/>
    <w:rsid w:val="00566A84"/>
    <w:rsid w:val="00566AB4"/>
    <w:rsid w:val="00570ED3"/>
    <w:rsid w:val="005716A8"/>
    <w:rsid w:val="00573332"/>
    <w:rsid w:val="00575AC5"/>
    <w:rsid w:val="0057605D"/>
    <w:rsid w:val="0057659C"/>
    <w:rsid w:val="00576F9B"/>
    <w:rsid w:val="005807BC"/>
    <w:rsid w:val="00581347"/>
    <w:rsid w:val="005814AF"/>
    <w:rsid w:val="00581AC9"/>
    <w:rsid w:val="00584496"/>
    <w:rsid w:val="005845FF"/>
    <w:rsid w:val="005849F8"/>
    <w:rsid w:val="00584BB9"/>
    <w:rsid w:val="00587CEB"/>
    <w:rsid w:val="00590105"/>
    <w:rsid w:val="00590655"/>
    <w:rsid w:val="005915B7"/>
    <w:rsid w:val="00591CD4"/>
    <w:rsid w:val="00593409"/>
    <w:rsid w:val="005938DF"/>
    <w:rsid w:val="00594E9C"/>
    <w:rsid w:val="00596ACF"/>
    <w:rsid w:val="00596F1A"/>
    <w:rsid w:val="00597BDD"/>
    <w:rsid w:val="005A099B"/>
    <w:rsid w:val="005A1510"/>
    <w:rsid w:val="005A20A7"/>
    <w:rsid w:val="005A2D9C"/>
    <w:rsid w:val="005A3977"/>
    <w:rsid w:val="005A4179"/>
    <w:rsid w:val="005A5354"/>
    <w:rsid w:val="005A55FE"/>
    <w:rsid w:val="005A6A11"/>
    <w:rsid w:val="005B1285"/>
    <w:rsid w:val="005B2AD6"/>
    <w:rsid w:val="005B365B"/>
    <w:rsid w:val="005B37F5"/>
    <w:rsid w:val="005B49B6"/>
    <w:rsid w:val="005B49DB"/>
    <w:rsid w:val="005B656D"/>
    <w:rsid w:val="005B6814"/>
    <w:rsid w:val="005B7036"/>
    <w:rsid w:val="005B7512"/>
    <w:rsid w:val="005B7A00"/>
    <w:rsid w:val="005B7A75"/>
    <w:rsid w:val="005C3554"/>
    <w:rsid w:val="005C3753"/>
    <w:rsid w:val="005C382B"/>
    <w:rsid w:val="005C4138"/>
    <w:rsid w:val="005C6A94"/>
    <w:rsid w:val="005D0B69"/>
    <w:rsid w:val="005D1130"/>
    <w:rsid w:val="005D2502"/>
    <w:rsid w:val="005D40BB"/>
    <w:rsid w:val="005D47F3"/>
    <w:rsid w:val="005D49BF"/>
    <w:rsid w:val="005D4AA5"/>
    <w:rsid w:val="005D5C25"/>
    <w:rsid w:val="005D6F4E"/>
    <w:rsid w:val="005D7C73"/>
    <w:rsid w:val="005E09A9"/>
    <w:rsid w:val="005E0C4E"/>
    <w:rsid w:val="005E16D1"/>
    <w:rsid w:val="005E3ACD"/>
    <w:rsid w:val="005E4E9F"/>
    <w:rsid w:val="005E6DC2"/>
    <w:rsid w:val="005E7226"/>
    <w:rsid w:val="005E7A57"/>
    <w:rsid w:val="005F24B0"/>
    <w:rsid w:val="005F295D"/>
    <w:rsid w:val="005F6ACC"/>
    <w:rsid w:val="005F6D20"/>
    <w:rsid w:val="0060359F"/>
    <w:rsid w:val="00604315"/>
    <w:rsid w:val="006043E4"/>
    <w:rsid w:val="00604E26"/>
    <w:rsid w:val="006052CF"/>
    <w:rsid w:val="00605FAF"/>
    <w:rsid w:val="006062E4"/>
    <w:rsid w:val="00606730"/>
    <w:rsid w:val="006067F3"/>
    <w:rsid w:val="006074BD"/>
    <w:rsid w:val="00607B8D"/>
    <w:rsid w:val="00611F5C"/>
    <w:rsid w:val="00614690"/>
    <w:rsid w:val="00614B79"/>
    <w:rsid w:val="0061514B"/>
    <w:rsid w:val="00615383"/>
    <w:rsid w:val="00616AEC"/>
    <w:rsid w:val="00616E09"/>
    <w:rsid w:val="006178E3"/>
    <w:rsid w:val="006179C4"/>
    <w:rsid w:val="00620209"/>
    <w:rsid w:val="00620C95"/>
    <w:rsid w:val="00620ED9"/>
    <w:rsid w:val="00622025"/>
    <w:rsid w:val="00622A3B"/>
    <w:rsid w:val="00622EEA"/>
    <w:rsid w:val="0062396C"/>
    <w:rsid w:val="00623FF9"/>
    <w:rsid w:val="006265B0"/>
    <w:rsid w:val="00626D3B"/>
    <w:rsid w:val="0062728F"/>
    <w:rsid w:val="00627D4E"/>
    <w:rsid w:val="00632B89"/>
    <w:rsid w:val="00633B9B"/>
    <w:rsid w:val="00634478"/>
    <w:rsid w:val="00635288"/>
    <w:rsid w:val="00635B81"/>
    <w:rsid w:val="00635B82"/>
    <w:rsid w:val="00636396"/>
    <w:rsid w:val="0063776A"/>
    <w:rsid w:val="0064235D"/>
    <w:rsid w:val="00642A52"/>
    <w:rsid w:val="00644373"/>
    <w:rsid w:val="00645915"/>
    <w:rsid w:val="00646A1C"/>
    <w:rsid w:val="00647D25"/>
    <w:rsid w:val="006519C3"/>
    <w:rsid w:val="00652457"/>
    <w:rsid w:val="00652B30"/>
    <w:rsid w:val="00652E03"/>
    <w:rsid w:val="00653894"/>
    <w:rsid w:val="0065440C"/>
    <w:rsid w:val="00654A26"/>
    <w:rsid w:val="0065579C"/>
    <w:rsid w:val="00656345"/>
    <w:rsid w:val="00656DC6"/>
    <w:rsid w:val="00660E9E"/>
    <w:rsid w:val="00660EC6"/>
    <w:rsid w:val="00661079"/>
    <w:rsid w:val="006618AC"/>
    <w:rsid w:val="00661EA3"/>
    <w:rsid w:val="00662509"/>
    <w:rsid w:val="00664110"/>
    <w:rsid w:val="00664D17"/>
    <w:rsid w:val="00664F61"/>
    <w:rsid w:val="00665D0B"/>
    <w:rsid w:val="00666520"/>
    <w:rsid w:val="00666F53"/>
    <w:rsid w:val="00667AD7"/>
    <w:rsid w:val="00667B78"/>
    <w:rsid w:val="00667C5B"/>
    <w:rsid w:val="00671CEE"/>
    <w:rsid w:val="006722DC"/>
    <w:rsid w:val="006724BB"/>
    <w:rsid w:val="00672E4C"/>
    <w:rsid w:val="00676C63"/>
    <w:rsid w:val="00677C68"/>
    <w:rsid w:val="0068041A"/>
    <w:rsid w:val="006805AC"/>
    <w:rsid w:val="00680BD2"/>
    <w:rsid w:val="00683941"/>
    <w:rsid w:val="00685B79"/>
    <w:rsid w:val="00685CF5"/>
    <w:rsid w:val="00687532"/>
    <w:rsid w:val="00691694"/>
    <w:rsid w:val="00691EB8"/>
    <w:rsid w:val="00692CDE"/>
    <w:rsid w:val="00693073"/>
    <w:rsid w:val="00693411"/>
    <w:rsid w:val="00694839"/>
    <w:rsid w:val="00694979"/>
    <w:rsid w:val="006977FF"/>
    <w:rsid w:val="006A01FA"/>
    <w:rsid w:val="006A08A9"/>
    <w:rsid w:val="006A0E9E"/>
    <w:rsid w:val="006A12F7"/>
    <w:rsid w:val="006A1F7D"/>
    <w:rsid w:val="006A25C7"/>
    <w:rsid w:val="006A4AAD"/>
    <w:rsid w:val="006A5E05"/>
    <w:rsid w:val="006A6CB2"/>
    <w:rsid w:val="006A6DA2"/>
    <w:rsid w:val="006A75BB"/>
    <w:rsid w:val="006A7AB2"/>
    <w:rsid w:val="006A7BC3"/>
    <w:rsid w:val="006B035F"/>
    <w:rsid w:val="006B11DD"/>
    <w:rsid w:val="006B2138"/>
    <w:rsid w:val="006B271E"/>
    <w:rsid w:val="006B3756"/>
    <w:rsid w:val="006B3A46"/>
    <w:rsid w:val="006B4A42"/>
    <w:rsid w:val="006B5717"/>
    <w:rsid w:val="006B582F"/>
    <w:rsid w:val="006B5EB2"/>
    <w:rsid w:val="006B68AA"/>
    <w:rsid w:val="006C0CEB"/>
    <w:rsid w:val="006C3B1E"/>
    <w:rsid w:val="006C460A"/>
    <w:rsid w:val="006C47FD"/>
    <w:rsid w:val="006C4D38"/>
    <w:rsid w:val="006C5C19"/>
    <w:rsid w:val="006C5CBF"/>
    <w:rsid w:val="006C63C6"/>
    <w:rsid w:val="006C70A0"/>
    <w:rsid w:val="006D121A"/>
    <w:rsid w:val="006D1749"/>
    <w:rsid w:val="006D27CB"/>
    <w:rsid w:val="006D2B1E"/>
    <w:rsid w:val="006D2F08"/>
    <w:rsid w:val="006D32B8"/>
    <w:rsid w:val="006D3890"/>
    <w:rsid w:val="006D576C"/>
    <w:rsid w:val="006D5865"/>
    <w:rsid w:val="006D7A17"/>
    <w:rsid w:val="006E415E"/>
    <w:rsid w:val="006E4ADA"/>
    <w:rsid w:val="006E4B1B"/>
    <w:rsid w:val="006E5445"/>
    <w:rsid w:val="006E68C7"/>
    <w:rsid w:val="006E79DE"/>
    <w:rsid w:val="006E7D93"/>
    <w:rsid w:val="006F05B4"/>
    <w:rsid w:val="006F14DB"/>
    <w:rsid w:val="006F16C3"/>
    <w:rsid w:val="006F1A48"/>
    <w:rsid w:val="006F1D38"/>
    <w:rsid w:val="006F2F68"/>
    <w:rsid w:val="006F3868"/>
    <w:rsid w:val="006F3CC9"/>
    <w:rsid w:val="006F3DC6"/>
    <w:rsid w:val="006F46A4"/>
    <w:rsid w:val="006F4F2E"/>
    <w:rsid w:val="006F513A"/>
    <w:rsid w:val="006F6E6C"/>
    <w:rsid w:val="006F7E57"/>
    <w:rsid w:val="0070087F"/>
    <w:rsid w:val="007029A3"/>
    <w:rsid w:val="00703A82"/>
    <w:rsid w:val="007046BA"/>
    <w:rsid w:val="00704F59"/>
    <w:rsid w:val="00706E4E"/>
    <w:rsid w:val="0070791C"/>
    <w:rsid w:val="00710E30"/>
    <w:rsid w:val="00711C34"/>
    <w:rsid w:val="00712E0B"/>
    <w:rsid w:val="0071301C"/>
    <w:rsid w:val="007131E6"/>
    <w:rsid w:val="0071383C"/>
    <w:rsid w:val="007140FC"/>
    <w:rsid w:val="007141A7"/>
    <w:rsid w:val="00715565"/>
    <w:rsid w:val="00715722"/>
    <w:rsid w:val="007159E1"/>
    <w:rsid w:val="00715DD9"/>
    <w:rsid w:val="00716257"/>
    <w:rsid w:val="00716520"/>
    <w:rsid w:val="00716D05"/>
    <w:rsid w:val="007170F0"/>
    <w:rsid w:val="00720631"/>
    <w:rsid w:val="00721032"/>
    <w:rsid w:val="00721B55"/>
    <w:rsid w:val="007242E5"/>
    <w:rsid w:val="007259B0"/>
    <w:rsid w:val="00726CE4"/>
    <w:rsid w:val="0073090B"/>
    <w:rsid w:val="0073097E"/>
    <w:rsid w:val="00730E19"/>
    <w:rsid w:val="00732B13"/>
    <w:rsid w:val="00732CBA"/>
    <w:rsid w:val="00733449"/>
    <w:rsid w:val="007340A0"/>
    <w:rsid w:val="00734143"/>
    <w:rsid w:val="00737066"/>
    <w:rsid w:val="00737E47"/>
    <w:rsid w:val="00740EAC"/>
    <w:rsid w:val="0074330D"/>
    <w:rsid w:val="00743A83"/>
    <w:rsid w:val="00744956"/>
    <w:rsid w:val="00745A5C"/>
    <w:rsid w:val="0074605F"/>
    <w:rsid w:val="0074722D"/>
    <w:rsid w:val="007475D2"/>
    <w:rsid w:val="00747E94"/>
    <w:rsid w:val="00747EC5"/>
    <w:rsid w:val="007530D4"/>
    <w:rsid w:val="007544C5"/>
    <w:rsid w:val="00754C83"/>
    <w:rsid w:val="00755D48"/>
    <w:rsid w:val="00760691"/>
    <w:rsid w:val="00762778"/>
    <w:rsid w:val="0076323A"/>
    <w:rsid w:val="0076397D"/>
    <w:rsid w:val="00764162"/>
    <w:rsid w:val="0076502F"/>
    <w:rsid w:val="00765DF8"/>
    <w:rsid w:val="0076619D"/>
    <w:rsid w:val="00766749"/>
    <w:rsid w:val="00767171"/>
    <w:rsid w:val="00767C1B"/>
    <w:rsid w:val="00767FE9"/>
    <w:rsid w:val="0077018C"/>
    <w:rsid w:val="00770F3A"/>
    <w:rsid w:val="007714A9"/>
    <w:rsid w:val="00771FFA"/>
    <w:rsid w:val="00772A07"/>
    <w:rsid w:val="00773A55"/>
    <w:rsid w:val="00774B41"/>
    <w:rsid w:val="00774CE8"/>
    <w:rsid w:val="00774F88"/>
    <w:rsid w:val="00774FDB"/>
    <w:rsid w:val="00775FE6"/>
    <w:rsid w:val="00777766"/>
    <w:rsid w:val="00777BA2"/>
    <w:rsid w:val="0078075F"/>
    <w:rsid w:val="00780A02"/>
    <w:rsid w:val="00781408"/>
    <w:rsid w:val="007838EB"/>
    <w:rsid w:val="00784F7F"/>
    <w:rsid w:val="00785E0F"/>
    <w:rsid w:val="0078654C"/>
    <w:rsid w:val="007869CA"/>
    <w:rsid w:val="007878BD"/>
    <w:rsid w:val="00791A3F"/>
    <w:rsid w:val="00792831"/>
    <w:rsid w:val="00792C19"/>
    <w:rsid w:val="00793196"/>
    <w:rsid w:val="0079338D"/>
    <w:rsid w:val="00794018"/>
    <w:rsid w:val="00794291"/>
    <w:rsid w:val="00794EA2"/>
    <w:rsid w:val="00794EDA"/>
    <w:rsid w:val="00795D9D"/>
    <w:rsid w:val="00795E65"/>
    <w:rsid w:val="007961CE"/>
    <w:rsid w:val="00796372"/>
    <w:rsid w:val="00796507"/>
    <w:rsid w:val="007965B5"/>
    <w:rsid w:val="00796F25"/>
    <w:rsid w:val="007A15B0"/>
    <w:rsid w:val="007A2688"/>
    <w:rsid w:val="007A2E98"/>
    <w:rsid w:val="007A3BA3"/>
    <w:rsid w:val="007A436B"/>
    <w:rsid w:val="007A47D8"/>
    <w:rsid w:val="007A4BE4"/>
    <w:rsid w:val="007A4ED8"/>
    <w:rsid w:val="007A5503"/>
    <w:rsid w:val="007A6CC0"/>
    <w:rsid w:val="007A7373"/>
    <w:rsid w:val="007A790A"/>
    <w:rsid w:val="007A7FEC"/>
    <w:rsid w:val="007B1499"/>
    <w:rsid w:val="007B1BBF"/>
    <w:rsid w:val="007B2960"/>
    <w:rsid w:val="007B2DA1"/>
    <w:rsid w:val="007B355D"/>
    <w:rsid w:val="007B430A"/>
    <w:rsid w:val="007B65BC"/>
    <w:rsid w:val="007B7980"/>
    <w:rsid w:val="007B7F3F"/>
    <w:rsid w:val="007C091D"/>
    <w:rsid w:val="007C0DEF"/>
    <w:rsid w:val="007C1B8C"/>
    <w:rsid w:val="007C2858"/>
    <w:rsid w:val="007C3A53"/>
    <w:rsid w:val="007C4760"/>
    <w:rsid w:val="007C4E45"/>
    <w:rsid w:val="007C5D5A"/>
    <w:rsid w:val="007C607F"/>
    <w:rsid w:val="007C63E5"/>
    <w:rsid w:val="007C6A79"/>
    <w:rsid w:val="007C79DD"/>
    <w:rsid w:val="007C7E9B"/>
    <w:rsid w:val="007D1A97"/>
    <w:rsid w:val="007D2938"/>
    <w:rsid w:val="007D2991"/>
    <w:rsid w:val="007D2CD6"/>
    <w:rsid w:val="007D2D80"/>
    <w:rsid w:val="007D3063"/>
    <w:rsid w:val="007D3CEB"/>
    <w:rsid w:val="007D471D"/>
    <w:rsid w:val="007D4EF7"/>
    <w:rsid w:val="007D5A72"/>
    <w:rsid w:val="007D645B"/>
    <w:rsid w:val="007D67E1"/>
    <w:rsid w:val="007D6D83"/>
    <w:rsid w:val="007D7039"/>
    <w:rsid w:val="007D7CB6"/>
    <w:rsid w:val="007D7E92"/>
    <w:rsid w:val="007E146A"/>
    <w:rsid w:val="007E1F3E"/>
    <w:rsid w:val="007E26B0"/>
    <w:rsid w:val="007E3640"/>
    <w:rsid w:val="007E3649"/>
    <w:rsid w:val="007E4EDE"/>
    <w:rsid w:val="007E5263"/>
    <w:rsid w:val="007E5834"/>
    <w:rsid w:val="007E7683"/>
    <w:rsid w:val="007F1A36"/>
    <w:rsid w:val="007F1FE3"/>
    <w:rsid w:val="007F33C5"/>
    <w:rsid w:val="007F49EA"/>
    <w:rsid w:val="007F49FA"/>
    <w:rsid w:val="007F54C4"/>
    <w:rsid w:val="007F6E9A"/>
    <w:rsid w:val="00800B94"/>
    <w:rsid w:val="00802D92"/>
    <w:rsid w:val="008044D4"/>
    <w:rsid w:val="0080581B"/>
    <w:rsid w:val="00806CE8"/>
    <w:rsid w:val="00810581"/>
    <w:rsid w:val="00810AB4"/>
    <w:rsid w:val="0081213C"/>
    <w:rsid w:val="008140B9"/>
    <w:rsid w:val="00814E90"/>
    <w:rsid w:val="0081520F"/>
    <w:rsid w:val="008152D3"/>
    <w:rsid w:val="00816A2D"/>
    <w:rsid w:val="00816FD6"/>
    <w:rsid w:val="0081791D"/>
    <w:rsid w:val="00817B56"/>
    <w:rsid w:val="00820E19"/>
    <w:rsid w:val="00821A88"/>
    <w:rsid w:val="00822914"/>
    <w:rsid w:val="00823827"/>
    <w:rsid w:val="00823C42"/>
    <w:rsid w:val="00823CF9"/>
    <w:rsid w:val="008243B4"/>
    <w:rsid w:val="0082495D"/>
    <w:rsid w:val="00824B0F"/>
    <w:rsid w:val="00825146"/>
    <w:rsid w:val="00825AFA"/>
    <w:rsid w:val="00826A1B"/>
    <w:rsid w:val="00830C8E"/>
    <w:rsid w:val="008311B5"/>
    <w:rsid w:val="00831AC3"/>
    <w:rsid w:val="008323CE"/>
    <w:rsid w:val="0083266D"/>
    <w:rsid w:val="00832B5A"/>
    <w:rsid w:val="00833AB1"/>
    <w:rsid w:val="0083492B"/>
    <w:rsid w:val="008405C0"/>
    <w:rsid w:val="008408FF"/>
    <w:rsid w:val="00841935"/>
    <w:rsid w:val="00841A8E"/>
    <w:rsid w:val="00843063"/>
    <w:rsid w:val="008436F5"/>
    <w:rsid w:val="008443D0"/>
    <w:rsid w:val="00844C90"/>
    <w:rsid w:val="00845504"/>
    <w:rsid w:val="00846955"/>
    <w:rsid w:val="00847669"/>
    <w:rsid w:val="00851F3F"/>
    <w:rsid w:val="0085219A"/>
    <w:rsid w:val="008532E0"/>
    <w:rsid w:val="008542D2"/>
    <w:rsid w:val="00855794"/>
    <w:rsid w:val="00855919"/>
    <w:rsid w:val="00856EDC"/>
    <w:rsid w:val="0085704E"/>
    <w:rsid w:val="00857654"/>
    <w:rsid w:val="00857BB8"/>
    <w:rsid w:val="00861B21"/>
    <w:rsid w:val="008623B5"/>
    <w:rsid w:val="00862DE9"/>
    <w:rsid w:val="0086525A"/>
    <w:rsid w:val="008661F3"/>
    <w:rsid w:val="0086634D"/>
    <w:rsid w:val="00870ABA"/>
    <w:rsid w:val="008710E1"/>
    <w:rsid w:val="0087145A"/>
    <w:rsid w:val="008715B5"/>
    <w:rsid w:val="008716E5"/>
    <w:rsid w:val="0087390C"/>
    <w:rsid w:val="0087416C"/>
    <w:rsid w:val="00880514"/>
    <w:rsid w:val="00881CA9"/>
    <w:rsid w:val="00883628"/>
    <w:rsid w:val="008836FD"/>
    <w:rsid w:val="0088425D"/>
    <w:rsid w:val="0088441E"/>
    <w:rsid w:val="008851AD"/>
    <w:rsid w:val="00885544"/>
    <w:rsid w:val="0088634E"/>
    <w:rsid w:val="008864AB"/>
    <w:rsid w:val="00887776"/>
    <w:rsid w:val="00890C94"/>
    <w:rsid w:val="00892112"/>
    <w:rsid w:val="008939F6"/>
    <w:rsid w:val="00893AB8"/>
    <w:rsid w:val="0089509E"/>
    <w:rsid w:val="00895615"/>
    <w:rsid w:val="00896919"/>
    <w:rsid w:val="00896BD7"/>
    <w:rsid w:val="0089716F"/>
    <w:rsid w:val="0089797C"/>
    <w:rsid w:val="008A04C8"/>
    <w:rsid w:val="008A10E2"/>
    <w:rsid w:val="008A34BF"/>
    <w:rsid w:val="008A517F"/>
    <w:rsid w:val="008A5566"/>
    <w:rsid w:val="008A633F"/>
    <w:rsid w:val="008A6913"/>
    <w:rsid w:val="008B157B"/>
    <w:rsid w:val="008B23CC"/>
    <w:rsid w:val="008B3F3D"/>
    <w:rsid w:val="008B549F"/>
    <w:rsid w:val="008B70F3"/>
    <w:rsid w:val="008B71C4"/>
    <w:rsid w:val="008B76DF"/>
    <w:rsid w:val="008B77DA"/>
    <w:rsid w:val="008C10F4"/>
    <w:rsid w:val="008C27B4"/>
    <w:rsid w:val="008C2898"/>
    <w:rsid w:val="008C2A05"/>
    <w:rsid w:val="008C65C0"/>
    <w:rsid w:val="008C65F7"/>
    <w:rsid w:val="008D072B"/>
    <w:rsid w:val="008D0EB3"/>
    <w:rsid w:val="008D1977"/>
    <w:rsid w:val="008D1D62"/>
    <w:rsid w:val="008D214B"/>
    <w:rsid w:val="008D3280"/>
    <w:rsid w:val="008D37B1"/>
    <w:rsid w:val="008D7A3C"/>
    <w:rsid w:val="008E1B3E"/>
    <w:rsid w:val="008E1BEA"/>
    <w:rsid w:val="008E4309"/>
    <w:rsid w:val="008E43F3"/>
    <w:rsid w:val="008E4767"/>
    <w:rsid w:val="008E69D9"/>
    <w:rsid w:val="008E6D45"/>
    <w:rsid w:val="008E770D"/>
    <w:rsid w:val="008E7A8C"/>
    <w:rsid w:val="008F1AF5"/>
    <w:rsid w:val="008F3B11"/>
    <w:rsid w:val="008F41BC"/>
    <w:rsid w:val="008F43E5"/>
    <w:rsid w:val="00901623"/>
    <w:rsid w:val="00901C18"/>
    <w:rsid w:val="00903285"/>
    <w:rsid w:val="009032C7"/>
    <w:rsid w:val="009043B8"/>
    <w:rsid w:val="00906F40"/>
    <w:rsid w:val="0090731E"/>
    <w:rsid w:val="0091087C"/>
    <w:rsid w:val="00911CC3"/>
    <w:rsid w:val="009129B5"/>
    <w:rsid w:val="00912A66"/>
    <w:rsid w:val="00912AB5"/>
    <w:rsid w:val="00915207"/>
    <w:rsid w:val="00915B1C"/>
    <w:rsid w:val="00915BCF"/>
    <w:rsid w:val="00916373"/>
    <w:rsid w:val="009166DA"/>
    <w:rsid w:val="009174F3"/>
    <w:rsid w:val="0091797D"/>
    <w:rsid w:val="009207CA"/>
    <w:rsid w:val="0092128C"/>
    <w:rsid w:val="00922144"/>
    <w:rsid w:val="00923CBA"/>
    <w:rsid w:val="009242D5"/>
    <w:rsid w:val="00924B4D"/>
    <w:rsid w:val="00924DAA"/>
    <w:rsid w:val="0092581C"/>
    <w:rsid w:val="00926703"/>
    <w:rsid w:val="00927691"/>
    <w:rsid w:val="0092780C"/>
    <w:rsid w:val="00927A5F"/>
    <w:rsid w:val="009319F1"/>
    <w:rsid w:val="0093525A"/>
    <w:rsid w:val="00935B63"/>
    <w:rsid w:val="0094078F"/>
    <w:rsid w:val="00940FA3"/>
    <w:rsid w:val="00941FB0"/>
    <w:rsid w:val="009426D4"/>
    <w:rsid w:val="0094316A"/>
    <w:rsid w:val="0094316E"/>
    <w:rsid w:val="00943873"/>
    <w:rsid w:val="00943F5D"/>
    <w:rsid w:val="00944376"/>
    <w:rsid w:val="00945A1A"/>
    <w:rsid w:val="00945CDB"/>
    <w:rsid w:val="00945FCE"/>
    <w:rsid w:val="009467F2"/>
    <w:rsid w:val="00946B9E"/>
    <w:rsid w:val="00947F25"/>
    <w:rsid w:val="00950159"/>
    <w:rsid w:val="00952D90"/>
    <w:rsid w:val="0095490B"/>
    <w:rsid w:val="009550F8"/>
    <w:rsid w:val="0096017B"/>
    <w:rsid w:val="009607EF"/>
    <w:rsid w:val="009608B2"/>
    <w:rsid w:val="00960A33"/>
    <w:rsid w:val="0096135A"/>
    <w:rsid w:val="009644EE"/>
    <w:rsid w:val="00966FF2"/>
    <w:rsid w:val="00971914"/>
    <w:rsid w:val="0097281F"/>
    <w:rsid w:val="00974363"/>
    <w:rsid w:val="00976B0F"/>
    <w:rsid w:val="009770AB"/>
    <w:rsid w:val="00977777"/>
    <w:rsid w:val="00980DB7"/>
    <w:rsid w:val="009815B1"/>
    <w:rsid w:val="00981898"/>
    <w:rsid w:val="009824D4"/>
    <w:rsid w:val="0098266F"/>
    <w:rsid w:val="00983895"/>
    <w:rsid w:val="00986498"/>
    <w:rsid w:val="0098755E"/>
    <w:rsid w:val="0099006D"/>
    <w:rsid w:val="00990729"/>
    <w:rsid w:val="009908EC"/>
    <w:rsid w:val="009951BF"/>
    <w:rsid w:val="00995363"/>
    <w:rsid w:val="0099577C"/>
    <w:rsid w:val="00995947"/>
    <w:rsid w:val="00997485"/>
    <w:rsid w:val="009A0D65"/>
    <w:rsid w:val="009A0E80"/>
    <w:rsid w:val="009A3517"/>
    <w:rsid w:val="009A51B1"/>
    <w:rsid w:val="009A6B04"/>
    <w:rsid w:val="009A7D5D"/>
    <w:rsid w:val="009B01B3"/>
    <w:rsid w:val="009B0AAA"/>
    <w:rsid w:val="009B2601"/>
    <w:rsid w:val="009B26F2"/>
    <w:rsid w:val="009B428C"/>
    <w:rsid w:val="009B44E3"/>
    <w:rsid w:val="009B4E9E"/>
    <w:rsid w:val="009B4F2E"/>
    <w:rsid w:val="009B75D3"/>
    <w:rsid w:val="009C1681"/>
    <w:rsid w:val="009C1690"/>
    <w:rsid w:val="009C3CCF"/>
    <w:rsid w:val="009C4D97"/>
    <w:rsid w:val="009C58D6"/>
    <w:rsid w:val="009C6365"/>
    <w:rsid w:val="009C6881"/>
    <w:rsid w:val="009C7759"/>
    <w:rsid w:val="009D01CD"/>
    <w:rsid w:val="009D043D"/>
    <w:rsid w:val="009D07C8"/>
    <w:rsid w:val="009D0BF1"/>
    <w:rsid w:val="009D274E"/>
    <w:rsid w:val="009D3495"/>
    <w:rsid w:val="009D413A"/>
    <w:rsid w:val="009D47B8"/>
    <w:rsid w:val="009D5C3D"/>
    <w:rsid w:val="009D6C71"/>
    <w:rsid w:val="009D74AB"/>
    <w:rsid w:val="009E026A"/>
    <w:rsid w:val="009E0631"/>
    <w:rsid w:val="009E0C05"/>
    <w:rsid w:val="009E15B2"/>
    <w:rsid w:val="009E16D0"/>
    <w:rsid w:val="009E38B8"/>
    <w:rsid w:val="009E38FD"/>
    <w:rsid w:val="009E41E6"/>
    <w:rsid w:val="009E5640"/>
    <w:rsid w:val="009E7467"/>
    <w:rsid w:val="009F0AAF"/>
    <w:rsid w:val="009F0F07"/>
    <w:rsid w:val="009F13D6"/>
    <w:rsid w:val="009F3DEC"/>
    <w:rsid w:val="009F4455"/>
    <w:rsid w:val="009F4C6B"/>
    <w:rsid w:val="009F5220"/>
    <w:rsid w:val="009F5CE4"/>
    <w:rsid w:val="009F75A6"/>
    <w:rsid w:val="009F7822"/>
    <w:rsid w:val="009F78A8"/>
    <w:rsid w:val="00A002DF"/>
    <w:rsid w:val="00A00743"/>
    <w:rsid w:val="00A009BF"/>
    <w:rsid w:val="00A0187A"/>
    <w:rsid w:val="00A02AD6"/>
    <w:rsid w:val="00A03ABB"/>
    <w:rsid w:val="00A0536C"/>
    <w:rsid w:val="00A06B85"/>
    <w:rsid w:val="00A07096"/>
    <w:rsid w:val="00A071D0"/>
    <w:rsid w:val="00A07318"/>
    <w:rsid w:val="00A11370"/>
    <w:rsid w:val="00A11611"/>
    <w:rsid w:val="00A13F57"/>
    <w:rsid w:val="00A14388"/>
    <w:rsid w:val="00A15018"/>
    <w:rsid w:val="00A2006F"/>
    <w:rsid w:val="00A20166"/>
    <w:rsid w:val="00A21775"/>
    <w:rsid w:val="00A224CE"/>
    <w:rsid w:val="00A22522"/>
    <w:rsid w:val="00A23864"/>
    <w:rsid w:val="00A23885"/>
    <w:rsid w:val="00A24096"/>
    <w:rsid w:val="00A24AFD"/>
    <w:rsid w:val="00A24EC5"/>
    <w:rsid w:val="00A24F5C"/>
    <w:rsid w:val="00A26F67"/>
    <w:rsid w:val="00A305D2"/>
    <w:rsid w:val="00A30AF2"/>
    <w:rsid w:val="00A30C5B"/>
    <w:rsid w:val="00A32F96"/>
    <w:rsid w:val="00A331CD"/>
    <w:rsid w:val="00A337D2"/>
    <w:rsid w:val="00A35A92"/>
    <w:rsid w:val="00A36139"/>
    <w:rsid w:val="00A4050D"/>
    <w:rsid w:val="00A40871"/>
    <w:rsid w:val="00A412AB"/>
    <w:rsid w:val="00A4193A"/>
    <w:rsid w:val="00A4193E"/>
    <w:rsid w:val="00A41D2C"/>
    <w:rsid w:val="00A440E0"/>
    <w:rsid w:val="00A442EF"/>
    <w:rsid w:val="00A443A9"/>
    <w:rsid w:val="00A44A92"/>
    <w:rsid w:val="00A44B34"/>
    <w:rsid w:val="00A47411"/>
    <w:rsid w:val="00A50256"/>
    <w:rsid w:val="00A50777"/>
    <w:rsid w:val="00A51D1A"/>
    <w:rsid w:val="00A523D0"/>
    <w:rsid w:val="00A5255D"/>
    <w:rsid w:val="00A52879"/>
    <w:rsid w:val="00A52C11"/>
    <w:rsid w:val="00A53763"/>
    <w:rsid w:val="00A5418D"/>
    <w:rsid w:val="00A5474E"/>
    <w:rsid w:val="00A5506A"/>
    <w:rsid w:val="00A55A19"/>
    <w:rsid w:val="00A55A85"/>
    <w:rsid w:val="00A55AF5"/>
    <w:rsid w:val="00A55D1E"/>
    <w:rsid w:val="00A563C1"/>
    <w:rsid w:val="00A56430"/>
    <w:rsid w:val="00A576F7"/>
    <w:rsid w:val="00A60857"/>
    <w:rsid w:val="00A6169B"/>
    <w:rsid w:val="00A61BA8"/>
    <w:rsid w:val="00A61EE5"/>
    <w:rsid w:val="00A64234"/>
    <w:rsid w:val="00A6508B"/>
    <w:rsid w:val="00A70693"/>
    <w:rsid w:val="00A70ADF"/>
    <w:rsid w:val="00A7112C"/>
    <w:rsid w:val="00A71466"/>
    <w:rsid w:val="00A71FE3"/>
    <w:rsid w:val="00A72F0F"/>
    <w:rsid w:val="00A73F69"/>
    <w:rsid w:val="00A74B5E"/>
    <w:rsid w:val="00A74D03"/>
    <w:rsid w:val="00A76EF4"/>
    <w:rsid w:val="00A81BED"/>
    <w:rsid w:val="00A81C94"/>
    <w:rsid w:val="00A81EC4"/>
    <w:rsid w:val="00A82864"/>
    <w:rsid w:val="00A828A8"/>
    <w:rsid w:val="00A83486"/>
    <w:rsid w:val="00A83FF4"/>
    <w:rsid w:val="00A85095"/>
    <w:rsid w:val="00A90316"/>
    <w:rsid w:val="00A92486"/>
    <w:rsid w:val="00A9416E"/>
    <w:rsid w:val="00A9600D"/>
    <w:rsid w:val="00A967FD"/>
    <w:rsid w:val="00A979F7"/>
    <w:rsid w:val="00AA0DF0"/>
    <w:rsid w:val="00AA0F19"/>
    <w:rsid w:val="00AA180B"/>
    <w:rsid w:val="00AA2DE5"/>
    <w:rsid w:val="00AA442C"/>
    <w:rsid w:val="00AA4A9D"/>
    <w:rsid w:val="00AA4C87"/>
    <w:rsid w:val="00AA552F"/>
    <w:rsid w:val="00AA68ED"/>
    <w:rsid w:val="00AA72BE"/>
    <w:rsid w:val="00AA7582"/>
    <w:rsid w:val="00AB0E0B"/>
    <w:rsid w:val="00AB156C"/>
    <w:rsid w:val="00AB1A9B"/>
    <w:rsid w:val="00AB1F98"/>
    <w:rsid w:val="00AB2373"/>
    <w:rsid w:val="00AB4D40"/>
    <w:rsid w:val="00AB6814"/>
    <w:rsid w:val="00AB77D8"/>
    <w:rsid w:val="00AC03BA"/>
    <w:rsid w:val="00AC04BA"/>
    <w:rsid w:val="00AC0E39"/>
    <w:rsid w:val="00AC112B"/>
    <w:rsid w:val="00AC197F"/>
    <w:rsid w:val="00AC1D9D"/>
    <w:rsid w:val="00AC2393"/>
    <w:rsid w:val="00AC4167"/>
    <w:rsid w:val="00AC4C11"/>
    <w:rsid w:val="00AC52AC"/>
    <w:rsid w:val="00AC65A4"/>
    <w:rsid w:val="00AD2812"/>
    <w:rsid w:val="00AD3082"/>
    <w:rsid w:val="00AD32B4"/>
    <w:rsid w:val="00AD4A91"/>
    <w:rsid w:val="00AD4AD0"/>
    <w:rsid w:val="00AD5436"/>
    <w:rsid w:val="00AD60CD"/>
    <w:rsid w:val="00AD628E"/>
    <w:rsid w:val="00AD6616"/>
    <w:rsid w:val="00AD6C8C"/>
    <w:rsid w:val="00AE091D"/>
    <w:rsid w:val="00AE0C3D"/>
    <w:rsid w:val="00AE21EB"/>
    <w:rsid w:val="00AE3945"/>
    <w:rsid w:val="00AE3B60"/>
    <w:rsid w:val="00AE472C"/>
    <w:rsid w:val="00AE4AD2"/>
    <w:rsid w:val="00AE4B4B"/>
    <w:rsid w:val="00AE53A1"/>
    <w:rsid w:val="00AE5EE9"/>
    <w:rsid w:val="00AE67D0"/>
    <w:rsid w:val="00AF0FDD"/>
    <w:rsid w:val="00AF1587"/>
    <w:rsid w:val="00AF2484"/>
    <w:rsid w:val="00AF2970"/>
    <w:rsid w:val="00AF2D32"/>
    <w:rsid w:val="00AF3F0E"/>
    <w:rsid w:val="00AF443F"/>
    <w:rsid w:val="00AF4D30"/>
    <w:rsid w:val="00AF58A9"/>
    <w:rsid w:val="00AF5CFF"/>
    <w:rsid w:val="00AF63E7"/>
    <w:rsid w:val="00AF6841"/>
    <w:rsid w:val="00AF6E17"/>
    <w:rsid w:val="00B0165D"/>
    <w:rsid w:val="00B01B60"/>
    <w:rsid w:val="00B031F3"/>
    <w:rsid w:val="00B052A4"/>
    <w:rsid w:val="00B10ACC"/>
    <w:rsid w:val="00B125DE"/>
    <w:rsid w:val="00B12CA4"/>
    <w:rsid w:val="00B13FDD"/>
    <w:rsid w:val="00B149B1"/>
    <w:rsid w:val="00B14CC8"/>
    <w:rsid w:val="00B157A5"/>
    <w:rsid w:val="00B16862"/>
    <w:rsid w:val="00B204BC"/>
    <w:rsid w:val="00B209B9"/>
    <w:rsid w:val="00B214E7"/>
    <w:rsid w:val="00B215DE"/>
    <w:rsid w:val="00B226F2"/>
    <w:rsid w:val="00B22DF1"/>
    <w:rsid w:val="00B22E61"/>
    <w:rsid w:val="00B22EB2"/>
    <w:rsid w:val="00B27442"/>
    <w:rsid w:val="00B279FA"/>
    <w:rsid w:val="00B27DF9"/>
    <w:rsid w:val="00B31167"/>
    <w:rsid w:val="00B31D7A"/>
    <w:rsid w:val="00B329D8"/>
    <w:rsid w:val="00B32BB9"/>
    <w:rsid w:val="00B32BE6"/>
    <w:rsid w:val="00B33519"/>
    <w:rsid w:val="00B33AE1"/>
    <w:rsid w:val="00B34AF7"/>
    <w:rsid w:val="00B3659E"/>
    <w:rsid w:val="00B37C38"/>
    <w:rsid w:val="00B410F0"/>
    <w:rsid w:val="00B41508"/>
    <w:rsid w:val="00B4288C"/>
    <w:rsid w:val="00B42C32"/>
    <w:rsid w:val="00B42E2E"/>
    <w:rsid w:val="00B43262"/>
    <w:rsid w:val="00B432B6"/>
    <w:rsid w:val="00B44100"/>
    <w:rsid w:val="00B44FEA"/>
    <w:rsid w:val="00B45322"/>
    <w:rsid w:val="00B46CBA"/>
    <w:rsid w:val="00B46F94"/>
    <w:rsid w:val="00B525D1"/>
    <w:rsid w:val="00B52D2E"/>
    <w:rsid w:val="00B531C9"/>
    <w:rsid w:val="00B53270"/>
    <w:rsid w:val="00B53A5F"/>
    <w:rsid w:val="00B5679D"/>
    <w:rsid w:val="00B56DDB"/>
    <w:rsid w:val="00B6003C"/>
    <w:rsid w:val="00B60B26"/>
    <w:rsid w:val="00B61F03"/>
    <w:rsid w:val="00B620D5"/>
    <w:rsid w:val="00B626E4"/>
    <w:rsid w:val="00B632CC"/>
    <w:rsid w:val="00B67074"/>
    <w:rsid w:val="00B678E9"/>
    <w:rsid w:val="00B70A5D"/>
    <w:rsid w:val="00B70E9E"/>
    <w:rsid w:val="00B72F4A"/>
    <w:rsid w:val="00B73A61"/>
    <w:rsid w:val="00B75357"/>
    <w:rsid w:val="00B767A8"/>
    <w:rsid w:val="00B76C58"/>
    <w:rsid w:val="00B803D0"/>
    <w:rsid w:val="00B8120E"/>
    <w:rsid w:val="00B81B6C"/>
    <w:rsid w:val="00B83C27"/>
    <w:rsid w:val="00B84A8C"/>
    <w:rsid w:val="00B84BC3"/>
    <w:rsid w:val="00B84BDD"/>
    <w:rsid w:val="00B85163"/>
    <w:rsid w:val="00B907BE"/>
    <w:rsid w:val="00B919DB"/>
    <w:rsid w:val="00B925E6"/>
    <w:rsid w:val="00B92812"/>
    <w:rsid w:val="00B93348"/>
    <w:rsid w:val="00B93BF7"/>
    <w:rsid w:val="00B93D53"/>
    <w:rsid w:val="00B94036"/>
    <w:rsid w:val="00B95999"/>
    <w:rsid w:val="00BA00A8"/>
    <w:rsid w:val="00BA0BFB"/>
    <w:rsid w:val="00BA2AA8"/>
    <w:rsid w:val="00BA35EB"/>
    <w:rsid w:val="00BA4D6A"/>
    <w:rsid w:val="00BA6355"/>
    <w:rsid w:val="00BA6B82"/>
    <w:rsid w:val="00BB3C93"/>
    <w:rsid w:val="00BB45A1"/>
    <w:rsid w:val="00BB45E7"/>
    <w:rsid w:val="00BB5032"/>
    <w:rsid w:val="00BB5F54"/>
    <w:rsid w:val="00BB6B7D"/>
    <w:rsid w:val="00BB71B1"/>
    <w:rsid w:val="00BB7686"/>
    <w:rsid w:val="00BB78F8"/>
    <w:rsid w:val="00BC095A"/>
    <w:rsid w:val="00BC148D"/>
    <w:rsid w:val="00BC23F9"/>
    <w:rsid w:val="00BC3421"/>
    <w:rsid w:val="00BC5B00"/>
    <w:rsid w:val="00BC732C"/>
    <w:rsid w:val="00BD0D60"/>
    <w:rsid w:val="00BD1580"/>
    <w:rsid w:val="00BD1B02"/>
    <w:rsid w:val="00BD1ED7"/>
    <w:rsid w:val="00BD2F0D"/>
    <w:rsid w:val="00BD5095"/>
    <w:rsid w:val="00BE0BAB"/>
    <w:rsid w:val="00BE1AF6"/>
    <w:rsid w:val="00BE2580"/>
    <w:rsid w:val="00BE266D"/>
    <w:rsid w:val="00BE3938"/>
    <w:rsid w:val="00BE3F15"/>
    <w:rsid w:val="00BE4C11"/>
    <w:rsid w:val="00BE71C0"/>
    <w:rsid w:val="00BE71D9"/>
    <w:rsid w:val="00BF06DC"/>
    <w:rsid w:val="00BF0A4A"/>
    <w:rsid w:val="00BF1357"/>
    <w:rsid w:val="00BF1D3F"/>
    <w:rsid w:val="00BF2239"/>
    <w:rsid w:val="00BF2DC2"/>
    <w:rsid w:val="00BF5CB0"/>
    <w:rsid w:val="00BF610C"/>
    <w:rsid w:val="00C0060B"/>
    <w:rsid w:val="00C0165A"/>
    <w:rsid w:val="00C0277D"/>
    <w:rsid w:val="00C04B69"/>
    <w:rsid w:val="00C04C31"/>
    <w:rsid w:val="00C053A1"/>
    <w:rsid w:val="00C07522"/>
    <w:rsid w:val="00C10361"/>
    <w:rsid w:val="00C11C3B"/>
    <w:rsid w:val="00C11D62"/>
    <w:rsid w:val="00C121BF"/>
    <w:rsid w:val="00C12D84"/>
    <w:rsid w:val="00C14A22"/>
    <w:rsid w:val="00C14B13"/>
    <w:rsid w:val="00C15FEE"/>
    <w:rsid w:val="00C16198"/>
    <w:rsid w:val="00C1637D"/>
    <w:rsid w:val="00C177D8"/>
    <w:rsid w:val="00C178B3"/>
    <w:rsid w:val="00C2083D"/>
    <w:rsid w:val="00C2312F"/>
    <w:rsid w:val="00C23B64"/>
    <w:rsid w:val="00C24835"/>
    <w:rsid w:val="00C24A53"/>
    <w:rsid w:val="00C265AC"/>
    <w:rsid w:val="00C27435"/>
    <w:rsid w:val="00C309CC"/>
    <w:rsid w:val="00C324E2"/>
    <w:rsid w:val="00C32AC2"/>
    <w:rsid w:val="00C32B43"/>
    <w:rsid w:val="00C32C77"/>
    <w:rsid w:val="00C331DE"/>
    <w:rsid w:val="00C3440E"/>
    <w:rsid w:val="00C345EC"/>
    <w:rsid w:val="00C34895"/>
    <w:rsid w:val="00C34A05"/>
    <w:rsid w:val="00C34A3A"/>
    <w:rsid w:val="00C3505B"/>
    <w:rsid w:val="00C35689"/>
    <w:rsid w:val="00C360DF"/>
    <w:rsid w:val="00C3683D"/>
    <w:rsid w:val="00C37A11"/>
    <w:rsid w:val="00C4032F"/>
    <w:rsid w:val="00C41F4A"/>
    <w:rsid w:val="00C42976"/>
    <w:rsid w:val="00C42BEB"/>
    <w:rsid w:val="00C42C8B"/>
    <w:rsid w:val="00C4346D"/>
    <w:rsid w:val="00C44047"/>
    <w:rsid w:val="00C45155"/>
    <w:rsid w:val="00C461F2"/>
    <w:rsid w:val="00C509FC"/>
    <w:rsid w:val="00C51648"/>
    <w:rsid w:val="00C51AC8"/>
    <w:rsid w:val="00C520E6"/>
    <w:rsid w:val="00C526C6"/>
    <w:rsid w:val="00C5498F"/>
    <w:rsid w:val="00C55235"/>
    <w:rsid w:val="00C56CB7"/>
    <w:rsid w:val="00C57C3E"/>
    <w:rsid w:val="00C609D4"/>
    <w:rsid w:val="00C62EA4"/>
    <w:rsid w:val="00C6334C"/>
    <w:rsid w:val="00C64CD0"/>
    <w:rsid w:val="00C64D60"/>
    <w:rsid w:val="00C6684F"/>
    <w:rsid w:val="00C70E70"/>
    <w:rsid w:val="00C72E66"/>
    <w:rsid w:val="00C74ACA"/>
    <w:rsid w:val="00C75B2E"/>
    <w:rsid w:val="00C75B9C"/>
    <w:rsid w:val="00C75F8D"/>
    <w:rsid w:val="00C7686A"/>
    <w:rsid w:val="00C76A42"/>
    <w:rsid w:val="00C77380"/>
    <w:rsid w:val="00C8012B"/>
    <w:rsid w:val="00C81405"/>
    <w:rsid w:val="00C8183A"/>
    <w:rsid w:val="00C81F3A"/>
    <w:rsid w:val="00C828BF"/>
    <w:rsid w:val="00C849D5"/>
    <w:rsid w:val="00C87691"/>
    <w:rsid w:val="00C87D6D"/>
    <w:rsid w:val="00C90BFD"/>
    <w:rsid w:val="00C92FA2"/>
    <w:rsid w:val="00C93C7F"/>
    <w:rsid w:val="00C941E5"/>
    <w:rsid w:val="00C953DC"/>
    <w:rsid w:val="00C95F63"/>
    <w:rsid w:val="00C96CDA"/>
    <w:rsid w:val="00C97736"/>
    <w:rsid w:val="00C97738"/>
    <w:rsid w:val="00CA0158"/>
    <w:rsid w:val="00CA0C03"/>
    <w:rsid w:val="00CA1538"/>
    <w:rsid w:val="00CA329A"/>
    <w:rsid w:val="00CA345A"/>
    <w:rsid w:val="00CA5C21"/>
    <w:rsid w:val="00CB1BF8"/>
    <w:rsid w:val="00CB1E82"/>
    <w:rsid w:val="00CB2E90"/>
    <w:rsid w:val="00CB4ADE"/>
    <w:rsid w:val="00CB4BA8"/>
    <w:rsid w:val="00CB52D7"/>
    <w:rsid w:val="00CB572C"/>
    <w:rsid w:val="00CB768B"/>
    <w:rsid w:val="00CC201A"/>
    <w:rsid w:val="00CC6405"/>
    <w:rsid w:val="00CC6732"/>
    <w:rsid w:val="00CC6A0A"/>
    <w:rsid w:val="00CD0F2F"/>
    <w:rsid w:val="00CD2EF2"/>
    <w:rsid w:val="00CD74A9"/>
    <w:rsid w:val="00CE0E00"/>
    <w:rsid w:val="00CE3A67"/>
    <w:rsid w:val="00CE3C96"/>
    <w:rsid w:val="00CE51A8"/>
    <w:rsid w:val="00CE55E9"/>
    <w:rsid w:val="00CE64DE"/>
    <w:rsid w:val="00CE7EAC"/>
    <w:rsid w:val="00CF10E0"/>
    <w:rsid w:val="00CF21C0"/>
    <w:rsid w:val="00CF223B"/>
    <w:rsid w:val="00CF369B"/>
    <w:rsid w:val="00CF4F1B"/>
    <w:rsid w:val="00CF61D9"/>
    <w:rsid w:val="00D00E28"/>
    <w:rsid w:val="00D021BF"/>
    <w:rsid w:val="00D0261E"/>
    <w:rsid w:val="00D0269E"/>
    <w:rsid w:val="00D05BEF"/>
    <w:rsid w:val="00D05D6C"/>
    <w:rsid w:val="00D05FCC"/>
    <w:rsid w:val="00D0640C"/>
    <w:rsid w:val="00D11307"/>
    <w:rsid w:val="00D12737"/>
    <w:rsid w:val="00D1304F"/>
    <w:rsid w:val="00D144A6"/>
    <w:rsid w:val="00D14FDB"/>
    <w:rsid w:val="00D15810"/>
    <w:rsid w:val="00D16976"/>
    <w:rsid w:val="00D16D4E"/>
    <w:rsid w:val="00D16FE3"/>
    <w:rsid w:val="00D172A0"/>
    <w:rsid w:val="00D23BDA"/>
    <w:rsid w:val="00D2724B"/>
    <w:rsid w:val="00D27F41"/>
    <w:rsid w:val="00D32CA3"/>
    <w:rsid w:val="00D33221"/>
    <w:rsid w:val="00D33694"/>
    <w:rsid w:val="00D355DD"/>
    <w:rsid w:val="00D36441"/>
    <w:rsid w:val="00D36CC6"/>
    <w:rsid w:val="00D36D47"/>
    <w:rsid w:val="00D4038C"/>
    <w:rsid w:val="00D4064E"/>
    <w:rsid w:val="00D4070B"/>
    <w:rsid w:val="00D41F72"/>
    <w:rsid w:val="00D4232A"/>
    <w:rsid w:val="00D4254E"/>
    <w:rsid w:val="00D42ECA"/>
    <w:rsid w:val="00D43A6C"/>
    <w:rsid w:val="00D43CDA"/>
    <w:rsid w:val="00D44E9B"/>
    <w:rsid w:val="00D45506"/>
    <w:rsid w:val="00D45F38"/>
    <w:rsid w:val="00D4624F"/>
    <w:rsid w:val="00D464F2"/>
    <w:rsid w:val="00D47AEB"/>
    <w:rsid w:val="00D50DB9"/>
    <w:rsid w:val="00D51302"/>
    <w:rsid w:val="00D52C43"/>
    <w:rsid w:val="00D56693"/>
    <w:rsid w:val="00D56872"/>
    <w:rsid w:val="00D577DD"/>
    <w:rsid w:val="00D57F3D"/>
    <w:rsid w:val="00D60389"/>
    <w:rsid w:val="00D60863"/>
    <w:rsid w:val="00D61672"/>
    <w:rsid w:val="00D617E1"/>
    <w:rsid w:val="00D62966"/>
    <w:rsid w:val="00D642D3"/>
    <w:rsid w:val="00D6507F"/>
    <w:rsid w:val="00D65954"/>
    <w:rsid w:val="00D66192"/>
    <w:rsid w:val="00D6632F"/>
    <w:rsid w:val="00D678C0"/>
    <w:rsid w:val="00D70E77"/>
    <w:rsid w:val="00D71102"/>
    <w:rsid w:val="00D72702"/>
    <w:rsid w:val="00D730BC"/>
    <w:rsid w:val="00D73912"/>
    <w:rsid w:val="00D75E70"/>
    <w:rsid w:val="00D76366"/>
    <w:rsid w:val="00D7708A"/>
    <w:rsid w:val="00D808AC"/>
    <w:rsid w:val="00D80D0A"/>
    <w:rsid w:val="00D835BD"/>
    <w:rsid w:val="00D85226"/>
    <w:rsid w:val="00D87B94"/>
    <w:rsid w:val="00D91506"/>
    <w:rsid w:val="00D92144"/>
    <w:rsid w:val="00D92413"/>
    <w:rsid w:val="00D92AD2"/>
    <w:rsid w:val="00D92D49"/>
    <w:rsid w:val="00D92EC1"/>
    <w:rsid w:val="00D936D7"/>
    <w:rsid w:val="00D94A30"/>
    <w:rsid w:val="00D96DEA"/>
    <w:rsid w:val="00DA1FAE"/>
    <w:rsid w:val="00DA2A78"/>
    <w:rsid w:val="00DA400D"/>
    <w:rsid w:val="00DA4E41"/>
    <w:rsid w:val="00DA4F0D"/>
    <w:rsid w:val="00DA738E"/>
    <w:rsid w:val="00DB07A9"/>
    <w:rsid w:val="00DB117A"/>
    <w:rsid w:val="00DB3521"/>
    <w:rsid w:val="00DB3593"/>
    <w:rsid w:val="00DB3B55"/>
    <w:rsid w:val="00DB5173"/>
    <w:rsid w:val="00DB56B8"/>
    <w:rsid w:val="00DB5EB0"/>
    <w:rsid w:val="00DB7873"/>
    <w:rsid w:val="00DC0512"/>
    <w:rsid w:val="00DC187B"/>
    <w:rsid w:val="00DC1F47"/>
    <w:rsid w:val="00DC2287"/>
    <w:rsid w:val="00DC3519"/>
    <w:rsid w:val="00DC3C5C"/>
    <w:rsid w:val="00DC3EC6"/>
    <w:rsid w:val="00DC43E7"/>
    <w:rsid w:val="00DC4A48"/>
    <w:rsid w:val="00DD04C2"/>
    <w:rsid w:val="00DD1A43"/>
    <w:rsid w:val="00DD1A53"/>
    <w:rsid w:val="00DD1B8E"/>
    <w:rsid w:val="00DD216E"/>
    <w:rsid w:val="00DD3B30"/>
    <w:rsid w:val="00DD3DE0"/>
    <w:rsid w:val="00DD412B"/>
    <w:rsid w:val="00DD4A91"/>
    <w:rsid w:val="00DD6980"/>
    <w:rsid w:val="00DD73C2"/>
    <w:rsid w:val="00DD7B47"/>
    <w:rsid w:val="00DE13E7"/>
    <w:rsid w:val="00DE28E5"/>
    <w:rsid w:val="00DE2B1A"/>
    <w:rsid w:val="00DE2BEA"/>
    <w:rsid w:val="00DE2F32"/>
    <w:rsid w:val="00DE319B"/>
    <w:rsid w:val="00DE3F37"/>
    <w:rsid w:val="00DE5893"/>
    <w:rsid w:val="00DE6629"/>
    <w:rsid w:val="00DF038C"/>
    <w:rsid w:val="00DF0CDF"/>
    <w:rsid w:val="00DF34FE"/>
    <w:rsid w:val="00DF56AA"/>
    <w:rsid w:val="00DF56AF"/>
    <w:rsid w:val="00DF78E7"/>
    <w:rsid w:val="00DF79AE"/>
    <w:rsid w:val="00E005AB"/>
    <w:rsid w:val="00E0159C"/>
    <w:rsid w:val="00E01844"/>
    <w:rsid w:val="00E0268A"/>
    <w:rsid w:val="00E026C4"/>
    <w:rsid w:val="00E02921"/>
    <w:rsid w:val="00E02FF4"/>
    <w:rsid w:val="00E03214"/>
    <w:rsid w:val="00E0713B"/>
    <w:rsid w:val="00E110E0"/>
    <w:rsid w:val="00E1164E"/>
    <w:rsid w:val="00E11835"/>
    <w:rsid w:val="00E12852"/>
    <w:rsid w:val="00E15371"/>
    <w:rsid w:val="00E161CB"/>
    <w:rsid w:val="00E17E6F"/>
    <w:rsid w:val="00E219E2"/>
    <w:rsid w:val="00E2278B"/>
    <w:rsid w:val="00E2316C"/>
    <w:rsid w:val="00E23A06"/>
    <w:rsid w:val="00E23A0A"/>
    <w:rsid w:val="00E23B72"/>
    <w:rsid w:val="00E24104"/>
    <w:rsid w:val="00E24EF3"/>
    <w:rsid w:val="00E24F7C"/>
    <w:rsid w:val="00E2558B"/>
    <w:rsid w:val="00E268A6"/>
    <w:rsid w:val="00E302D0"/>
    <w:rsid w:val="00E31054"/>
    <w:rsid w:val="00E31663"/>
    <w:rsid w:val="00E32259"/>
    <w:rsid w:val="00E343B5"/>
    <w:rsid w:val="00E34B9A"/>
    <w:rsid w:val="00E35707"/>
    <w:rsid w:val="00E35D7D"/>
    <w:rsid w:val="00E36AA1"/>
    <w:rsid w:val="00E3743C"/>
    <w:rsid w:val="00E377C9"/>
    <w:rsid w:val="00E37937"/>
    <w:rsid w:val="00E37D5C"/>
    <w:rsid w:val="00E41ECB"/>
    <w:rsid w:val="00E429EC"/>
    <w:rsid w:val="00E46977"/>
    <w:rsid w:val="00E524D1"/>
    <w:rsid w:val="00E5284E"/>
    <w:rsid w:val="00E52F15"/>
    <w:rsid w:val="00E52F6B"/>
    <w:rsid w:val="00E536E5"/>
    <w:rsid w:val="00E54FDB"/>
    <w:rsid w:val="00E55E13"/>
    <w:rsid w:val="00E5617D"/>
    <w:rsid w:val="00E563D7"/>
    <w:rsid w:val="00E57BE3"/>
    <w:rsid w:val="00E624D0"/>
    <w:rsid w:val="00E62CF3"/>
    <w:rsid w:val="00E639FE"/>
    <w:rsid w:val="00E63BDB"/>
    <w:rsid w:val="00E63FCB"/>
    <w:rsid w:val="00E646C1"/>
    <w:rsid w:val="00E657E3"/>
    <w:rsid w:val="00E65AB5"/>
    <w:rsid w:val="00E65FD4"/>
    <w:rsid w:val="00E66347"/>
    <w:rsid w:val="00E663F4"/>
    <w:rsid w:val="00E666F2"/>
    <w:rsid w:val="00E66B2A"/>
    <w:rsid w:val="00E66C91"/>
    <w:rsid w:val="00E66DD4"/>
    <w:rsid w:val="00E7017B"/>
    <w:rsid w:val="00E73065"/>
    <w:rsid w:val="00E746BB"/>
    <w:rsid w:val="00E748CC"/>
    <w:rsid w:val="00E75415"/>
    <w:rsid w:val="00E775B1"/>
    <w:rsid w:val="00E778F7"/>
    <w:rsid w:val="00E8152A"/>
    <w:rsid w:val="00E82166"/>
    <w:rsid w:val="00E83261"/>
    <w:rsid w:val="00E84406"/>
    <w:rsid w:val="00E84D4B"/>
    <w:rsid w:val="00E86529"/>
    <w:rsid w:val="00E86E9D"/>
    <w:rsid w:val="00E91936"/>
    <w:rsid w:val="00E91F90"/>
    <w:rsid w:val="00E928B3"/>
    <w:rsid w:val="00E93629"/>
    <w:rsid w:val="00E93B5C"/>
    <w:rsid w:val="00E94088"/>
    <w:rsid w:val="00E9410A"/>
    <w:rsid w:val="00E941B4"/>
    <w:rsid w:val="00E945D4"/>
    <w:rsid w:val="00E94C74"/>
    <w:rsid w:val="00E94CEC"/>
    <w:rsid w:val="00EA04EF"/>
    <w:rsid w:val="00EA0F3B"/>
    <w:rsid w:val="00EA19DE"/>
    <w:rsid w:val="00EA1C7F"/>
    <w:rsid w:val="00EA2C69"/>
    <w:rsid w:val="00EA3989"/>
    <w:rsid w:val="00EA666C"/>
    <w:rsid w:val="00EA6B38"/>
    <w:rsid w:val="00EA6F19"/>
    <w:rsid w:val="00EA70AB"/>
    <w:rsid w:val="00EA7A8C"/>
    <w:rsid w:val="00EB0F01"/>
    <w:rsid w:val="00EB1D8E"/>
    <w:rsid w:val="00EB37F8"/>
    <w:rsid w:val="00EB404F"/>
    <w:rsid w:val="00EB4402"/>
    <w:rsid w:val="00EB4885"/>
    <w:rsid w:val="00EB6216"/>
    <w:rsid w:val="00EB7090"/>
    <w:rsid w:val="00EB7344"/>
    <w:rsid w:val="00EB73D6"/>
    <w:rsid w:val="00EB7ABC"/>
    <w:rsid w:val="00EC07AD"/>
    <w:rsid w:val="00EC19A0"/>
    <w:rsid w:val="00EC1BBE"/>
    <w:rsid w:val="00EC2233"/>
    <w:rsid w:val="00EC2C03"/>
    <w:rsid w:val="00EC320F"/>
    <w:rsid w:val="00EC5A72"/>
    <w:rsid w:val="00EC5CD7"/>
    <w:rsid w:val="00EC62C3"/>
    <w:rsid w:val="00EC692D"/>
    <w:rsid w:val="00ED092B"/>
    <w:rsid w:val="00ED1096"/>
    <w:rsid w:val="00ED1E39"/>
    <w:rsid w:val="00ED3C6D"/>
    <w:rsid w:val="00ED5687"/>
    <w:rsid w:val="00ED65DD"/>
    <w:rsid w:val="00ED71A1"/>
    <w:rsid w:val="00ED72C4"/>
    <w:rsid w:val="00EE1B2D"/>
    <w:rsid w:val="00EE2EAD"/>
    <w:rsid w:val="00EE37E0"/>
    <w:rsid w:val="00EE43C6"/>
    <w:rsid w:val="00EE4624"/>
    <w:rsid w:val="00EE5FB3"/>
    <w:rsid w:val="00EE625A"/>
    <w:rsid w:val="00EE72F1"/>
    <w:rsid w:val="00EE7F79"/>
    <w:rsid w:val="00EF0221"/>
    <w:rsid w:val="00EF1AED"/>
    <w:rsid w:val="00EF1BDC"/>
    <w:rsid w:val="00EF4830"/>
    <w:rsid w:val="00EF65AF"/>
    <w:rsid w:val="00EF6A59"/>
    <w:rsid w:val="00EF715A"/>
    <w:rsid w:val="00EF717B"/>
    <w:rsid w:val="00EF71F3"/>
    <w:rsid w:val="00EF7E3E"/>
    <w:rsid w:val="00F0290E"/>
    <w:rsid w:val="00F02B07"/>
    <w:rsid w:val="00F0327E"/>
    <w:rsid w:val="00F04B0E"/>
    <w:rsid w:val="00F05B02"/>
    <w:rsid w:val="00F0600B"/>
    <w:rsid w:val="00F064E6"/>
    <w:rsid w:val="00F06AA7"/>
    <w:rsid w:val="00F06D48"/>
    <w:rsid w:val="00F06E14"/>
    <w:rsid w:val="00F06F5D"/>
    <w:rsid w:val="00F07D1F"/>
    <w:rsid w:val="00F07EBC"/>
    <w:rsid w:val="00F101D4"/>
    <w:rsid w:val="00F1055A"/>
    <w:rsid w:val="00F10679"/>
    <w:rsid w:val="00F107D9"/>
    <w:rsid w:val="00F1155A"/>
    <w:rsid w:val="00F1494F"/>
    <w:rsid w:val="00F14B5A"/>
    <w:rsid w:val="00F14F94"/>
    <w:rsid w:val="00F15704"/>
    <w:rsid w:val="00F167AC"/>
    <w:rsid w:val="00F179D4"/>
    <w:rsid w:val="00F213E0"/>
    <w:rsid w:val="00F232FA"/>
    <w:rsid w:val="00F2359F"/>
    <w:rsid w:val="00F23B38"/>
    <w:rsid w:val="00F258C8"/>
    <w:rsid w:val="00F26185"/>
    <w:rsid w:val="00F27AEE"/>
    <w:rsid w:val="00F30462"/>
    <w:rsid w:val="00F30F57"/>
    <w:rsid w:val="00F317D9"/>
    <w:rsid w:val="00F32ADB"/>
    <w:rsid w:val="00F334E4"/>
    <w:rsid w:val="00F33873"/>
    <w:rsid w:val="00F33C56"/>
    <w:rsid w:val="00F347C7"/>
    <w:rsid w:val="00F34848"/>
    <w:rsid w:val="00F35352"/>
    <w:rsid w:val="00F3555F"/>
    <w:rsid w:val="00F368C1"/>
    <w:rsid w:val="00F369D5"/>
    <w:rsid w:val="00F375EC"/>
    <w:rsid w:val="00F37FF3"/>
    <w:rsid w:val="00F41205"/>
    <w:rsid w:val="00F413B5"/>
    <w:rsid w:val="00F41C6F"/>
    <w:rsid w:val="00F4218B"/>
    <w:rsid w:val="00F42D46"/>
    <w:rsid w:val="00F42DE5"/>
    <w:rsid w:val="00F4496C"/>
    <w:rsid w:val="00F44E0E"/>
    <w:rsid w:val="00F44F3A"/>
    <w:rsid w:val="00F46B7A"/>
    <w:rsid w:val="00F472C7"/>
    <w:rsid w:val="00F47F09"/>
    <w:rsid w:val="00F51F10"/>
    <w:rsid w:val="00F529A5"/>
    <w:rsid w:val="00F54AB3"/>
    <w:rsid w:val="00F55907"/>
    <w:rsid w:val="00F56379"/>
    <w:rsid w:val="00F60F00"/>
    <w:rsid w:val="00F614C0"/>
    <w:rsid w:val="00F633DD"/>
    <w:rsid w:val="00F64AF6"/>
    <w:rsid w:val="00F657B1"/>
    <w:rsid w:val="00F65C49"/>
    <w:rsid w:val="00F67114"/>
    <w:rsid w:val="00F707B6"/>
    <w:rsid w:val="00F74EED"/>
    <w:rsid w:val="00F750B9"/>
    <w:rsid w:val="00F75290"/>
    <w:rsid w:val="00F77839"/>
    <w:rsid w:val="00F806FA"/>
    <w:rsid w:val="00F8175C"/>
    <w:rsid w:val="00F82576"/>
    <w:rsid w:val="00F83130"/>
    <w:rsid w:val="00F833AF"/>
    <w:rsid w:val="00F83419"/>
    <w:rsid w:val="00F83848"/>
    <w:rsid w:val="00F84101"/>
    <w:rsid w:val="00F84B0A"/>
    <w:rsid w:val="00F85058"/>
    <w:rsid w:val="00F868C2"/>
    <w:rsid w:val="00F86B25"/>
    <w:rsid w:val="00F870EA"/>
    <w:rsid w:val="00F90307"/>
    <w:rsid w:val="00F9190D"/>
    <w:rsid w:val="00F91F88"/>
    <w:rsid w:val="00F928D1"/>
    <w:rsid w:val="00F933FD"/>
    <w:rsid w:val="00F93528"/>
    <w:rsid w:val="00F96EE9"/>
    <w:rsid w:val="00F970F9"/>
    <w:rsid w:val="00F975E9"/>
    <w:rsid w:val="00FA0CD0"/>
    <w:rsid w:val="00FA0D66"/>
    <w:rsid w:val="00FA18C1"/>
    <w:rsid w:val="00FA1B7D"/>
    <w:rsid w:val="00FA3784"/>
    <w:rsid w:val="00FA3A8E"/>
    <w:rsid w:val="00FA49FB"/>
    <w:rsid w:val="00FA4D0A"/>
    <w:rsid w:val="00FA649E"/>
    <w:rsid w:val="00FB22A0"/>
    <w:rsid w:val="00FB2588"/>
    <w:rsid w:val="00FB321E"/>
    <w:rsid w:val="00FB3E67"/>
    <w:rsid w:val="00FB5400"/>
    <w:rsid w:val="00FC07B9"/>
    <w:rsid w:val="00FC12D3"/>
    <w:rsid w:val="00FC1A31"/>
    <w:rsid w:val="00FC2175"/>
    <w:rsid w:val="00FC247E"/>
    <w:rsid w:val="00FC4259"/>
    <w:rsid w:val="00FC496E"/>
    <w:rsid w:val="00FC4E21"/>
    <w:rsid w:val="00FC5226"/>
    <w:rsid w:val="00FC5F6D"/>
    <w:rsid w:val="00FC753E"/>
    <w:rsid w:val="00FC7B08"/>
    <w:rsid w:val="00FD0107"/>
    <w:rsid w:val="00FD2948"/>
    <w:rsid w:val="00FD2C2F"/>
    <w:rsid w:val="00FD3B31"/>
    <w:rsid w:val="00FD68C4"/>
    <w:rsid w:val="00FD68C8"/>
    <w:rsid w:val="00FD7C2C"/>
    <w:rsid w:val="00FE012B"/>
    <w:rsid w:val="00FE022B"/>
    <w:rsid w:val="00FE061C"/>
    <w:rsid w:val="00FE1823"/>
    <w:rsid w:val="00FE2520"/>
    <w:rsid w:val="00FE487A"/>
    <w:rsid w:val="00FE5126"/>
    <w:rsid w:val="00FE61CE"/>
    <w:rsid w:val="00FF0569"/>
    <w:rsid w:val="00FF1CEF"/>
    <w:rsid w:val="00FF206E"/>
    <w:rsid w:val="00FF23CF"/>
    <w:rsid w:val="00FF3C69"/>
    <w:rsid w:val="00FF6038"/>
    <w:rsid w:val="00FF6A58"/>
    <w:rsid w:val="00FF6E0A"/>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red,#4d4d4f"/>
    </o:shapedefaults>
    <o:shapelayout v:ext="edit">
      <o:idmap v:ext="edit" data="1"/>
    </o:shapelayout>
  </w:shapeDefaults>
  <w:decimalSymbol w:val="."/>
  <w:listSeparator w:val=","/>
  <w14:docId w14:val="4D16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link w:val="ListBulletChar"/>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184BF7"/>
    <w:pPr>
      <w:framePr w:w="1440" w:h="357" w:hRule="exact" w:vSpace="425" w:wrap="around" w:vAnchor="page" w:hAnchor="page" w:x="1141" w:y="16166"/>
      <w:pBdr>
        <w:top w:val="single" w:sz="4" w:space="1" w:color="auto"/>
      </w:pBdr>
      <w:tabs>
        <w:tab w:val="clear" w:pos="113"/>
        <w:tab w:val="right" w:pos="397"/>
      </w:tabs>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aliases w:val="Normal bullet 2,Bullet list,List Paragraph1,Numbered List,1st level - Bullet List Paragraph,Lettre d'introduction"/>
    <w:basedOn w:val="Normal"/>
    <w:link w:val="ListParagraphChar"/>
    <w:uiPriority w:val="34"/>
    <w:qFormat/>
    <w:rsid w:val="009129B5"/>
    <w:pPr>
      <w:ind w:left="720"/>
      <w:contextualSpacing/>
    </w:pPr>
  </w:style>
  <w:style w:type="character" w:customStyle="1" w:styleId="ListParagraphChar">
    <w:name w:val="List Paragraph Char"/>
    <w:aliases w:val="Normal bullet 2 Char,Bullet list Char,List Paragraph1 Char,Numbered List Char,1st level - Bullet List Paragraph Char,Lettre d'introduction Char"/>
    <w:basedOn w:val="DefaultParagraphFont"/>
    <w:link w:val="ListParagraph"/>
    <w:uiPriority w:val="34"/>
    <w:rsid w:val="009129B5"/>
    <w:rPr>
      <w:rFonts w:ascii="Arial" w:hAnsi="Arial"/>
      <w:sz w:val="20"/>
    </w:rPr>
  </w:style>
  <w:style w:type="paragraph" w:styleId="NoSpacing">
    <w:name w:val="No Spacing"/>
    <w:uiPriority w:val="1"/>
    <w:qFormat/>
    <w:rsid w:val="00121B32"/>
    <w:rPr>
      <w:rFonts w:eastAsia="BatangChe"/>
      <w:lang w:val="en-US" w:eastAsia="en-US"/>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rsid w:val="00896919"/>
    <w:rPr>
      <w:rFonts w:ascii="Arial" w:hAnsi="Arial"/>
      <w:sz w:val="16"/>
      <w:szCs w:val="16"/>
    </w:rPr>
  </w:style>
  <w:style w:type="character" w:customStyle="1" w:styleId="ListBulletChar">
    <w:name w:val="List Bullet Char"/>
    <w:basedOn w:val="DefaultParagraphFont"/>
    <w:link w:val="ListBullet"/>
    <w:rsid w:val="00896919"/>
    <w:rPr>
      <w:rFonts w:ascii="Arial" w:hAnsi="Arial"/>
      <w:sz w:val="20"/>
    </w:rPr>
  </w:style>
  <w:style w:type="paragraph" w:styleId="Revision">
    <w:name w:val="Revision"/>
    <w:hidden/>
    <w:semiHidden/>
    <w:rsid w:val="001A2E3D"/>
    <w:rPr>
      <w:rFonts w:ascii="Arial" w:hAnsi="Arial"/>
      <w:sz w:val="20"/>
    </w:rPr>
  </w:style>
  <w:style w:type="character" w:styleId="UnresolvedMention">
    <w:name w:val="Unresolved Mention"/>
    <w:basedOn w:val="DefaultParagraphFont"/>
    <w:uiPriority w:val="99"/>
    <w:semiHidden/>
    <w:unhideWhenUsed/>
    <w:rsid w:val="00F96EE9"/>
    <w:rPr>
      <w:color w:val="605E5C"/>
      <w:shd w:val="clear" w:color="auto" w:fill="E1DFDD"/>
    </w:rPr>
  </w:style>
  <w:style w:type="character" w:customStyle="1" w:styleId="Heading1Char">
    <w:name w:val="Heading 1 Char"/>
    <w:basedOn w:val="DefaultParagraphFont"/>
    <w:link w:val="Heading1"/>
    <w:rsid w:val="004D0B7F"/>
    <w:rPr>
      <w:rFonts w:ascii="Arial" w:hAnsi="Arial" w:cs="Arial"/>
      <w:bCs/>
      <w:color w:val="323232"/>
      <w:kern w:val="32"/>
      <w:sz w:val="53"/>
      <w:szCs w:val="32"/>
    </w:rPr>
  </w:style>
  <w:style w:type="character" w:customStyle="1" w:styleId="Heading2Char">
    <w:name w:val="Heading 2 Char"/>
    <w:basedOn w:val="DefaultParagraphFont"/>
    <w:link w:val="Heading2"/>
    <w:rsid w:val="004D0B7F"/>
    <w:rPr>
      <w:rFonts w:ascii="Arial" w:hAnsi="Arial"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7422">
      <w:bodyDiv w:val="1"/>
      <w:marLeft w:val="0"/>
      <w:marRight w:val="0"/>
      <w:marTop w:val="0"/>
      <w:marBottom w:val="0"/>
      <w:divBdr>
        <w:top w:val="none" w:sz="0" w:space="0" w:color="auto"/>
        <w:left w:val="none" w:sz="0" w:space="0" w:color="auto"/>
        <w:bottom w:val="none" w:sz="0" w:space="0" w:color="auto"/>
        <w:right w:val="none" w:sz="0" w:space="0" w:color="auto"/>
      </w:divBdr>
    </w:div>
    <w:div w:id="820585497">
      <w:bodyDiv w:val="1"/>
      <w:marLeft w:val="0"/>
      <w:marRight w:val="0"/>
      <w:marTop w:val="0"/>
      <w:marBottom w:val="0"/>
      <w:divBdr>
        <w:top w:val="none" w:sz="0" w:space="0" w:color="auto"/>
        <w:left w:val="none" w:sz="0" w:space="0" w:color="auto"/>
        <w:bottom w:val="none" w:sz="0" w:space="0" w:color="auto"/>
        <w:right w:val="none" w:sz="0" w:space="0" w:color="auto"/>
      </w:divBdr>
    </w:div>
    <w:div w:id="1209955365">
      <w:bodyDiv w:val="1"/>
      <w:marLeft w:val="0"/>
      <w:marRight w:val="0"/>
      <w:marTop w:val="0"/>
      <w:marBottom w:val="0"/>
      <w:divBdr>
        <w:top w:val="none" w:sz="0" w:space="0" w:color="auto"/>
        <w:left w:val="none" w:sz="0" w:space="0" w:color="auto"/>
        <w:bottom w:val="none" w:sz="0" w:space="0" w:color="auto"/>
        <w:right w:val="none" w:sz="0" w:space="0" w:color="auto"/>
      </w:divBdr>
    </w:div>
    <w:div w:id="1423600150">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acma.gov.au/theACMA/About/Corporate/Accountability/privacy-and-consultation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theACMA/proposed-area-wide-apparatus-licence" TargetMode="External"/><Relationship Id="rId33" Type="http://schemas.openxmlformats.org/officeDocument/2006/relationships/hyperlink" Target="mailto:xxx@acma.gov.a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image" Target="media/image4.png"/><Relationship Id="rId32" Type="http://schemas.openxmlformats.org/officeDocument/2006/relationships/hyperlink" Target="http://www.acma.gov.au/theACMA/Consultations/Consultation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image" Target="media/image5.png"/><Relationship Id="rId35" Type="http://schemas.openxmlformats.org/officeDocument/2006/relationships/hyperlink" Target="http://www.acma.gov.au/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cept.org/ecc/groups/ecc/closed-groups/fm-52/client/meeting-documents/" TargetMode="External"/><Relationship Id="rId2" Type="http://schemas.openxmlformats.org/officeDocument/2006/relationships/hyperlink" Target="https://www.erodocdb.dk/document/312" TargetMode="External"/><Relationship Id="rId1" Type="http://schemas.openxmlformats.org/officeDocument/2006/relationships/hyperlink" Target="https://web.acma.gov.au/rrl/register_search.main_page" TargetMode="External"/><Relationship Id="rId4" Type="http://schemas.openxmlformats.org/officeDocument/2006/relationships/hyperlink" Target="https://www.mise.gov.it/index.php/en/2014-06-27-15-06-15/2033594-licensed-shared-access-lsa-pil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584C-2279-4E0C-93C6-0B8EDF38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9292</Words>
  <Characters>52968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2019-08-06T01:10:00Z</dcterms:created>
  <dcterms:modified xsi:type="dcterms:W3CDTF">2019-08-06T21:17:00Z</dcterms:modified>
  <cp:category/>
</cp:coreProperties>
</file>