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Parte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em: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4883C26" w:rsidR="00532CFB" w:rsidRPr="00117E79" w:rsidRDefault="00532CFB" w:rsidP="00876901">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w:t>
      </w:r>
      <w:r w:rsidR="00080052" w:rsidRPr="00117E79">
        <w:rPr>
          <w:sz w:val="24"/>
          <w:szCs w:val="24"/>
          <w:lang w:val="en-US"/>
        </w:rPr>
        <w:t xml:space="preserve">LAN/MAN Standards Committee (LMSC) </w:t>
      </w:r>
      <w:r w:rsidRPr="00117E79">
        <w:rPr>
          <w:sz w:val="24"/>
          <w:szCs w:val="24"/>
          <w:lang w:val="en-US"/>
        </w:rPr>
        <w:t xml:space="preserve">is pleased to provide </w:t>
      </w:r>
      <w:r w:rsidR="003C5E8A" w:rsidRPr="00117E79">
        <w:rPr>
          <w:sz w:val="24"/>
          <w:szCs w:val="24"/>
          <w:lang w:val="en-US"/>
        </w:rPr>
        <w:t xml:space="preserve">a response </w:t>
      </w:r>
      <w:r w:rsidRPr="00117E79">
        <w:rPr>
          <w:sz w:val="24"/>
          <w:szCs w:val="24"/>
          <w:lang w:val="en-US"/>
        </w:rPr>
        <w:t xml:space="preserve">in the above-captioned </w:t>
      </w:r>
      <w:r w:rsidR="00165561">
        <w:rPr>
          <w:sz w:val="24"/>
          <w:szCs w:val="24"/>
          <w:lang w:val="en-US"/>
        </w:rPr>
        <w:t xml:space="preserve">petition for a comprehensive review of Part 15, Subpart F, </w:t>
      </w:r>
      <w:r w:rsidR="00165561" w:rsidRPr="00165561">
        <w:rPr>
          <w:sz w:val="24"/>
          <w:szCs w:val="24"/>
          <w:lang w:val="en-US"/>
        </w:rPr>
        <w:t>regulations governing Ultra-Wideband (UWB) devices and systems</w:t>
      </w:r>
      <w:r w:rsidR="00165561">
        <w:rPr>
          <w:sz w:val="24"/>
          <w:szCs w:val="24"/>
          <w:lang w:val="en-US"/>
        </w:rPr>
        <w:t xml:space="preserve">.  </w:t>
      </w:r>
      <w:r w:rsidR="001159C7">
        <w:rPr>
          <w:sz w:val="24"/>
          <w:szCs w:val="24"/>
          <w:lang w:val="en-US"/>
        </w:rPr>
        <w:t xml:space="preserve"> IEEE 802 would like to </w:t>
      </w:r>
      <w:r w:rsidR="00622B7A">
        <w:rPr>
          <w:sz w:val="24"/>
          <w:szCs w:val="24"/>
          <w:lang w:val="en-US"/>
        </w:rPr>
        <w:t xml:space="preserve">express support for such a review and revision of the UWB rules.  </w:t>
      </w: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w:t>
      </w:r>
      <w:r w:rsidR="00080052" w:rsidRPr="00117E79">
        <w:rPr>
          <w:sz w:val="24"/>
          <w:szCs w:val="24"/>
          <w:lang w:val="en-US"/>
        </w:rPr>
        <w:t xml:space="preserve">802 LMSC </w:t>
      </w:r>
      <w:r w:rsidRPr="00117E79">
        <w:rPr>
          <w:sz w:val="24"/>
          <w:szCs w:val="24"/>
          <w:lang w:val="en-US"/>
        </w:rPr>
        <w:t xml:space="preserve">is a leading consensus-based industry standards body, producing standards for wireless networking devices, including wireless local area networks (“WLANs”), wireless specialty networks (“WSNs”), wireless metropolitan area networks (“Wireless MANs”), </w:t>
      </w:r>
      <w:r w:rsidRPr="00117E79">
        <w:rPr>
          <w:sz w:val="24"/>
          <w:szCs w:val="24"/>
          <w:lang w:val="en-US"/>
        </w:rPr>
        <w:lastRenderedPageBreak/>
        <w:t>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1"/>
      </w:r>
      <w:r w:rsidRPr="00117E79">
        <w:t xml:space="preserve"> </w:t>
      </w:r>
    </w:p>
    <w:p w14:paraId="15870A49" w14:textId="7E3CD307" w:rsidR="00165561" w:rsidRPr="00117E79" w:rsidRDefault="00165561" w:rsidP="009F1941">
      <w:pPr>
        <w:pStyle w:val="NormalWeb"/>
        <w:spacing w:before="0" w:beforeAutospacing="0" w:after="0" w:afterAutospacing="0" w:line="360" w:lineRule="auto"/>
        <w:ind w:firstLine="720"/>
        <w:contextualSpacing/>
      </w:pPr>
      <w:r>
        <w:t xml:space="preserve">IEEE Std 802.15.4-2015 includes specifications of two UWB Physical Layer (PHY), which have been widely adopted for applications requiring precise ranging and localization, such as RFID, </w:t>
      </w:r>
      <w:r w:rsidR="001159C7">
        <w:t xml:space="preserve">industrial </w:t>
      </w:r>
      <w:r>
        <w:t>asset tracking, motion detection and surveillance,</w:t>
      </w:r>
      <w:r w:rsidR="001159C7">
        <w:t xml:space="preserve"> patient monitoring (fall detection), Industrial robotics, sports tracking, factory automation, stock (animal) health and tracking, Bus and train monitoring and communication, and many other applications that require precise near-instantaneous ranging capabilities uniquely enabled by UWB.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69870107" w14:textId="1F6A1057" w:rsidR="00570562" w:rsidRPr="00117E79" w:rsidRDefault="001159C7"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Conservative Rules with Extreme Margins</w:t>
      </w:r>
    </w:p>
    <w:p w14:paraId="6465E5D6" w14:textId="48A2D9B8" w:rsidR="00073786" w:rsidRDefault="00622B7A" w:rsidP="00570562">
      <w:pPr>
        <w:pStyle w:val="ListParagraph"/>
        <w:spacing w:line="360" w:lineRule="auto"/>
        <w:ind w:left="0" w:firstLine="810"/>
        <w:rPr>
          <w:rFonts w:ascii="Times New Roman" w:hAnsi="Times New Roman" w:cs="Times New Roman"/>
        </w:rPr>
      </w:pPr>
      <w:r w:rsidRPr="00622B7A">
        <w:rPr>
          <w:rFonts w:ascii="Times New Roman" w:hAnsi="Times New Roman" w:cs="Times New Roman"/>
        </w:rPr>
        <w:t xml:space="preserve">When the </w:t>
      </w:r>
      <w:r>
        <w:rPr>
          <w:rFonts w:ascii="Times New Roman" w:hAnsi="Times New Roman" w:cs="Times New Roman"/>
        </w:rPr>
        <w:t xml:space="preserve">Commission </w:t>
      </w:r>
      <w:r w:rsidRPr="00622B7A">
        <w:rPr>
          <w:rFonts w:ascii="Times New Roman" w:hAnsi="Times New Roman" w:cs="Times New Roman"/>
        </w:rPr>
        <w:t>issued the Report and Order establishing the UWB rules</w:t>
      </w:r>
      <w:r>
        <w:rPr>
          <w:rFonts w:ascii="Times New Roman" w:hAnsi="Times New Roman" w:cs="Times New Roman"/>
        </w:rPr>
        <w:t xml:space="preserve"> in 2002, </w:t>
      </w:r>
      <w:r w:rsidRPr="00622B7A">
        <w:rPr>
          <w:rFonts w:ascii="Times New Roman" w:hAnsi="Times New Roman" w:cs="Times New Roman"/>
        </w:rPr>
        <w:t>commission characterized the</w:t>
      </w:r>
      <w:r>
        <w:rPr>
          <w:rFonts w:ascii="Times New Roman" w:hAnsi="Times New Roman" w:cs="Times New Roman"/>
        </w:rPr>
        <w:t xml:space="preserve"> limits and restrictions of subpart F as “ultra-conservative” and stated </w:t>
      </w:r>
      <w:r w:rsidRPr="00622B7A">
        <w:rPr>
          <w:rFonts w:ascii="Times New Roman" w:hAnsi="Times New Roman" w:cs="Times New Roman"/>
        </w:rPr>
        <w:t>that the commission intended to reconsider many of the restrictions and conditions at a later date, based upon industry experience</w:t>
      </w:r>
      <w:ins w:id="5" w:author="Author">
        <w:r w:rsidR="0069430D">
          <w:rPr>
            <w:rStyle w:val="FootnoteReference"/>
            <w:rFonts w:ascii="Times New Roman" w:hAnsi="Times New Roman" w:cs="Times New Roman"/>
          </w:rPr>
          <w:footnoteReference w:id="2"/>
        </w:r>
      </w:ins>
      <w:r w:rsidRPr="00622B7A">
        <w:rPr>
          <w:rFonts w:ascii="Times New Roman" w:hAnsi="Times New Roman" w:cs="Times New Roman"/>
        </w:rPr>
        <w:t>.</w:t>
      </w:r>
      <w:r>
        <w:rPr>
          <w:rFonts w:ascii="Times New Roman" w:hAnsi="Times New Roman" w:cs="Times New Roman"/>
        </w:rPr>
        <w:t xml:space="preserve">  </w:t>
      </w:r>
      <w:r w:rsidRPr="00622B7A">
        <w:rPr>
          <w:rFonts w:ascii="Times New Roman" w:hAnsi="Times New Roman" w:cs="Times New Roman"/>
        </w:rPr>
        <w:t>Commissioner Copp</w:t>
      </w:r>
      <w:ins w:id="7" w:author="Author">
        <w:r w:rsidR="004166D3">
          <w:rPr>
            <w:rFonts w:ascii="Times New Roman" w:hAnsi="Times New Roman" w:cs="Times New Roman"/>
          </w:rPr>
          <w:t>’</w:t>
        </w:r>
      </w:ins>
      <w:r w:rsidRPr="00622B7A">
        <w:rPr>
          <w:rFonts w:ascii="Times New Roman" w:hAnsi="Times New Roman" w:cs="Times New Roman"/>
        </w:rPr>
        <w:t>s wrote in his statement that this “ultra-conservative ultra-wideband step we take today” was at the “extreme (conservative) end of what FCC engineers – the best spectrum engineers in the country – believe necessary”</w:t>
      </w:r>
      <w:ins w:id="8" w:author="Author">
        <w:r w:rsidR="00675478">
          <w:rPr>
            <w:rStyle w:val="FootnoteReference"/>
            <w:rFonts w:ascii="Times New Roman" w:hAnsi="Times New Roman" w:cs="Times New Roman"/>
          </w:rPr>
          <w:footnoteReference w:id="3"/>
        </w:r>
      </w:ins>
      <w:r>
        <w:rPr>
          <w:rFonts w:ascii="Times New Roman" w:hAnsi="Times New Roman" w:cs="Times New Roman"/>
        </w:rPr>
        <w:t xml:space="preserve">.  </w:t>
      </w:r>
    </w:p>
    <w:p w14:paraId="23BE61B8" w14:textId="43CDA86B" w:rsidR="00622B7A" w:rsidRDefault="00622B7A" w:rsidP="00570562">
      <w:pPr>
        <w:pStyle w:val="ListParagraph"/>
        <w:spacing w:line="360" w:lineRule="auto"/>
        <w:ind w:left="0" w:firstLine="810"/>
        <w:rPr>
          <w:rFonts w:ascii="Times New Roman" w:hAnsi="Times New Roman" w:cs="Times New Roman"/>
        </w:rPr>
      </w:pPr>
      <w:r>
        <w:rPr>
          <w:rFonts w:ascii="Times New Roman" w:hAnsi="Times New Roman" w:cs="Times New Roman"/>
        </w:rPr>
        <w:lastRenderedPageBreak/>
        <w:t>There is now extensive ind</w:t>
      </w:r>
      <w:r w:rsidR="00E36FF7">
        <w:rPr>
          <w:rFonts w:ascii="Times New Roman" w:hAnsi="Times New Roman" w:cs="Times New Roman"/>
        </w:rPr>
        <w:t xml:space="preserve">ustry experience which confirms the characterization by the Commission.  UWB has been widely used and proven to cause no harmful interference to other radio services.  As noted in the petition, the FCC has </w:t>
      </w:r>
      <w:del w:id="13" w:author="Author">
        <w:r w:rsidR="00E36FF7" w:rsidDel="004166D3">
          <w:rPr>
            <w:rFonts w:ascii="Times New Roman" w:hAnsi="Times New Roman" w:cs="Times New Roman"/>
          </w:rPr>
          <w:delText>acknowledge</w:delText>
        </w:r>
      </w:del>
      <w:ins w:id="14" w:author="Author">
        <w:r w:rsidR="004166D3">
          <w:rPr>
            <w:rFonts w:ascii="Times New Roman" w:hAnsi="Times New Roman" w:cs="Times New Roman"/>
          </w:rPr>
          <w:t>acknowledged</w:t>
        </w:r>
      </w:ins>
      <w:r w:rsidR="00E36FF7">
        <w:rPr>
          <w:rFonts w:ascii="Times New Roman" w:hAnsi="Times New Roman" w:cs="Times New Roman"/>
        </w:rPr>
        <w:t xml:space="preserve"> the extremely low risk of harmful interference by issuing waivers to reduce some of the subpart F restrictions.  </w:t>
      </w:r>
    </w:p>
    <w:p w14:paraId="65D8E771" w14:textId="18E66AF0" w:rsidR="00E36FF7" w:rsidRPr="00117E79" w:rsidRDefault="00E36FF7"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FCC subsequently provided in </w:t>
      </w:r>
      <w:r w:rsidRPr="00E36FF7">
        <w:rPr>
          <w:rFonts w:ascii="Times New Roman" w:hAnsi="Times New Roman" w:cs="Times New Roman"/>
        </w:rPr>
        <w:t>Subpart C, §15.250</w:t>
      </w:r>
      <w:r>
        <w:rPr>
          <w:rFonts w:ascii="Times New Roman" w:hAnsi="Times New Roman" w:cs="Times New Roman"/>
        </w:rPr>
        <w:t xml:space="preserve">, means to approve UWB devices operating in the band 5925-7250 MHz and has subsequently approved many devices without the restriction on outdoor infrastructure use.  Experience with these approved devices has shown no issues with causing harmful interference.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32DB30EF" w14:textId="77BD9C94" w:rsidR="00F006DF" w:rsidRDefault="00E36FF7" w:rsidP="00E36FF7">
      <w:pPr>
        <w:spacing w:line="360" w:lineRule="auto"/>
        <w:ind w:firstLine="720"/>
        <w:contextualSpacing/>
        <w:rPr>
          <w:sz w:val="24"/>
          <w:szCs w:val="24"/>
          <w:lang w:val="en-US"/>
        </w:rPr>
      </w:pPr>
      <w:r>
        <w:rPr>
          <w:sz w:val="24"/>
          <w:szCs w:val="24"/>
          <w:lang w:val="en-US"/>
        </w:rPr>
        <w:t xml:space="preserve">The petition proposes adoption by rule of changes to the process and methods used to test and certify UWB devices </w:t>
      </w:r>
      <w:r w:rsidR="00F006DF">
        <w:rPr>
          <w:sz w:val="24"/>
          <w:szCs w:val="24"/>
          <w:lang w:val="en-US"/>
        </w:rPr>
        <w:t>which have been approved in multiple waivers.  In general</w:t>
      </w:r>
      <w:ins w:id="15" w:author="Author">
        <w:r w:rsidR="004166D3">
          <w:rPr>
            <w:sz w:val="24"/>
            <w:szCs w:val="24"/>
            <w:lang w:val="en-US"/>
          </w:rPr>
          <w:t>,</w:t>
        </w:r>
      </w:ins>
      <w:r w:rsidR="00F006DF">
        <w:rPr>
          <w:sz w:val="24"/>
          <w:szCs w:val="24"/>
          <w:lang w:val="en-US"/>
        </w:rPr>
        <w:t xml:space="preserve"> we agree. This will assure consistent application.</w:t>
      </w:r>
    </w:p>
    <w:p w14:paraId="13FE0331" w14:textId="1CEE2993" w:rsidR="00F006DF" w:rsidRDefault="00F006DF" w:rsidP="00E36FF7">
      <w:pPr>
        <w:spacing w:line="360" w:lineRule="auto"/>
        <w:ind w:firstLine="720"/>
        <w:contextualSpacing/>
        <w:rPr>
          <w:sz w:val="24"/>
          <w:szCs w:val="24"/>
          <w:lang w:val="en-US"/>
        </w:rPr>
      </w:pPr>
      <w:r>
        <w:rPr>
          <w:sz w:val="24"/>
          <w:szCs w:val="24"/>
          <w:lang w:val="en-US"/>
        </w:rPr>
        <w:t>The petition requests increasing the power spectral density limits by +10dB.  We strongly agree that this is a positive change.  The new limit would enable new applications of UWB without undue risk of interference</w:t>
      </w:r>
      <w:del w:id="16" w:author="Author">
        <w:r w:rsidDel="004166D3">
          <w:rPr>
            <w:sz w:val="24"/>
            <w:szCs w:val="24"/>
            <w:lang w:val="en-US"/>
          </w:rPr>
          <w:delText>,</w:delText>
        </w:r>
      </w:del>
      <w:r>
        <w:rPr>
          <w:sz w:val="24"/>
          <w:szCs w:val="24"/>
          <w:lang w:val="en-US"/>
        </w:rPr>
        <w:t xml:space="preserve"> and make a large amount of already allocated spectrum available for new uses.</w:t>
      </w:r>
    </w:p>
    <w:p w14:paraId="63EE297B" w14:textId="28943CFA" w:rsidR="00F006DF" w:rsidRDefault="00F006DF" w:rsidP="00E36FF7">
      <w:pPr>
        <w:spacing w:line="360" w:lineRule="auto"/>
        <w:ind w:firstLine="720"/>
        <w:contextualSpacing/>
        <w:rPr>
          <w:sz w:val="24"/>
          <w:szCs w:val="24"/>
          <w:lang w:val="en-US"/>
        </w:rPr>
      </w:pPr>
      <w:r>
        <w:rPr>
          <w:sz w:val="24"/>
          <w:szCs w:val="24"/>
          <w:lang w:val="en-US"/>
        </w:rPr>
        <w:t xml:space="preserve">The petition requests removal of the restriction on fixed outdoor use of UWB.  We endorse this change.  </w:t>
      </w:r>
      <w:r w:rsidR="00727923">
        <w:rPr>
          <w:sz w:val="24"/>
          <w:szCs w:val="24"/>
          <w:lang w:val="en-US"/>
        </w:rPr>
        <w:t xml:space="preserve">Many applications for precise real time localization utilize fixed devices in conjunction with mobile devices.  </w:t>
      </w:r>
      <w:r>
        <w:rPr>
          <w:sz w:val="24"/>
          <w:szCs w:val="24"/>
          <w:lang w:val="en-US"/>
        </w:rPr>
        <w:t>Waivers for such systems have been granted</w:t>
      </w:r>
      <w:ins w:id="17" w:author="Author">
        <w:r w:rsidR="003A5075">
          <w:rPr>
            <w:sz w:val="24"/>
            <w:szCs w:val="24"/>
            <w:lang w:val="en-US"/>
          </w:rPr>
          <w:t xml:space="preserve"> for applications such as robotic lawn mowers which safely guide outdoor devices</w:t>
        </w:r>
        <w:r w:rsidR="004166D3">
          <w:rPr>
            <w:sz w:val="24"/>
            <w:szCs w:val="24"/>
            <w:lang w:val="en-US"/>
          </w:rPr>
          <w:t xml:space="preserve"> without causing any harmful interference to incumbent users</w:t>
        </w:r>
        <w:r w:rsidR="003A5075">
          <w:rPr>
            <w:sz w:val="24"/>
            <w:szCs w:val="24"/>
            <w:lang w:val="en-US"/>
          </w:rPr>
          <w:t>.</w:t>
        </w:r>
      </w:ins>
      <w:del w:id="18" w:author="Author">
        <w:r w:rsidR="00727923" w:rsidDel="003A5075">
          <w:rPr>
            <w:sz w:val="24"/>
            <w:szCs w:val="24"/>
            <w:lang w:val="en-US"/>
          </w:rPr>
          <w:delText xml:space="preserve">, for example </w:delText>
        </w:r>
        <w:r w:rsidDel="003A5075">
          <w:rPr>
            <w:sz w:val="24"/>
            <w:szCs w:val="24"/>
            <w:lang w:val="en-US"/>
          </w:rPr>
          <w:delText>the sports tracking system used by the NFL</w:delText>
        </w:r>
        <w:r w:rsidR="00727923" w:rsidDel="003A5075">
          <w:rPr>
            <w:sz w:val="24"/>
            <w:szCs w:val="24"/>
            <w:lang w:val="en-US"/>
          </w:rPr>
          <w:delText>,</w:delText>
        </w:r>
        <w:r w:rsidDel="003A5075">
          <w:rPr>
            <w:sz w:val="24"/>
            <w:szCs w:val="24"/>
            <w:lang w:val="en-US"/>
          </w:rPr>
          <w:delText xml:space="preserve"> which coexist in and around NFL stadiums and practice fields with other services without causing harmful interference. </w:delText>
        </w:r>
        <w:r w:rsidR="00727923" w:rsidDel="003A5075">
          <w:rPr>
            <w:sz w:val="24"/>
            <w:szCs w:val="24"/>
            <w:lang w:val="en-US"/>
          </w:rPr>
          <w:delText xml:space="preserve"> </w:delText>
        </w:r>
      </w:del>
      <w:ins w:id="19" w:author="Author">
        <w:r w:rsidR="003A5075">
          <w:rPr>
            <w:sz w:val="24"/>
            <w:szCs w:val="24"/>
            <w:lang w:val="en-US"/>
          </w:rPr>
          <w:t xml:space="preserve"> </w:t>
        </w:r>
      </w:ins>
      <w:r w:rsidR="00727923">
        <w:rPr>
          <w:sz w:val="24"/>
          <w:szCs w:val="24"/>
          <w:lang w:val="en-US"/>
        </w:rPr>
        <w:t xml:space="preserve">Consumer applications such as secure access to vehicles and buildings, as well as high precision real time tracking of transportation assets, personnel and other assets via mobile devices, can </w:t>
      </w:r>
      <w:ins w:id="20" w:author="Author">
        <w:r w:rsidR="003A5075">
          <w:rPr>
            <w:sz w:val="24"/>
            <w:szCs w:val="24"/>
            <w:lang w:val="en-US"/>
          </w:rPr>
          <w:t>be</w:t>
        </w:r>
      </w:ins>
      <w:del w:id="21" w:author="Author">
        <w:r w:rsidR="00727923" w:rsidDel="003A5075">
          <w:rPr>
            <w:sz w:val="24"/>
            <w:szCs w:val="24"/>
            <w:lang w:val="en-US"/>
          </w:rPr>
          <w:delText>he</w:delText>
        </w:r>
      </w:del>
      <w:r w:rsidR="00727923">
        <w:rPr>
          <w:sz w:val="24"/>
          <w:szCs w:val="24"/>
          <w:lang w:val="en-US"/>
        </w:rPr>
        <w:t xml:space="preserve"> enhanced with the use of fixed devices in outdoor locations. </w:t>
      </w:r>
    </w:p>
    <w:p w14:paraId="03A20AA3" w14:textId="195F7103" w:rsidR="00E36FF7" w:rsidRPr="00117E79" w:rsidRDefault="00F006DF" w:rsidP="00E36FF7">
      <w:pPr>
        <w:spacing w:line="360" w:lineRule="auto"/>
        <w:ind w:firstLine="720"/>
        <w:contextualSpacing/>
        <w:rPr>
          <w:sz w:val="24"/>
          <w:szCs w:val="24"/>
          <w:lang w:val="en-US"/>
        </w:rPr>
      </w:pPr>
      <w:r>
        <w:rPr>
          <w:sz w:val="24"/>
          <w:szCs w:val="24"/>
          <w:lang w:val="en-US"/>
        </w:rPr>
        <w:t xml:space="preserve">We note that some of the changes requested may have broader benefits than noted in the petition. Specifically, changes to allow swept frequency and frequency agility to be used to meet the minimum bandwidth will have the additional benefit of enabling a broad range of technologies to be adapted to the UWB rules. </w:t>
      </w:r>
      <w:del w:id="22" w:author="Author">
        <w:r w:rsidDel="00675478">
          <w:rPr>
            <w:sz w:val="24"/>
            <w:szCs w:val="24"/>
            <w:lang w:val="en-US"/>
          </w:rPr>
          <w:delText xml:space="preserve">This would, for example, enable adapting the WLAN technologies based on 802.11 to apply frequency agility to meet the bandwidth requirement. Combined with the raised PSD limits, many applications of WLAN would be </w:delText>
        </w:r>
        <w:r w:rsidR="00727923" w:rsidDel="00675478">
          <w:rPr>
            <w:sz w:val="24"/>
            <w:szCs w:val="24"/>
            <w:lang w:val="en-US"/>
          </w:rPr>
          <w:delText>allowed</w:delText>
        </w:r>
        <w:r w:rsidDel="00675478">
          <w:rPr>
            <w:sz w:val="24"/>
            <w:szCs w:val="24"/>
            <w:lang w:val="en-US"/>
          </w:rPr>
          <w:delText xml:space="preserve"> e.g. the mobile hotspot where radio reach of just a few feet is required.  </w:delText>
        </w:r>
      </w:del>
      <w:r>
        <w:rPr>
          <w:sz w:val="24"/>
          <w:szCs w:val="24"/>
          <w:lang w:val="en-US"/>
        </w:rPr>
        <w:t xml:space="preserve">Combined with the removal of restrictions on outdoor use, these small changes will </w:t>
      </w:r>
      <w:r w:rsidR="00727923">
        <w:rPr>
          <w:sz w:val="24"/>
          <w:szCs w:val="24"/>
          <w:lang w:val="en-US"/>
        </w:rPr>
        <w:t xml:space="preserve">expand opportunity and </w:t>
      </w:r>
      <w:r>
        <w:rPr>
          <w:sz w:val="24"/>
          <w:szCs w:val="24"/>
          <w:lang w:val="en-US"/>
        </w:rPr>
        <w:t>stimulate innovation</w:t>
      </w:r>
      <w:r w:rsidR="00727923">
        <w:rPr>
          <w:sz w:val="24"/>
          <w:szCs w:val="24"/>
          <w:lang w:val="en-US"/>
        </w:rPr>
        <w:t xml:space="preserve">, which ultimately results in </w:t>
      </w:r>
      <w:r>
        <w:rPr>
          <w:sz w:val="24"/>
          <w:szCs w:val="24"/>
          <w:lang w:val="en-US"/>
        </w:rPr>
        <w:t xml:space="preserve">greater utility from the spectrum.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lastRenderedPageBreak/>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10B01C18" w14:textId="7E225466" w:rsidR="00DE721A" w:rsidRPr="00117E79" w:rsidRDefault="00DE721A" w:rsidP="00876901">
      <w:pPr>
        <w:spacing w:line="360" w:lineRule="auto"/>
        <w:ind w:firstLine="720"/>
        <w:contextualSpacing/>
        <w:rPr>
          <w:sz w:val="24"/>
          <w:szCs w:val="24"/>
          <w:lang w:val="en-US"/>
        </w:rPr>
      </w:pPr>
      <w:r w:rsidRPr="00117E79">
        <w:rPr>
          <w:sz w:val="24"/>
          <w:szCs w:val="24"/>
          <w:lang w:val="en-US"/>
        </w:rPr>
        <w:t xml:space="preserve">Considering the points mentioned above, we therefore </w:t>
      </w:r>
      <w:del w:id="23" w:author="Author">
        <w:r w:rsidRPr="00117E79" w:rsidDel="00072F49">
          <w:rPr>
            <w:sz w:val="24"/>
            <w:szCs w:val="24"/>
            <w:lang w:val="en-US"/>
          </w:rPr>
          <w:delText xml:space="preserve">ask </w:delText>
        </w:r>
      </w:del>
      <w:ins w:id="24" w:author="Author">
        <w:r w:rsidR="00072F49">
          <w:rPr>
            <w:sz w:val="24"/>
            <w:szCs w:val="24"/>
            <w:lang w:val="en-US"/>
          </w:rPr>
          <w:t xml:space="preserve">respectfully request </w:t>
        </w:r>
      </w:ins>
      <w:r w:rsidRPr="00117E79">
        <w:rPr>
          <w:sz w:val="24"/>
          <w:szCs w:val="24"/>
          <w:lang w:val="en-US"/>
        </w:rPr>
        <w:t xml:space="preserve">the Commission to </w:t>
      </w:r>
      <w:r w:rsidR="00E36FF7">
        <w:rPr>
          <w:sz w:val="24"/>
          <w:szCs w:val="24"/>
          <w:lang w:val="en-US"/>
        </w:rPr>
        <w:t xml:space="preserve">begin </w:t>
      </w:r>
      <w:del w:id="25" w:author="Author">
        <w:r w:rsidR="00E36FF7" w:rsidDel="0069430D">
          <w:rPr>
            <w:sz w:val="24"/>
            <w:szCs w:val="24"/>
            <w:lang w:val="en-US"/>
          </w:rPr>
          <w:delText>a</w:delText>
        </w:r>
        <w:r w:rsidR="00E36FF7" w:rsidDel="00072F49">
          <w:rPr>
            <w:sz w:val="24"/>
            <w:szCs w:val="24"/>
            <w:lang w:val="en-US"/>
          </w:rPr>
          <w:delText xml:space="preserve"> </w:delText>
        </w:r>
      </w:del>
      <w:r w:rsidR="00E36FF7">
        <w:rPr>
          <w:sz w:val="24"/>
          <w:szCs w:val="24"/>
          <w:lang w:val="en-US"/>
        </w:rPr>
        <w:t>rulemaking to revise and update the rules governing UWB operation</w:t>
      </w:r>
      <w:r w:rsidR="00FB4C6D" w:rsidRPr="00117E79">
        <w:rPr>
          <w:sz w:val="24"/>
          <w:szCs w:val="24"/>
          <w:lang w:val="en-US"/>
        </w:rPr>
        <w:t>.</w:t>
      </w:r>
      <w:r w:rsidR="00727923">
        <w:rPr>
          <w:sz w:val="24"/>
          <w:szCs w:val="24"/>
          <w:lang w:val="en-US"/>
        </w:rPr>
        <w:t xml:space="preserve">  </w:t>
      </w:r>
      <w:del w:id="26" w:author="Author">
        <w:r w:rsidR="00727923" w:rsidDel="00072F49">
          <w:rPr>
            <w:sz w:val="24"/>
            <w:szCs w:val="24"/>
            <w:lang w:val="en-US"/>
          </w:rPr>
          <w:delText>We feel the “</w:delText>
        </w:r>
        <w:r w:rsidR="00727923" w:rsidDel="00072F49">
          <w:rPr>
            <w:szCs w:val="22"/>
          </w:rPr>
          <w:delText xml:space="preserve">later date” the Commission intended should be now. </w:delText>
        </w:r>
      </w:del>
      <w:bookmarkStart w:id="27" w:name="_GoBack"/>
      <w:bookmarkEnd w:id="27"/>
    </w:p>
    <w:p w14:paraId="7531C3B0" w14:textId="1778F611" w:rsidR="00275316" w:rsidRPr="00117E79" w:rsidRDefault="00275316" w:rsidP="00876901">
      <w:pPr>
        <w:spacing w:line="360" w:lineRule="auto"/>
        <w:contextualSpacing/>
        <w:rPr>
          <w:sz w:val="24"/>
          <w:szCs w:val="24"/>
          <w:lang w:val="en-US"/>
        </w:rPr>
      </w:pP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r w:rsidRPr="00117E79">
        <w:rPr>
          <w:sz w:val="24"/>
          <w:szCs w:val="24"/>
          <w:lang w:val="en-US"/>
        </w:rPr>
        <w:t>em: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C175" w14:textId="77777777" w:rsidR="00A15C00" w:rsidRDefault="00A15C00">
      <w:r>
        <w:separator/>
      </w:r>
    </w:p>
  </w:endnote>
  <w:endnote w:type="continuationSeparator" w:id="0">
    <w:p w14:paraId="6DC6DBFD" w14:textId="77777777" w:rsidR="00A15C00" w:rsidRDefault="00A1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A4DB" w14:textId="7330DE6E" w:rsidR="00110589" w:rsidRDefault="00110589" w:rsidP="006121DD">
    <w:pPr>
      <w:pStyle w:val="Footer"/>
      <w:tabs>
        <w:tab w:val="clear" w:pos="6480"/>
        <w:tab w:val="clear" w:pos="12960"/>
        <w:tab w:val="center" w:pos="4680"/>
        <w:tab w:val="right" w:pos="9360"/>
      </w:tabs>
    </w:pPr>
    <w:bookmarkStart w:id="28" w:name="OLE_LINK324"/>
    <w:bookmarkStart w:id="29" w:name="OLE_LINK325"/>
    <w:r>
      <w:tab/>
      <w:t xml:space="preserve">page </w:t>
    </w:r>
    <w:r>
      <w:fldChar w:fldCharType="begin"/>
    </w:r>
    <w:r>
      <w:instrText xml:space="preserve">page </w:instrText>
    </w:r>
    <w:r>
      <w:fldChar w:fldCharType="separate"/>
    </w:r>
    <w:r w:rsidR="00072F49">
      <w:rPr>
        <w:noProof/>
      </w:rPr>
      <w:t>1</w:t>
    </w:r>
    <w:r>
      <w:fldChar w:fldCharType="end"/>
    </w:r>
    <w:r w:rsidR="00B22CCF">
      <w:tab/>
    </w:r>
    <w:bookmarkEnd w:id="28"/>
    <w:bookmarkEnd w:id="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54619" w14:textId="77777777" w:rsidR="00A15C00" w:rsidRDefault="00A15C00">
      <w:r>
        <w:separator/>
      </w:r>
    </w:p>
  </w:footnote>
  <w:footnote w:type="continuationSeparator" w:id="0">
    <w:p w14:paraId="4C575B56" w14:textId="77777777" w:rsidR="00A15C00" w:rsidRDefault="00A15C00">
      <w:r>
        <w:continuationSeparator/>
      </w:r>
    </w:p>
  </w:footnote>
  <w:footnote w:id="1">
    <w:p w14:paraId="3EE657A0" w14:textId="728EAADF"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195C0C">
        <w:rPr>
          <w:rStyle w:val="FootnoteTextChar"/>
          <w:rPrChange w:id="0" w:author="Author">
            <w:rPr>
              <w:sz w:val="18"/>
              <w:szCs w:val="18"/>
            </w:rPr>
          </w:rPrChange>
        </w:rPr>
        <w:t>This document solely represents the views of the IEEE 802 LAN/MAN Standards Committee and does not necessarily represent a position of either the IEEE</w:t>
      </w:r>
      <w:r w:rsidR="009B6B51" w:rsidRPr="00195C0C">
        <w:rPr>
          <w:rStyle w:val="FootnoteTextChar"/>
          <w:rPrChange w:id="1" w:author="Author">
            <w:rPr>
              <w:sz w:val="18"/>
              <w:szCs w:val="18"/>
            </w:rPr>
          </w:rPrChange>
        </w:rPr>
        <w:t xml:space="preserve">, </w:t>
      </w:r>
      <w:r w:rsidRPr="00195C0C">
        <w:rPr>
          <w:rStyle w:val="FootnoteTextChar"/>
          <w:rPrChange w:id="2" w:author="Author">
            <w:rPr>
              <w:sz w:val="18"/>
              <w:szCs w:val="18"/>
            </w:rPr>
          </w:rPrChange>
        </w:rPr>
        <w:t>the IEEE Standards Association</w:t>
      </w:r>
      <w:r w:rsidR="009B6B51" w:rsidRPr="00195C0C">
        <w:rPr>
          <w:rStyle w:val="FootnoteTextChar"/>
          <w:rPrChange w:id="3" w:author="Author">
            <w:rPr>
              <w:sz w:val="18"/>
              <w:szCs w:val="18"/>
            </w:rPr>
          </w:rPrChange>
        </w:rPr>
        <w:t xml:space="preserve"> or IEEE Technical Activities</w:t>
      </w:r>
      <w:r w:rsidRPr="00195C0C">
        <w:rPr>
          <w:rStyle w:val="FootnoteTextChar"/>
          <w:rPrChange w:id="4" w:author="Author">
            <w:rPr>
              <w:sz w:val="18"/>
              <w:szCs w:val="18"/>
            </w:rPr>
          </w:rPrChange>
        </w:rPr>
        <w:t>.</w:t>
      </w:r>
    </w:p>
  </w:footnote>
  <w:footnote w:id="2">
    <w:p w14:paraId="2A873399" w14:textId="17F81DEC" w:rsidR="0069430D" w:rsidRDefault="0069430D">
      <w:pPr>
        <w:pStyle w:val="FootnoteText"/>
      </w:pPr>
      <w:ins w:id="6" w:author="Author">
        <w:r>
          <w:rPr>
            <w:rStyle w:val="FootnoteReference"/>
          </w:rPr>
          <w:footnoteRef/>
        </w:r>
        <w:r>
          <w:t xml:space="preserve"> First report and order, </w:t>
        </w:r>
        <w:r>
          <w:t>: February 14,2002</w:t>
        </w:r>
        <w:r>
          <w:t xml:space="preserve">, clause 1.1 </w:t>
        </w:r>
        <w:r>
          <w:fldChar w:fldCharType="begin"/>
        </w:r>
        <w:r>
          <w:instrText xml:space="preserve"> HYPERLINK "https://ecfsapi.fcc.gov/file/6513194036.pdf" </w:instrText>
        </w:r>
        <w:r>
          <w:fldChar w:fldCharType="separate"/>
        </w:r>
        <w:r>
          <w:rPr>
            <w:rStyle w:val="Hyperlink"/>
          </w:rPr>
          <w:t>https://ecfsapi.fcc.gov/file/6513194036.pdf</w:t>
        </w:r>
        <w:r>
          <w:fldChar w:fldCharType="end"/>
        </w:r>
      </w:ins>
    </w:p>
  </w:footnote>
  <w:footnote w:id="3">
    <w:p w14:paraId="3DE33C1F" w14:textId="62C10F0C" w:rsidR="00675478" w:rsidRDefault="00675478">
      <w:pPr>
        <w:pStyle w:val="FootnoteText"/>
        <w:rPr>
          <w:ins w:id="9" w:author="Author"/>
          <w:rFonts w:cs="Times New Roman"/>
          <w:szCs w:val="18"/>
        </w:rPr>
      </w:pPr>
      <w:ins w:id="10" w:author="Author">
        <w:r>
          <w:rPr>
            <w:rStyle w:val="FootnoteReference"/>
          </w:rPr>
          <w:footnoteRef/>
        </w:r>
        <w:r>
          <w:t xml:space="preserve"> </w:t>
        </w:r>
        <w:r w:rsidRPr="00195C0C">
          <w:rPr>
            <w:rFonts w:cs="Times New Roman"/>
            <w:szCs w:val="18"/>
            <w:rPrChange w:id="11" w:author="Author">
              <w:rPr/>
            </w:rPrChange>
          </w:rPr>
          <w:t>Commissioner Copps Feb 14 2002 statement</w:t>
        </w:r>
        <w:r>
          <w:rPr>
            <w:rFonts w:cs="Times New Roman"/>
            <w:szCs w:val="18"/>
          </w:rPr>
          <w:t xml:space="preserve"> </w:t>
        </w:r>
        <w:r>
          <w:rPr>
            <w:rFonts w:cs="Times New Roman"/>
            <w:szCs w:val="18"/>
          </w:rPr>
          <w:fldChar w:fldCharType="begin"/>
        </w:r>
        <w:r>
          <w:rPr>
            <w:rFonts w:cs="Times New Roman"/>
            <w:szCs w:val="18"/>
          </w:rPr>
          <w:instrText xml:space="preserve"> HYPERLINK "</w:instrText>
        </w:r>
        <w:r w:rsidRPr="00675478">
          <w:rPr>
            <w:rFonts w:cs="Times New Roman"/>
            <w:szCs w:val="18"/>
          </w:rPr>
          <w:instrText>https://transition.fcc.gov/Speeches/Copps/Statements/2002/stmjc205.html</w:instrText>
        </w:r>
        <w:r>
          <w:rPr>
            <w:rFonts w:cs="Times New Roman"/>
            <w:szCs w:val="18"/>
          </w:rPr>
          <w:instrText xml:space="preserve">" </w:instrText>
        </w:r>
        <w:r>
          <w:rPr>
            <w:rFonts w:cs="Times New Roman"/>
            <w:szCs w:val="18"/>
          </w:rPr>
          <w:fldChar w:fldCharType="separate"/>
        </w:r>
        <w:r w:rsidRPr="00237F57">
          <w:rPr>
            <w:rStyle w:val="Hyperlink"/>
            <w:rFonts w:cs="Times New Roman"/>
            <w:szCs w:val="18"/>
          </w:rPr>
          <w:t>https://transition.fcc.gov/Speeches/Copps/Statements/2002/stmjc205.html</w:t>
        </w:r>
        <w:r>
          <w:rPr>
            <w:rFonts w:cs="Times New Roman"/>
            <w:szCs w:val="18"/>
          </w:rPr>
          <w:fldChar w:fldCharType="end"/>
        </w:r>
      </w:ins>
    </w:p>
    <w:p w14:paraId="0CB7F82A" w14:textId="77777777" w:rsidR="00675478" w:rsidRDefault="00675478" w:rsidP="00195C0C">
      <w:pPr>
        <w:pStyle w:val="FootnoteText"/>
        <w:pPrChange w:id="12" w:author="Author">
          <w:pPr>
            <w:pStyle w:val="FootnoteText"/>
          </w:pPr>
        </w:pPrChan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2A47" w14:textId="4621B9F0" w:rsidR="00110589" w:rsidRPr="00C64AA7" w:rsidRDefault="00117E79" w:rsidP="006121DD">
    <w:pPr>
      <w:pStyle w:val="Header"/>
      <w:tabs>
        <w:tab w:val="clear" w:pos="6480"/>
        <w:tab w:val="clear" w:pos="12960"/>
        <w:tab w:val="center" w:pos="4680"/>
        <w:tab w:val="right" w:pos="9360"/>
      </w:tabs>
      <w:rPr>
        <w:sz w:val="24"/>
      </w:rPr>
    </w:pPr>
    <w:r>
      <w:rPr>
        <w:sz w:val="24"/>
      </w:rPr>
      <w:t>June</w:t>
    </w:r>
    <w:sdt>
      <w:sdtPr>
        <w:rPr>
          <w:sz w:val="24"/>
        </w:rPr>
        <w:id w:val="-439071068"/>
        <w:docPartObj>
          <w:docPartGallery w:val="Watermarks"/>
          <w:docPartUnique/>
        </w:docPartObj>
      </w:sdtPr>
      <w:sdtEndPr/>
      <w:sdtContent>
        <w:r w:rsidR="00A15C00">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 </w:t>
    </w:r>
    <w:r w:rsidR="009A26A7">
      <w:rPr>
        <w:sz w:val="24"/>
      </w:rPr>
      <w:t>2019</w:t>
    </w:r>
    <w:r w:rsidR="00110589" w:rsidRPr="00C64AA7">
      <w:rPr>
        <w:sz w:val="24"/>
      </w:rPr>
      <w:tab/>
    </w:r>
    <w:r w:rsidR="00410C57">
      <w:rPr>
        <w:sz w:val="24"/>
      </w:rPr>
      <w:tab/>
    </w:r>
    <w:r w:rsidR="00543FC8">
      <w:rPr>
        <w:sz w:val="24"/>
      </w:rPr>
      <w:fldChar w:fldCharType="begin"/>
    </w:r>
    <w:r w:rsidR="00543FC8">
      <w:rPr>
        <w:sz w:val="24"/>
      </w:rPr>
      <w:instrText xml:space="preserve"> TITLE  "doc: IEEE 802.18-19/0106r00"  \* MERGEFORMAT </w:instrText>
    </w:r>
    <w:r w:rsidR="00543FC8">
      <w:rPr>
        <w:sz w:val="24"/>
      </w:rPr>
      <w:fldChar w:fldCharType="separate"/>
    </w:r>
    <w:r w:rsidR="00543FC8">
      <w:rPr>
        <w:sz w:val="24"/>
      </w:rPr>
      <w:t>doc: IEEE 802.18-19/0106r00</w:t>
    </w:r>
    <w:r w:rsidR="00543FC8">
      <w:rPr>
        <w:sz w:val="24"/>
      </w:rPr>
      <w:fldChar w:fldCharType="end"/>
    </w:r>
    <w:r w:rsidR="009A26A7">
      <w:rPr>
        <w:sz w:val="24"/>
      </w:rPr>
      <w:t>0</w:t>
    </w:r>
    <w:r w:rsidR="000E13F4">
      <w:rPr>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2F49"/>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2C18"/>
    <w:rsid w:val="00173604"/>
    <w:rsid w:val="00184934"/>
    <w:rsid w:val="001869EB"/>
    <w:rsid w:val="0019256E"/>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88A"/>
    <w:rsid w:val="0050184B"/>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4C00"/>
    <w:rsid w:val="006B11E1"/>
    <w:rsid w:val="006C1349"/>
    <w:rsid w:val="006D321A"/>
    <w:rsid w:val="006E0B9B"/>
    <w:rsid w:val="006E452F"/>
    <w:rsid w:val="006E520B"/>
    <w:rsid w:val="006F4AA2"/>
    <w:rsid w:val="00707D47"/>
    <w:rsid w:val="00712B25"/>
    <w:rsid w:val="00715AD9"/>
    <w:rsid w:val="00717719"/>
    <w:rsid w:val="0072056E"/>
    <w:rsid w:val="00722070"/>
    <w:rsid w:val="00724918"/>
    <w:rsid w:val="00727923"/>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BADA4-38FF-4D13-B0EC-9556F33F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802.18-19/0106r00</vt:lpstr>
    </vt:vector>
  </TitlesOfParts>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802.18-19/0106r00</dc:title>
  <dc:subject/>
  <dc:creator/>
  <cp:keywords/>
  <cp:lastModifiedBy/>
  <cp:revision>1</cp:revision>
  <dcterms:created xsi:type="dcterms:W3CDTF">2019-07-30T22:03:00Z</dcterms:created>
  <dcterms:modified xsi:type="dcterms:W3CDTF">2019-07-31T23:53:00Z</dcterms:modified>
</cp:coreProperties>
</file>