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2204CC96"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or Waiver to Allow Deployment of</w:t>
      </w:r>
      <w:r w:rsidRPr="00117E79">
        <w:rPr>
          <w:sz w:val="24"/>
          <w:szCs w:val="24"/>
          <w:lang w:val="en-US"/>
        </w:rPr>
        <w:tab/>
      </w:r>
      <w:r w:rsidRPr="00117E79">
        <w:rPr>
          <w:sz w:val="24"/>
          <w:szCs w:val="24"/>
          <w:lang w:val="en-US"/>
        </w:rPr>
        <w:tab/>
        <w:t>)</w:t>
      </w:r>
      <w:r w:rsidRPr="00117E79">
        <w:rPr>
          <w:sz w:val="24"/>
          <w:szCs w:val="24"/>
          <w:lang w:val="en-US"/>
        </w:rPr>
        <w:tab/>
        <w:t xml:space="preserve">GN Docket 18-357 </w:t>
      </w:r>
    </w:p>
    <w:p w14:paraId="38463D2D" w14:textId="2D29597B"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Intelligent Transportation System Cellular </w:t>
      </w:r>
      <w:r w:rsidRPr="00117E79">
        <w:rPr>
          <w:sz w:val="24"/>
          <w:szCs w:val="24"/>
          <w:lang w:val="en-US"/>
        </w:rPr>
        <w:tab/>
      </w:r>
      <w:r w:rsidRPr="00117E79">
        <w:rPr>
          <w:sz w:val="24"/>
          <w:szCs w:val="24"/>
          <w:lang w:val="en-US"/>
        </w:rPr>
        <w:tab/>
        <w:t>)</w:t>
      </w:r>
    </w:p>
    <w:p w14:paraId="2D378505" w14:textId="265A85FF" w:rsidR="00532CFB" w:rsidRPr="00117E79" w:rsidRDefault="001E661D" w:rsidP="00876901">
      <w:pPr>
        <w:widowControl w:val="0"/>
        <w:autoSpaceDE w:val="0"/>
        <w:autoSpaceDN w:val="0"/>
        <w:adjustRightInd w:val="0"/>
        <w:spacing w:line="360" w:lineRule="auto"/>
        <w:contextualSpacing/>
        <w:rPr>
          <w:color w:val="000000"/>
          <w:sz w:val="24"/>
          <w:szCs w:val="24"/>
          <w:lang w:val="en-US"/>
        </w:rPr>
      </w:pPr>
      <w:r w:rsidRPr="00117E79">
        <w:rPr>
          <w:sz w:val="24"/>
          <w:szCs w:val="24"/>
          <w:lang w:val="en-US"/>
        </w:rPr>
        <w:t>Vehicle to Everything (C-V2X) Technology</w:t>
      </w:r>
      <w:r w:rsidR="00532CFB" w:rsidRPr="00117E79">
        <w:rPr>
          <w:color w:val="000000"/>
          <w:sz w:val="24"/>
          <w:szCs w:val="24"/>
          <w:lang w:val="en-US"/>
        </w:rPr>
        <w:tab/>
      </w:r>
      <w:r w:rsidR="00532CFB" w:rsidRPr="00117E79">
        <w:rPr>
          <w:color w:val="000000"/>
          <w:sz w:val="24"/>
          <w:szCs w:val="24"/>
          <w:lang w:val="en-US"/>
        </w:rPr>
        <w:tab/>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0797A798"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Parte </w:t>
      </w:r>
      <w:del w:id="0" w:author="Author">
        <w:r w:rsidR="00532CFB" w:rsidRPr="00117E79" w:rsidDel="000F52BF">
          <w:rPr>
            <w:b/>
            <w:bCs/>
          </w:rPr>
          <w:delText xml:space="preserve"> </w:delText>
        </w:r>
      </w:del>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3685624C"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in the above-captioned proceeding</w:t>
      </w:r>
      <w:r w:rsidR="001E7FF4" w:rsidRPr="00117E79">
        <w:rPr>
          <w:sz w:val="24"/>
          <w:szCs w:val="24"/>
          <w:lang w:val="en-US"/>
        </w:rPr>
        <w:t xml:space="preserve"> to the </w:t>
      </w:r>
      <w:r w:rsidR="001E7FF4" w:rsidRPr="00117E79">
        <w:rPr>
          <w:i/>
          <w:sz w:val="24"/>
          <w:szCs w:val="24"/>
          <w:lang w:val="en-US"/>
        </w:rPr>
        <w:t>ex parte</w:t>
      </w:r>
      <w:r w:rsidR="001E7FF4" w:rsidRPr="00117E79">
        <w:rPr>
          <w:sz w:val="24"/>
          <w:szCs w:val="24"/>
          <w:lang w:val="en-US"/>
        </w:rPr>
        <w:t xml:space="preserve"> from 5GAA date</w:t>
      </w:r>
      <w:r w:rsidR="00A867F1" w:rsidRPr="00117E79">
        <w:rPr>
          <w:sz w:val="24"/>
          <w:szCs w:val="24"/>
          <w:lang w:val="en-US"/>
        </w:rPr>
        <w:t>d</w:t>
      </w:r>
      <w:r w:rsidR="001E7FF4" w:rsidRPr="00117E79">
        <w:rPr>
          <w:sz w:val="24"/>
          <w:szCs w:val="24"/>
          <w:lang w:val="en-US"/>
        </w:rPr>
        <w:t xml:space="preserve"> 05 April 2019</w:t>
      </w:r>
      <w:r w:rsidRPr="00117E79">
        <w:rPr>
          <w:sz w:val="24"/>
          <w:szCs w:val="24"/>
          <w:lang w:val="en-US"/>
        </w:rPr>
        <w:t xml:space="preserve">.  </w:t>
      </w: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Pr="00117E79" w:rsidRDefault="00532CFB" w:rsidP="009F1941">
      <w:pPr>
        <w:pStyle w:val="NormalWeb"/>
        <w:spacing w:before="0" w:beforeAutospacing="0" w:after="0" w:afterAutospacing="0" w:line="360" w:lineRule="auto"/>
        <w:ind w:firstLine="720"/>
        <w:contextualSpacing/>
      </w:pPr>
      <w:r w:rsidRPr="00117E79">
        <w:lastRenderedPageBreak/>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1"/>
      </w:r>
      <w:r w:rsidRPr="00117E79">
        <w:t xml:space="preserve"> </w:t>
      </w:r>
    </w:p>
    <w:p w14:paraId="73C022E9" w14:textId="3C18748C" w:rsidR="0082153B" w:rsidRPr="00117E79" w:rsidRDefault="0007781C" w:rsidP="0082153B">
      <w:pPr>
        <w:pStyle w:val="NormalWeb"/>
        <w:spacing w:before="0" w:beforeAutospacing="0" w:after="0" w:afterAutospacing="0" w:line="360" w:lineRule="auto"/>
        <w:ind w:firstLine="720"/>
        <w:contextualSpacing/>
        <w:rPr>
          <w:ins w:id="2" w:author="Author"/>
        </w:rPr>
      </w:pPr>
      <w:r w:rsidRPr="00117E79">
        <w:t xml:space="preserve">The </w:t>
      </w:r>
      <w:r w:rsidR="00B703C3" w:rsidRPr="00117E79">
        <w:t xml:space="preserve">IEEE </w:t>
      </w:r>
      <w:ins w:id="3" w:author="Author">
        <w:r w:rsidR="0082153B" w:rsidRPr="00117E79">
          <w:t xml:space="preserve">Std </w:t>
        </w:r>
      </w:ins>
      <w:r w:rsidR="00B703C3" w:rsidRPr="00117E79">
        <w:t>802.11p-2010 amendment</w:t>
      </w:r>
      <w:r w:rsidR="006B11E1" w:rsidRPr="00117E79">
        <w:t>, now incorporated in</w:t>
      </w:r>
      <w:r w:rsidR="00B703C3" w:rsidRPr="00117E79">
        <w:t>to IEEE Std 802.11</w:t>
      </w:r>
      <w:r w:rsidR="006B11E1" w:rsidRPr="00117E79">
        <w:t>-2016</w:t>
      </w:r>
      <w:r w:rsidRPr="00117E79">
        <w:t xml:space="preserve">, </w:t>
      </w:r>
      <w:del w:id="4" w:author="Author">
        <w:r w:rsidRPr="00117E79" w:rsidDel="0082153B">
          <w:delText xml:space="preserve">is </w:delText>
        </w:r>
      </w:del>
      <w:ins w:id="5" w:author="Author">
        <w:r w:rsidR="0082153B" w:rsidRPr="00117E79">
          <w:t xml:space="preserve">provides </w:t>
        </w:r>
      </w:ins>
      <w:del w:id="6" w:author="Author">
        <w:r w:rsidRPr="00117E79" w:rsidDel="009D05E2">
          <w:delText xml:space="preserve">the </w:delText>
        </w:r>
      </w:del>
      <w:r w:rsidRPr="00117E79">
        <w:t xml:space="preserve">core technology </w:t>
      </w:r>
      <w:r w:rsidR="00B703C3" w:rsidRPr="00117E79">
        <w:t xml:space="preserve">for Dedicated Short Range Communication (DSRC).  </w:t>
      </w:r>
      <w:ins w:id="7" w:author="Author">
        <w:r w:rsidR="0082153B" w:rsidRPr="00117E79">
          <w:t xml:space="preserve">The term "OCB" </w:t>
        </w:r>
        <w:r w:rsidR="002C43D1" w:rsidRPr="00117E79">
          <w:t xml:space="preserve">(outside the context of a BSS) </w:t>
        </w:r>
        <w:r w:rsidR="0082153B" w:rsidRPr="00117E79">
          <w:t>was introduced in IEEE 802.11p, which specified "Wireless Access in Vehicular Environments". The OCB specifications with</w:t>
        </w:r>
        <w:r w:rsidR="000F52BF" w:rsidRPr="00117E79">
          <w:t>in</w:t>
        </w:r>
        <w:r w:rsidR="0082153B" w:rsidRPr="00117E79">
          <w:t xml:space="preserve"> IEEE Std 802.11 continue to support DSRC-compatible operation.</w:t>
        </w:r>
      </w:ins>
    </w:p>
    <w:p w14:paraId="021207E0" w14:textId="7326347F" w:rsidR="003C5E8A" w:rsidRPr="00117E79" w:rsidRDefault="00B703C3" w:rsidP="003C5E8A">
      <w:pPr>
        <w:pStyle w:val="NormalWeb"/>
        <w:spacing w:before="0" w:beforeAutospacing="0" w:after="0" w:afterAutospacing="0" w:line="360" w:lineRule="auto"/>
        <w:ind w:firstLine="720"/>
        <w:contextualSpacing/>
      </w:pPr>
      <w:r w:rsidRPr="00117E79">
        <w:t xml:space="preserve">The IEEE 802.11 </w:t>
      </w:r>
      <w:r w:rsidR="0007781C" w:rsidRPr="00117E79">
        <w:t>Working Group (</w:t>
      </w:r>
      <w:r w:rsidRPr="00117E79">
        <w:t>WG</w:t>
      </w:r>
      <w:r w:rsidR="0007781C" w:rsidRPr="00117E79">
        <w:t>)</w:t>
      </w:r>
      <w:r w:rsidRPr="00117E79">
        <w:t xml:space="preserve"> is </w:t>
      </w:r>
      <w:r w:rsidR="0007781C" w:rsidRPr="00117E79">
        <w:t xml:space="preserve">now </w:t>
      </w:r>
      <w:r w:rsidRPr="00117E79">
        <w:t xml:space="preserve">specifying an IEEE Next Generation V2X (NGV) </w:t>
      </w:r>
      <w:ins w:id="8" w:author="Author">
        <w:r w:rsidR="00526F2F">
          <w:t xml:space="preserve">amendment </w:t>
        </w:r>
        <w:del w:id="9" w:author="Author">
          <w:r w:rsidR="0082153B" w:rsidRPr="00117E79" w:rsidDel="00526F2F">
            <w:delText xml:space="preserve">specification in </w:delText>
          </w:r>
        </w:del>
      </w:ins>
      <w:del w:id="10" w:author="Author">
        <w:r w:rsidRPr="00117E79" w:rsidDel="0082153B">
          <w:delText xml:space="preserve">amendment, to be called IEEE </w:delText>
        </w:r>
      </w:del>
      <w:ins w:id="11" w:author="Author">
        <w:r w:rsidR="0082153B" w:rsidRPr="00117E79">
          <w:t>the P</w:t>
        </w:r>
      </w:ins>
      <w:r w:rsidRPr="00117E79">
        <w:t>802.11bd</w:t>
      </w:r>
      <w:ins w:id="12" w:author="Author">
        <w:r w:rsidR="0082153B" w:rsidRPr="00117E79">
          <w:t xml:space="preserve"> project</w:t>
        </w:r>
      </w:ins>
      <w:r w:rsidR="00E41E00" w:rsidRPr="00117E79">
        <w:t>. A</w:t>
      </w:r>
      <w:r w:rsidRPr="00117E79">
        <w:t>s described below</w:t>
      </w:r>
      <w:r w:rsidR="00E41E00" w:rsidRPr="00117E79">
        <w:t>, the IEEE NGV amendment</w:t>
      </w:r>
      <w:r w:rsidRPr="00117E79">
        <w:t xml:space="preserve"> is intended to provide a seamless evolution path from DSRC in the 5.9 GHz DSRC band. Any consideration of the rules governing use of the 5.9 GHz band must recognize the societal value of allowing DSRC and IEEE NGV </w:t>
      </w:r>
      <w:r w:rsidR="00226248" w:rsidRPr="00117E79">
        <w:t xml:space="preserve">to operate together </w:t>
      </w:r>
      <w:r w:rsidR="00D42BCD" w:rsidRPr="00117E79">
        <w:t xml:space="preserve">throughout </w:t>
      </w:r>
      <w:r w:rsidRPr="00117E79">
        <w:t>the band.</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5ECA4E80" w:rsidR="00570562" w:rsidRPr="00117E79" w:rsidRDefault="00E74421" w:rsidP="003C5E8A">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Current deployments are using the entire band</w:t>
      </w:r>
    </w:p>
    <w:p w14:paraId="6465E5D6" w14:textId="79D2BC7C" w:rsidR="00073786" w:rsidRPr="00117E79" w:rsidRDefault="00D54D43" w:rsidP="00570562">
      <w:pPr>
        <w:pStyle w:val="ListParagraph"/>
        <w:spacing w:line="360" w:lineRule="auto"/>
        <w:ind w:left="0" w:firstLine="810"/>
        <w:rPr>
          <w:rFonts w:ascii="Times New Roman" w:hAnsi="Times New Roman" w:cs="Times New Roman"/>
        </w:rPr>
      </w:pPr>
      <w:r w:rsidRPr="00117E79">
        <w:rPr>
          <w:rFonts w:ascii="Times New Roman" w:hAnsi="Times New Roman" w:cs="Times New Roman"/>
        </w:rPr>
        <w:t>As the US Department of Transportation noted</w:t>
      </w:r>
      <w:r w:rsidR="0039351C" w:rsidRPr="00117E79">
        <w:rPr>
          <w:rFonts w:ascii="Times New Roman" w:hAnsi="Times New Roman" w:cs="Times New Roman"/>
        </w:rPr>
        <w:t>,</w:t>
      </w:r>
      <w:r w:rsidRPr="00117E79">
        <w:rPr>
          <w:rFonts w:ascii="Times New Roman" w:hAnsi="Times New Roman" w:cs="Times New Roman"/>
        </w:rPr>
        <w:t xml:space="preserve"> in October 2018</w:t>
      </w:r>
      <w:r w:rsidR="0039351C" w:rsidRPr="00117E79">
        <w:rPr>
          <w:rFonts w:ascii="Times New Roman" w:hAnsi="Times New Roman" w:cs="Times New Roman"/>
        </w:rPr>
        <w:t xml:space="preserve"> </w:t>
      </w:r>
      <w:r w:rsidR="00602F0A" w:rsidRPr="00117E79">
        <w:rPr>
          <w:rFonts w:ascii="Times New Roman" w:hAnsi="Times New Roman" w:cs="Times New Roman"/>
        </w:rPr>
        <w:t xml:space="preserve">there </w:t>
      </w:r>
      <w:r w:rsidR="0039351C" w:rsidRPr="00117E79">
        <w:rPr>
          <w:rFonts w:ascii="Times New Roman" w:hAnsi="Times New Roman" w:cs="Times New Roman"/>
        </w:rPr>
        <w:t>were already</w:t>
      </w:r>
      <w:r w:rsidR="00602F0A" w:rsidRPr="00117E79">
        <w:rPr>
          <w:rFonts w:ascii="Times New Roman" w:hAnsi="Times New Roman" w:cs="Times New Roman"/>
        </w:rPr>
        <w:t xml:space="preserve"> more than 70 active DSRC deployments, using all seven channels and with thousands of vehicles on the road</w:t>
      </w:r>
      <w:r w:rsidR="00173604" w:rsidRPr="00117E79">
        <w:rPr>
          <w:rStyle w:val="FootnoteReference"/>
          <w:rFonts w:ascii="Times New Roman" w:hAnsi="Times New Roman" w:cs="Times New Roman"/>
        </w:rPr>
        <w:footnoteReference w:id="2"/>
      </w:r>
      <w:r w:rsidR="00602F0A" w:rsidRPr="00117E79">
        <w:rPr>
          <w:rFonts w:ascii="Times New Roman" w:hAnsi="Times New Roman" w:cs="Times New Roman"/>
        </w:rPr>
        <w:t xml:space="preserve">.  IEEE 802 believes that allowing automakers and infrastructure owner-operators to evolve </w:t>
      </w:r>
      <w:r w:rsidR="00173604" w:rsidRPr="00117E79">
        <w:rPr>
          <w:rFonts w:ascii="Times New Roman" w:hAnsi="Times New Roman" w:cs="Times New Roman"/>
        </w:rPr>
        <w:t xml:space="preserve">their deployments </w:t>
      </w:r>
      <w:r w:rsidR="00602F0A" w:rsidRPr="00117E79">
        <w:rPr>
          <w:rFonts w:ascii="Times New Roman" w:hAnsi="Times New Roman" w:cs="Times New Roman"/>
        </w:rPr>
        <w:t xml:space="preserve">to </w:t>
      </w:r>
      <w:del w:id="13" w:author="Author">
        <w:r w:rsidR="00602F0A" w:rsidRPr="00117E79" w:rsidDel="00781857">
          <w:rPr>
            <w:rFonts w:ascii="Times New Roman" w:hAnsi="Times New Roman" w:cs="Times New Roman"/>
          </w:rPr>
          <w:delText xml:space="preserve">IEEE </w:delText>
        </w:r>
      </w:del>
      <w:r w:rsidR="00602F0A" w:rsidRPr="00117E79">
        <w:rPr>
          <w:rFonts w:ascii="Times New Roman" w:hAnsi="Times New Roman" w:cs="Times New Roman"/>
        </w:rPr>
        <w:t xml:space="preserve">NGV </w:t>
      </w:r>
      <w:r w:rsidR="0007781C" w:rsidRPr="00117E79">
        <w:rPr>
          <w:rFonts w:ascii="Times New Roman" w:hAnsi="Times New Roman" w:cs="Times New Roman"/>
        </w:rPr>
        <w:t xml:space="preserve">over time </w:t>
      </w:r>
      <w:r w:rsidR="00602F0A" w:rsidRPr="00117E79">
        <w:rPr>
          <w:rFonts w:ascii="Times New Roman" w:hAnsi="Times New Roman" w:cs="Times New Roman"/>
        </w:rPr>
        <w:t xml:space="preserve">will protect past and future investments in DSRC, providing a critical incentive for additional deployment of these life-saving technologies. As outlined below, we are concerned that alternative deployment models, like that advocated by </w:t>
      </w:r>
      <w:r w:rsidR="00602F0A" w:rsidRPr="00117E79">
        <w:rPr>
          <w:rFonts w:ascii="Times New Roman" w:hAnsi="Times New Roman" w:cs="Times New Roman"/>
        </w:rPr>
        <w:lastRenderedPageBreak/>
        <w:t xml:space="preserve">5GAA, will undermine existing investments and discourage widespread deployment of V2X technology.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501921B1" w14:textId="411BD923" w:rsidR="00E91665" w:rsidRPr="00117E79" w:rsidRDefault="00602F0A" w:rsidP="00F651BF">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Contrasting visions of technology evolution</w:t>
      </w:r>
      <w:r w:rsidR="00E006E9" w:rsidRPr="00117E79">
        <w:rPr>
          <w:rFonts w:ascii="Times New Roman" w:hAnsi="Times New Roman" w:cs="Times New Roman"/>
          <w:u w:val="single"/>
        </w:rPr>
        <w:t xml:space="preserve"> and the value of interoperability</w:t>
      </w:r>
    </w:p>
    <w:p w14:paraId="215D3ECD" w14:textId="7133B246" w:rsidR="003B2544" w:rsidRPr="00117E79" w:rsidRDefault="003B2544" w:rsidP="009F1941">
      <w:pPr>
        <w:spacing w:line="360" w:lineRule="auto"/>
        <w:ind w:firstLine="720"/>
        <w:rPr>
          <w:sz w:val="24"/>
          <w:szCs w:val="24"/>
        </w:rPr>
      </w:pPr>
      <w:r w:rsidRPr="00117E79">
        <w:rPr>
          <w:sz w:val="24"/>
          <w:szCs w:val="24"/>
        </w:rPr>
        <w:t xml:space="preserve">The 5GAA </w:t>
      </w:r>
      <w:r w:rsidRPr="00117E79">
        <w:rPr>
          <w:i/>
          <w:sz w:val="24"/>
          <w:szCs w:val="24"/>
        </w:rPr>
        <w:t xml:space="preserve">ex parte </w:t>
      </w:r>
      <w:r w:rsidRPr="00117E79">
        <w:rPr>
          <w:sz w:val="24"/>
          <w:szCs w:val="24"/>
        </w:rPr>
        <w:t xml:space="preserve">clarifies the vision of evolution for V2X technology that was initially articulated in the 5GAA waiver request. IEEE 802 has </w:t>
      </w:r>
      <w:r w:rsidR="009F1941" w:rsidRPr="00117E79">
        <w:rPr>
          <w:sz w:val="24"/>
          <w:szCs w:val="24"/>
        </w:rPr>
        <w:t xml:space="preserve">adopted </w:t>
      </w:r>
      <w:r w:rsidRPr="00117E79">
        <w:rPr>
          <w:sz w:val="24"/>
          <w:szCs w:val="24"/>
        </w:rPr>
        <w:t xml:space="preserve">a quite different vision for V2X technology evolution, and we think it is important for the Commission to be fully aware of the contrasts between the 5GAA and IEEE 802 visions, and of the implications of those contrasts, as </w:t>
      </w:r>
      <w:r w:rsidR="00BF28CC" w:rsidRPr="00117E79">
        <w:rPr>
          <w:sz w:val="24"/>
          <w:szCs w:val="24"/>
        </w:rPr>
        <w:t xml:space="preserve">it </w:t>
      </w:r>
      <w:r w:rsidRPr="00117E79">
        <w:rPr>
          <w:sz w:val="24"/>
          <w:szCs w:val="24"/>
        </w:rPr>
        <w:t>consider</w:t>
      </w:r>
      <w:r w:rsidR="00BF28CC" w:rsidRPr="00117E79">
        <w:rPr>
          <w:sz w:val="24"/>
          <w:szCs w:val="24"/>
        </w:rPr>
        <w:t>s</w:t>
      </w:r>
      <w:r w:rsidRPr="00117E79">
        <w:rPr>
          <w:sz w:val="24"/>
          <w:szCs w:val="24"/>
        </w:rPr>
        <w:t xml:space="preserve"> the future of the 5.9 GHz DSRC band.</w:t>
      </w:r>
    </w:p>
    <w:p w14:paraId="277DBA68" w14:textId="77777777" w:rsidR="005A4C53" w:rsidRPr="00117E79" w:rsidRDefault="005A4C53" w:rsidP="003B2544">
      <w:pPr>
        <w:spacing w:line="360" w:lineRule="auto"/>
        <w:ind w:left="720" w:hanging="720"/>
        <w:rPr>
          <w:sz w:val="24"/>
          <w:szCs w:val="24"/>
          <w:u w:val="single"/>
        </w:rPr>
      </w:pPr>
    </w:p>
    <w:p w14:paraId="113EF0FA" w14:textId="02D7AFBE" w:rsidR="003B2544" w:rsidRPr="00117E79" w:rsidRDefault="003B2544" w:rsidP="005A4C53">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Definitions:</w:t>
      </w:r>
    </w:p>
    <w:p w14:paraId="36AF6AA2" w14:textId="1003C203" w:rsidR="003B2544" w:rsidRPr="00117E79" w:rsidRDefault="003B2544" w:rsidP="009F1941">
      <w:pPr>
        <w:spacing w:line="360" w:lineRule="auto"/>
        <w:ind w:firstLine="720"/>
        <w:rPr>
          <w:sz w:val="24"/>
          <w:szCs w:val="24"/>
        </w:rPr>
      </w:pPr>
      <w:r w:rsidRPr="00117E79">
        <w:rPr>
          <w:sz w:val="24"/>
          <w:szCs w:val="24"/>
        </w:rPr>
        <w:t xml:space="preserve">To facilitate this discussion, we offer specific definitions of key terms. These definitions </w:t>
      </w:r>
      <w:r w:rsidR="00BF28CC" w:rsidRPr="00117E79">
        <w:rPr>
          <w:sz w:val="24"/>
          <w:szCs w:val="24"/>
        </w:rPr>
        <w:t xml:space="preserve">describe various relationships between IEEE 802.11p devices and IEEE </w:t>
      </w:r>
      <w:r w:rsidR="00DC6831" w:rsidRPr="00117E79">
        <w:rPr>
          <w:sz w:val="24"/>
          <w:szCs w:val="24"/>
        </w:rPr>
        <w:t>P</w:t>
      </w:r>
      <w:r w:rsidR="00BF28CC" w:rsidRPr="00117E79">
        <w:rPr>
          <w:sz w:val="24"/>
          <w:szCs w:val="24"/>
        </w:rPr>
        <w:t>802.11bd devices</w:t>
      </w:r>
      <w:r w:rsidR="006B11E1" w:rsidRPr="00117E79">
        <w:rPr>
          <w:sz w:val="24"/>
          <w:szCs w:val="24"/>
        </w:rPr>
        <w:t xml:space="preserve"> (also known as </w:t>
      </w:r>
      <w:r w:rsidR="00BF28CC" w:rsidRPr="00117E79">
        <w:rPr>
          <w:sz w:val="24"/>
          <w:szCs w:val="24"/>
        </w:rPr>
        <w:t>DSRC</w:t>
      </w:r>
      <w:r w:rsidR="006B11E1" w:rsidRPr="00117E79">
        <w:rPr>
          <w:sz w:val="24"/>
          <w:szCs w:val="24"/>
        </w:rPr>
        <w:t xml:space="preserve"> and IEEE </w:t>
      </w:r>
      <w:r w:rsidR="00BF28CC" w:rsidRPr="00117E79">
        <w:rPr>
          <w:sz w:val="24"/>
          <w:szCs w:val="24"/>
        </w:rPr>
        <w:t>NGV device</w:t>
      </w:r>
      <w:r w:rsidR="006B11E1" w:rsidRPr="00117E79">
        <w:rPr>
          <w:sz w:val="24"/>
          <w:szCs w:val="24"/>
        </w:rPr>
        <w:t>s, respectively)</w:t>
      </w:r>
      <w:r w:rsidR="00BF28CC" w:rsidRPr="00117E79">
        <w:rPr>
          <w:sz w:val="24"/>
          <w:szCs w:val="24"/>
        </w:rPr>
        <w:t xml:space="preserve">. While these definitions are </w:t>
      </w:r>
      <w:r w:rsidR="00D5601C" w:rsidRPr="00117E79">
        <w:rPr>
          <w:sz w:val="24"/>
          <w:szCs w:val="24"/>
        </w:rPr>
        <w:t xml:space="preserve">for </w:t>
      </w:r>
      <w:r w:rsidR="00BF28CC" w:rsidRPr="00117E79">
        <w:rPr>
          <w:sz w:val="24"/>
          <w:szCs w:val="24"/>
        </w:rPr>
        <w:t xml:space="preserve">devices </w:t>
      </w:r>
      <w:r w:rsidR="00C27DFF" w:rsidRPr="00117E79">
        <w:rPr>
          <w:sz w:val="24"/>
          <w:szCs w:val="24"/>
        </w:rPr>
        <w:t xml:space="preserve">implementing the DSRC and </w:t>
      </w:r>
      <w:del w:id="14" w:author="Author">
        <w:r w:rsidR="00C27DFF" w:rsidRPr="00117E79" w:rsidDel="00576B84">
          <w:rPr>
            <w:sz w:val="24"/>
            <w:szCs w:val="24"/>
          </w:rPr>
          <w:delText xml:space="preserve">IEEE </w:delText>
        </w:r>
      </w:del>
      <w:r w:rsidR="00C27DFF" w:rsidRPr="00117E79">
        <w:rPr>
          <w:sz w:val="24"/>
          <w:szCs w:val="24"/>
        </w:rPr>
        <w:t xml:space="preserve">NGV technologies, </w:t>
      </w:r>
      <w:r w:rsidR="00BF28CC" w:rsidRPr="00117E79">
        <w:rPr>
          <w:sz w:val="24"/>
          <w:szCs w:val="24"/>
        </w:rPr>
        <w:t>they may also be applied more generally</w:t>
      </w:r>
      <w:r w:rsidR="00C27DFF" w:rsidRPr="00117E79">
        <w:rPr>
          <w:sz w:val="24"/>
          <w:szCs w:val="24"/>
        </w:rPr>
        <w:t xml:space="preserve"> to analyze the relationship between other </w:t>
      </w:r>
      <w:r w:rsidR="00804204" w:rsidRPr="00117E79">
        <w:rPr>
          <w:sz w:val="24"/>
          <w:szCs w:val="24"/>
        </w:rPr>
        <w:t xml:space="preserve">V2X </w:t>
      </w:r>
      <w:r w:rsidR="00C27DFF" w:rsidRPr="00117E79">
        <w:rPr>
          <w:sz w:val="24"/>
          <w:szCs w:val="24"/>
        </w:rPr>
        <w:t>technologies. These definitions</w:t>
      </w:r>
      <w:r w:rsidR="00BF28CC" w:rsidRPr="00117E79">
        <w:rPr>
          <w:sz w:val="24"/>
          <w:szCs w:val="24"/>
        </w:rPr>
        <w:t xml:space="preserve"> </w:t>
      </w:r>
      <w:r w:rsidRPr="00117E79">
        <w:rPr>
          <w:sz w:val="24"/>
          <w:szCs w:val="24"/>
        </w:rPr>
        <w:t>are agreed</w:t>
      </w:r>
      <w:r w:rsidR="00C27DFF" w:rsidRPr="00117E79">
        <w:rPr>
          <w:rStyle w:val="FootnoteReference"/>
          <w:sz w:val="24"/>
          <w:szCs w:val="24"/>
        </w:rPr>
        <w:footnoteReference w:id="3"/>
      </w:r>
      <w:r w:rsidRPr="00117E79">
        <w:rPr>
          <w:sz w:val="24"/>
          <w:szCs w:val="24"/>
        </w:rPr>
        <w:t xml:space="preserve"> within IEEE 802.11 TGbd (the task group </w:t>
      </w:r>
      <w:del w:id="16" w:author="Author">
        <w:r w:rsidRPr="00117E79" w:rsidDel="0082153B">
          <w:rPr>
            <w:sz w:val="24"/>
            <w:szCs w:val="24"/>
          </w:rPr>
          <w:delText xml:space="preserve">specifying </w:delText>
        </w:r>
      </w:del>
      <w:ins w:id="17" w:author="Author">
        <w:r w:rsidR="0082153B" w:rsidRPr="00117E79">
          <w:rPr>
            <w:sz w:val="24"/>
            <w:szCs w:val="24"/>
          </w:rPr>
          <w:t xml:space="preserve">developing </w:t>
        </w:r>
      </w:ins>
      <w:r w:rsidRPr="00117E79">
        <w:rPr>
          <w:sz w:val="24"/>
          <w:szCs w:val="24"/>
        </w:rPr>
        <w:t xml:space="preserve">the </w:t>
      </w:r>
      <w:r w:rsidR="00C27DFF" w:rsidRPr="00117E79">
        <w:rPr>
          <w:sz w:val="24"/>
          <w:szCs w:val="24"/>
        </w:rPr>
        <w:t xml:space="preserve">IEEE </w:t>
      </w:r>
      <w:ins w:id="18" w:author="Author">
        <w:r w:rsidR="0082153B" w:rsidRPr="00117E79">
          <w:rPr>
            <w:sz w:val="24"/>
            <w:szCs w:val="24"/>
          </w:rPr>
          <w:t>P</w:t>
        </w:r>
      </w:ins>
      <w:r w:rsidR="00C27DFF" w:rsidRPr="00117E79">
        <w:rPr>
          <w:sz w:val="24"/>
          <w:szCs w:val="24"/>
        </w:rPr>
        <w:t xml:space="preserve">802.11bd </w:t>
      </w:r>
      <w:r w:rsidRPr="00117E79">
        <w:rPr>
          <w:sz w:val="24"/>
          <w:szCs w:val="24"/>
        </w:rPr>
        <w:t>NGV amendment):</w:t>
      </w:r>
    </w:p>
    <w:p w14:paraId="029A8B18" w14:textId="120F01CD"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 xml:space="preserve">Interoperability – </w:t>
      </w:r>
      <w:r w:rsidRPr="00117E79">
        <w:rPr>
          <w:sz w:val="24"/>
          <w:szCs w:val="24"/>
          <w:lang w:val="en-US"/>
        </w:rPr>
        <w:t>IEEE 802.11p devices to be able to decode at least one mode of transmission of IEEE 802.11bd devices, and IEEE 802.11bd devices to be able to decode IEEE 802.11p transmissions</w:t>
      </w:r>
    </w:p>
    <w:p w14:paraId="7DD6BAB5" w14:textId="3D163272"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Co-existence</w:t>
      </w:r>
      <w:r w:rsidRPr="00117E79">
        <w:rPr>
          <w:sz w:val="24"/>
          <w:szCs w:val="24"/>
          <w:lang w:val="en-US"/>
        </w:rPr>
        <w:t xml:space="preserve"> – IEEE 802.11p devices to be able to detect IEEE 802.11bd transmissions (and hence defer from transmissions during IEEE 802.11bd transmissions causing collisions) and vice versa</w:t>
      </w:r>
    </w:p>
    <w:p w14:paraId="31C5AB4B" w14:textId="0C633453"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Backward compatibility</w:t>
      </w:r>
      <w:r w:rsidRPr="00117E79">
        <w:rPr>
          <w:sz w:val="24"/>
          <w:szCs w:val="24"/>
          <w:lang w:val="en-US"/>
        </w:rPr>
        <w:t xml:space="preserve"> – Ability of IEEE 802.11bd devices to operate in a mode in which they can interoperate with IEEE 802.11p devices</w:t>
      </w:r>
    </w:p>
    <w:p w14:paraId="07491844" w14:textId="7386A8B9"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Fairness</w:t>
      </w:r>
      <w:r w:rsidRPr="00117E79">
        <w:rPr>
          <w:sz w:val="24"/>
          <w:szCs w:val="24"/>
          <w:lang w:val="en-US"/>
        </w:rPr>
        <w:t xml:space="preserve"> – Ability of IEEE 802.11p devices to have the same opportunities as IEEE 802.11bd devices to access the channel </w:t>
      </w:r>
    </w:p>
    <w:p w14:paraId="6B3BC4DD" w14:textId="77777777" w:rsidR="00172C18" w:rsidRPr="00117E79" w:rsidRDefault="00172C18" w:rsidP="00570562">
      <w:pPr>
        <w:spacing w:line="360" w:lineRule="auto"/>
        <w:rPr>
          <w:sz w:val="24"/>
          <w:szCs w:val="24"/>
        </w:rPr>
      </w:pPr>
    </w:p>
    <w:p w14:paraId="722FA1A9" w14:textId="4A1C7983" w:rsidR="003B2544" w:rsidRPr="00117E79" w:rsidRDefault="003B2544" w:rsidP="00570562">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IEEE 802 vision of V2X technology evolution:</w:t>
      </w:r>
    </w:p>
    <w:p w14:paraId="166922C5" w14:textId="559F4CB3" w:rsidR="003C3672" w:rsidRPr="00117E79" w:rsidRDefault="003B2544" w:rsidP="009F1941">
      <w:pPr>
        <w:spacing w:line="360" w:lineRule="auto"/>
        <w:ind w:firstLine="720"/>
        <w:rPr>
          <w:sz w:val="24"/>
          <w:szCs w:val="24"/>
        </w:rPr>
      </w:pPr>
      <w:r w:rsidRPr="00117E79">
        <w:rPr>
          <w:sz w:val="24"/>
          <w:szCs w:val="24"/>
        </w:rPr>
        <w:lastRenderedPageBreak/>
        <w:t xml:space="preserve">The IEEE 802 vision for V2X technology evolution is </w:t>
      </w:r>
      <w:r w:rsidR="003C3672" w:rsidRPr="00117E79">
        <w:rPr>
          <w:sz w:val="24"/>
          <w:szCs w:val="24"/>
        </w:rPr>
        <w:t>documented in the approved Project Authorization Request for the IEEE NGV amendment</w:t>
      </w:r>
      <w:r w:rsidR="003C3672" w:rsidRPr="00117E79">
        <w:rPr>
          <w:rStyle w:val="FootnoteReference"/>
          <w:sz w:val="24"/>
          <w:szCs w:val="24"/>
        </w:rPr>
        <w:footnoteReference w:id="4"/>
      </w:r>
      <w:r w:rsidR="003C3672" w:rsidRPr="00117E79">
        <w:rPr>
          <w:sz w:val="24"/>
          <w:szCs w:val="24"/>
        </w:rPr>
        <w:t xml:space="preserve">, which requires that: </w:t>
      </w:r>
    </w:p>
    <w:p w14:paraId="5A679A62" w14:textId="409C8C86" w:rsidR="003C3672" w:rsidRPr="00117E79" w:rsidRDefault="003C3672" w:rsidP="003C3672">
      <w:pPr>
        <w:ind w:left="720"/>
        <w:rPr>
          <w:sz w:val="24"/>
          <w:szCs w:val="24"/>
          <w:lang w:eastAsia="zh-CN"/>
        </w:rPr>
      </w:pPr>
      <w:r w:rsidRPr="00117E79">
        <w:rPr>
          <w:sz w:val="24"/>
          <w:szCs w:val="24"/>
          <w:lang w:eastAsia="zh-CN"/>
        </w:rPr>
        <w:t>“This amendment shall provide interoperability, coexistence, backward compatibility, and fairness with deployed OCB (Outside the Context of a BSS) devices.”</w:t>
      </w:r>
      <w:r w:rsidR="00C8036E" w:rsidRPr="00117E79">
        <w:rPr>
          <w:rStyle w:val="FootnoteReference"/>
          <w:sz w:val="24"/>
          <w:szCs w:val="24"/>
          <w:lang w:eastAsia="zh-CN"/>
        </w:rPr>
        <w:footnoteReference w:id="5"/>
      </w:r>
    </w:p>
    <w:p w14:paraId="2859C955" w14:textId="5648C46B" w:rsidR="003B2544" w:rsidRPr="00117E79" w:rsidRDefault="004937FE" w:rsidP="00C8036E">
      <w:pPr>
        <w:spacing w:before="120" w:line="360" w:lineRule="auto"/>
        <w:rPr>
          <w:sz w:val="24"/>
          <w:szCs w:val="24"/>
        </w:rPr>
      </w:pPr>
      <w:r w:rsidRPr="00117E79">
        <w:rPr>
          <w:sz w:val="24"/>
          <w:szCs w:val="24"/>
        </w:rPr>
        <w:t>In other words, IEEE</w:t>
      </w:r>
      <w:r w:rsidR="003B2544" w:rsidRPr="00117E79">
        <w:rPr>
          <w:sz w:val="24"/>
          <w:szCs w:val="24"/>
        </w:rPr>
        <w:t xml:space="preserve"> next generation V2X technology (</w:t>
      </w:r>
      <w:del w:id="23" w:author="Author">
        <w:r w:rsidR="003B2544" w:rsidRPr="00117E79" w:rsidDel="00184934">
          <w:rPr>
            <w:sz w:val="24"/>
            <w:szCs w:val="24"/>
          </w:rPr>
          <w:delText>IEEE 802.11bd</w:delText>
        </w:r>
      </w:del>
      <w:ins w:id="24" w:author="Author">
        <w:r w:rsidR="00184934" w:rsidRPr="00117E79">
          <w:rPr>
            <w:sz w:val="24"/>
            <w:szCs w:val="24"/>
          </w:rPr>
          <w:t>NGV</w:t>
        </w:r>
      </w:ins>
      <w:r w:rsidR="003B2544" w:rsidRPr="00117E79">
        <w:rPr>
          <w:sz w:val="24"/>
          <w:szCs w:val="24"/>
        </w:rPr>
        <w:t xml:space="preserve">) will have fair same-channel coexistence with DSRC and will be interoperable and backward compatible with DSRC.  </w:t>
      </w:r>
    </w:p>
    <w:p w14:paraId="178D7BF3" w14:textId="5436ECE0" w:rsidR="003B2544" w:rsidRPr="00117E79" w:rsidRDefault="003B2544" w:rsidP="009F1941">
      <w:pPr>
        <w:spacing w:line="360" w:lineRule="auto"/>
        <w:ind w:firstLine="720"/>
        <w:rPr>
          <w:sz w:val="24"/>
          <w:szCs w:val="24"/>
        </w:rPr>
      </w:pPr>
      <w:r w:rsidRPr="00117E79">
        <w:rPr>
          <w:sz w:val="24"/>
          <w:szCs w:val="24"/>
        </w:rPr>
        <w:t xml:space="preserve">Furthermore, this vision is extensible to further generations.  </w:t>
      </w:r>
      <w:bookmarkStart w:id="25" w:name="OLE_LINK308"/>
      <w:bookmarkStart w:id="26" w:name="OLE_LINK309"/>
      <w:r w:rsidRPr="00117E79">
        <w:rPr>
          <w:sz w:val="24"/>
          <w:szCs w:val="24"/>
        </w:rPr>
        <w:t xml:space="preserve">A future extension of IEEE 802.11p and IEEE </w:t>
      </w:r>
      <w:ins w:id="27" w:author="Author">
        <w:r w:rsidR="005B4B66" w:rsidRPr="00117E79">
          <w:rPr>
            <w:sz w:val="24"/>
            <w:szCs w:val="24"/>
          </w:rPr>
          <w:t>P</w:t>
        </w:r>
      </w:ins>
      <w:r w:rsidRPr="00117E79">
        <w:rPr>
          <w:sz w:val="24"/>
          <w:szCs w:val="24"/>
        </w:rPr>
        <w:t xml:space="preserve">802.11bd </w:t>
      </w:r>
      <w:bookmarkEnd w:id="25"/>
      <w:bookmarkEnd w:id="26"/>
      <w:r w:rsidRPr="00117E79">
        <w:rPr>
          <w:sz w:val="24"/>
          <w:szCs w:val="24"/>
        </w:rPr>
        <w:t>will also be able to achieve fair, same-channel co-existence</w:t>
      </w:r>
      <w:r w:rsidR="002C2BB0" w:rsidRPr="00117E79">
        <w:rPr>
          <w:sz w:val="24"/>
          <w:szCs w:val="24"/>
        </w:rPr>
        <w:t>, interoperability, and backward compatibility</w:t>
      </w:r>
      <w:r w:rsidRPr="00117E79">
        <w:rPr>
          <w:sz w:val="24"/>
          <w:szCs w:val="24"/>
        </w:rPr>
        <w:t xml:space="preserve"> with previous generations.</w:t>
      </w:r>
      <w:r w:rsidR="002C2BB0" w:rsidRPr="00117E79">
        <w:rPr>
          <w:sz w:val="24"/>
          <w:szCs w:val="24"/>
        </w:rPr>
        <w:t xml:space="preserve"> Backward compatibility across generations of IEEE 802.11 technology is fundamentally based on use of a common packet preamble</w:t>
      </w:r>
      <w:del w:id="28" w:author="Author">
        <w:r w:rsidR="002C2BB0" w:rsidRPr="00117E79" w:rsidDel="00B51534">
          <w:rPr>
            <w:rStyle w:val="FootnoteReference"/>
            <w:sz w:val="24"/>
            <w:szCs w:val="24"/>
          </w:rPr>
          <w:footnoteReference w:id="6"/>
        </w:r>
      </w:del>
      <w:r w:rsidR="002C2BB0" w:rsidRPr="00117E79">
        <w:rPr>
          <w:sz w:val="24"/>
          <w:szCs w:val="24"/>
        </w:rPr>
        <w:t xml:space="preserve"> and channel access mechanism.</w:t>
      </w:r>
    </w:p>
    <w:p w14:paraId="1B03BA09" w14:textId="114D953B" w:rsidR="00747973" w:rsidRPr="00117E79" w:rsidRDefault="003B2544" w:rsidP="009F1941">
      <w:pPr>
        <w:spacing w:line="360" w:lineRule="auto"/>
        <w:ind w:firstLine="720"/>
        <w:rPr>
          <w:sz w:val="24"/>
          <w:szCs w:val="24"/>
        </w:rPr>
      </w:pPr>
      <w:r w:rsidRPr="00117E79">
        <w:rPr>
          <w:sz w:val="24"/>
          <w:szCs w:val="24"/>
        </w:rPr>
        <w:t xml:space="preserve">The IEEE 802 vision of V2X technology evolution ensures that investments in DSRC </w:t>
      </w:r>
      <w:r w:rsidR="002C2BB0" w:rsidRPr="00117E79">
        <w:rPr>
          <w:sz w:val="24"/>
          <w:szCs w:val="24"/>
        </w:rPr>
        <w:t>are protected over the long lifetimes of automotive on-board units (OBUs) and roadside units (RSUs).</w:t>
      </w:r>
      <w:r w:rsidR="00747973" w:rsidRPr="00117E79">
        <w:rPr>
          <w:sz w:val="24"/>
          <w:szCs w:val="24"/>
        </w:rPr>
        <w:t xml:space="preserve"> This protection is critical for encouraging DSRC deployments today and in the near future. By contrast, any proposals that threaten to impair these investments will discourage deployment and delay the realization of societal benefits from this spectrum.</w:t>
      </w:r>
    </w:p>
    <w:p w14:paraId="29D8EA5A" w14:textId="7F79E874" w:rsidR="003B2544" w:rsidRPr="00117E79" w:rsidRDefault="003B2544" w:rsidP="005A4C53">
      <w:pPr>
        <w:spacing w:line="360" w:lineRule="auto"/>
        <w:rPr>
          <w:sz w:val="24"/>
          <w:szCs w:val="24"/>
        </w:rPr>
      </w:pPr>
    </w:p>
    <w:p w14:paraId="01A346B5" w14:textId="04B0C4AD" w:rsidR="003B2544" w:rsidRPr="00117E79" w:rsidRDefault="003B2544" w:rsidP="00570562">
      <w:pPr>
        <w:pStyle w:val="ListParagraph"/>
        <w:numPr>
          <w:ilvl w:val="0"/>
          <w:numId w:val="1"/>
        </w:numPr>
        <w:spacing w:line="360" w:lineRule="auto"/>
        <w:ind w:left="720"/>
        <w:rPr>
          <w:rFonts w:ascii="Times New Roman" w:hAnsi="Times New Roman" w:cs="Times New Roman"/>
        </w:rPr>
      </w:pPr>
      <w:r w:rsidRPr="00117E79">
        <w:rPr>
          <w:rFonts w:ascii="Times New Roman" w:hAnsi="Times New Roman" w:cs="Times New Roman"/>
          <w:u w:val="single"/>
        </w:rPr>
        <w:t>5GAA vision of V2X technology evolution:</w:t>
      </w:r>
      <w:r w:rsidRPr="00117E79">
        <w:rPr>
          <w:rFonts w:ascii="Times New Roman" w:hAnsi="Times New Roman" w:cs="Times New Roman"/>
        </w:rPr>
        <w:t xml:space="preserve"> </w:t>
      </w:r>
    </w:p>
    <w:p w14:paraId="6FDC3038" w14:textId="1C233ED8" w:rsidR="003B2544" w:rsidRPr="00117E79" w:rsidRDefault="003B2544" w:rsidP="009F1941">
      <w:pPr>
        <w:spacing w:line="360" w:lineRule="auto"/>
        <w:ind w:firstLine="720"/>
        <w:rPr>
          <w:sz w:val="24"/>
          <w:szCs w:val="24"/>
        </w:rPr>
      </w:pPr>
      <w:r w:rsidRPr="00117E79">
        <w:rPr>
          <w:sz w:val="24"/>
          <w:szCs w:val="24"/>
        </w:rPr>
        <w:t>By contrast, the 5GAA vision for technology evolution appears to be that none of these attributes will apply between two V2X technologies</w:t>
      </w:r>
      <w:r w:rsidR="00362B93" w:rsidRPr="00117E79">
        <w:rPr>
          <w:sz w:val="24"/>
          <w:szCs w:val="24"/>
        </w:rPr>
        <w:t xml:space="preserve"> or two generations of the same technology</w:t>
      </w:r>
      <w:r w:rsidRPr="00117E79">
        <w:rPr>
          <w:sz w:val="24"/>
          <w:szCs w:val="24"/>
        </w:rPr>
        <w:t>.  LTE V2X PC5 has been specified in a way that it does not achieve fair same-channel coexistence with incumbent DSRC technology, nor does it interoperate with DSRC, nor is it backward compatible with DSRC.</w:t>
      </w:r>
    </w:p>
    <w:p w14:paraId="6D32C376" w14:textId="77777777" w:rsidR="003B2544" w:rsidRPr="00117E79" w:rsidRDefault="003B2544" w:rsidP="009F1941">
      <w:pPr>
        <w:spacing w:line="360" w:lineRule="auto"/>
        <w:ind w:firstLine="720"/>
        <w:rPr>
          <w:sz w:val="24"/>
          <w:szCs w:val="24"/>
        </w:rPr>
      </w:pPr>
      <w:r w:rsidRPr="00117E79">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w:t>
      </w:r>
      <w:r w:rsidRPr="00117E79">
        <w:rPr>
          <w:sz w:val="24"/>
          <w:szCs w:val="24"/>
        </w:rPr>
        <w:lastRenderedPageBreak/>
        <w:t xml:space="preserve">PC5).  To be clear, NR V2X PC5 will not be able to coexist in the same channel, interoperate, or be backward compatible with LTE V2X PC5.  </w:t>
      </w:r>
    </w:p>
    <w:p w14:paraId="21C60C93" w14:textId="77777777" w:rsidR="00C8036E" w:rsidRPr="00117E79" w:rsidRDefault="00C8036E" w:rsidP="003B2544">
      <w:pPr>
        <w:spacing w:line="360" w:lineRule="auto"/>
        <w:ind w:left="720" w:hanging="720"/>
        <w:rPr>
          <w:sz w:val="24"/>
          <w:szCs w:val="24"/>
          <w:u w:val="single"/>
        </w:rPr>
      </w:pPr>
    </w:p>
    <w:p w14:paraId="4F8179A1" w14:textId="4C6D32CF" w:rsidR="003B2544" w:rsidRPr="00117E79" w:rsidRDefault="003B2544" w:rsidP="00570562">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Implications of different evolution models:</w:t>
      </w:r>
    </w:p>
    <w:p w14:paraId="352407C1" w14:textId="5B6533F9" w:rsidR="003B2544" w:rsidRPr="00117E79" w:rsidRDefault="003B2544" w:rsidP="009F1941">
      <w:pPr>
        <w:spacing w:line="360" w:lineRule="auto"/>
        <w:ind w:firstLine="720"/>
        <w:rPr>
          <w:sz w:val="24"/>
          <w:szCs w:val="24"/>
        </w:rPr>
      </w:pPr>
      <w:r w:rsidRPr="00117E79">
        <w:rPr>
          <w:sz w:val="24"/>
          <w:szCs w:val="24"/>
        </w:rPr>
        <w:t xml:space="preserve">The 5GAA V2X technology evolution model implies a high societal cost, a cost that is completely avoided in the IEEE 802 </w:t>
      </w:r>
      <w:r w:rsidR="00E6121D" w:rsidRPr="00117E79">
        <w:rPr>
          <w:sz w:val="24"/>
          <w:szCs w:val="24"/>
        </w:rPr>
        <w:t xml:space="preserve">V2X </w:t>
      </w:r>
      <w:r w:rsidRPr="00117E79">
        <w:rPr>
          <w:sz w:val="24"/>
          <w:szCs w:val="24"/>
        </w:rPr>
        <w:t xml:space="preserve">evolution model.  The 5GAA model implies that V2X spectrum must be fragmented into sub-bands associated with every different V2X technology.  </w:t>
      </w:r>
      <w:r w:rsidR="00362B93" w:rsidRPr="00117E79">
        <w:rPr>
          <w:sz w:val="24"/>
          <w:szCs w:val="24"/>
        </w:rPr>
        <w:t>T</w:t>
      </w:r>
      <w:r w:rsidRPr="00117E79">
        <w:rPr>
          <w:sz w:val="24"/>
          <w:szCs w:val="24"/>
        </w:rPr>
        <w:t xml:space="preserve">he 5GAA waiver request indicated a two-fragment requirement, with 50 MHz for DSRC and 20 MHz dedicated to LTE V2X PC5.  In the new 5GAA </w:t>
      </w:r>
      <w:r w:rsidRPr="00117E79">
        <w:rPr>
          <w:i/>
          <w:sz w:val="24"/>
          <w:szCs w:val="24"/>
        </w:rPr>
        <w:t>ex parte</w:t>
      </w:r>
      <w:r w:rsidRPr="00117E79">
        <w:rPr>
          <w:sz w:val="24"/>
          <w:szCs w:val="24"/>
        </w:rPr>
        <w:t xml:space="preserve">, in recognition that NR V2X PC5 cannot coexist with </w:t>
      </w:r>
      <w:r w:rsidR="00541687" w:rsidRPr="00117E79">
        <w:rPr>
          <w:sz w:val="24"/>
          <w:szCs w:val="24"/>
        </w:rPr>
        <w:t xml:space="preserve">the technologies </w:t>
      </w:r>
      <w:r w:rsidRPr="00117E79">
        <w:rPr>
          <w:sz w:val="24"/>
          <w:szCs w:val="24"/>
        </w:rPr>
        <w:t xml:space="preserve">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w:t>
      </w:r>
      <w:r w:rsidR="00541687" w:rsidRPr="00117E79">
        <w:rPr>
          <w:sz w:val="24"/>
          <w:szCs w:val="24"/>
        </w:rPr>
        <w:t>allocated</w:t>
      </w:r>
      <w:r w:rsidRPr="00117E79">
        <w:rPr>
          <w:sz w:val="24"/>
          <w:szCs w:val="24"/>
        </w:rPr>
        <w:t>.</w:t>
      </w:r>
    </w:p>
    <w:p w14:paraId="424A5107" w14:textId="13B82AEB" w:rsidR="003B2544" w:rsidRPr="00117E79" w:rsidRDefault="003B2544" w:rsidP="009F1941">
      <w:pPr>
        <w:spacing w:line="360" w:lineRule="auto"/>
        <w:ind w:firstLine="720"/>
        <w:rPr>
          <w:sz w:val="24"/>
          <w:szCs w:val="24"/>
        </w:rPr>
      </w:pPr>
      <w:r w:rsidRPr="00117E79">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r w:rsidR="002D141F" w:rsidRPr="00117E79">
        <w:rPr>
          <w:sz w:val="24"/>
          <w:szCs w:val="24"/>
        </w:rPr>
        <w:t xml:space="preserve">and different sub-bands </w:t>
      </w:r>
      <w:r w:rsidRPr="00117E79">
        <w:rPr>
          <w:sz w:val="24"/>
          <w:szCs w:val="24"/>
        </w:rPr>
        <w:t>for sending Basic Safety Messages</w:t>
      </w:r>
      <w:r w:rsidR="00541687" w:rsidRPr="00117E79">
        <w:rPr>
          <w:sz w:val="24"/>
          <w:szCs w:val="24"/>
        </w:rPr>
        <w:t xml:space="preserve"> (BSMs)</w:t>
      </w:r>
      <w:r w:rsidRPr="00117E79">
        <w:rPr>
          <w:sz w:val="24"/>
          <w:szCs w:val="24"/>
        </w:rPr>
        <w:t xml:space="preserve">, </w:t>
      </w:r>
      <w:r w:rsidR="00541687" w:rsidRPr="00117E79">
        <w:rPr>
          <w:sz w:val="24"/>
          <w:szCs w:val="24"/>
        </w:rPr>
        <w:t xml:space="preserve">vehicle </w:t>
      </w:r>
      <w:r w:rsidRPr="00117E79">
        <w:rPr>
          <w:sz w:val="24"/>
          <w:szCs w:val="24"/>
        </w:rPr>
        <w:t xml:space="preserve">collisions that could have been prevented if those BSMs were successfully exchanged will not be prevented, leading to unnecessary loss of life and property. Many vehicles are already equipped to send BSMs with DSRC. The 5GAA proposal </w:t>
      </w:r>
      <w:r w:rsidR="002D141F" w:rsidRPr="00117E79">
        <w:rPr>
          <w:sz w:val="24"/>
          <w:szCs w:val="24"/>
        </w:rPr>
        <w:t xml:space="preserve">would </w:t>
      </w:r>
      <w:r w:rsidRPr="00117E79">
        <w:rPr>
          <w:sz w:val="24"/>
          <w:szCs w:val="24"/>
        </w:rPr>
        <w:t>allow some automakers to send BSMs using only LTE V2X PC5</w:t>
      </w:r>
      <w:r w:rsidR="00541687" w:rsidRPr="00117E79">
        <w:rPr>
          <w:sz w:val="24"/>
          <w:szCs w:val="24"/>
        </w:rPr>
        <w:t xml:space="preserve"> or only NR V2X PC5</w:t>
      </w:r>
      <w:r w:rsidRPr="00117E79">
        <w:rPr>
          <w:sz w:val="24"/>
          <w:szCs w:val="24"/>
        </w:rPr>
        <w:t xml:space="preserve">. So, this loss of interoperability and attendant increase in road fatalities is a direct result of the fragmentation evolution model. This also extends to </w:t>
      </w:r>
      <w:r w:rsidR="00E6121D" w:rsidRPr="00117E79">
        <w:rPr>
          <w:sz w:val="24"/>
          <w:szCs w:val="24"/>
        </w:rPr>
        <w:t xml:space="preserve">all </w:t>
      </w:r>
      <w:r w:rsidRPr="00117E79">
        <w:rPr>
          <w:sz w:val="24"/>
          <w:szCs w:val="24"/>
        </w:rPr>
        <w:t xml:space="preserve">other use cases supported by DSRC and by non-interoperable cellular V2X technologies. </w:t>
      </w:r>
      <w:r w:rsidR="00E6121D" w:rsidRPr="00117E79">
        <w:rPr>
          <w:sz w:val="24"/>
          <w:szCs w:val="24"/>
        </w:rPr>
        <w:t>V2X e</w:t>
      </w:r>
      <w:r w:rsidRPr="00117E79">
        <w:rPr>
          <w:sz w:val="24"/>
          <w:szCs w:val="24"/>
        </w:rPr>
        <w:t xml:space="preserve">volution under the IEEE 802 model does not suffer this cost. Every vehicle will be interoperable with every other vehicle, whether the vehicles are DSRC-capable or NGV-capable.  </w:t>
      </w:r>
    </w:p>
    <w:p w14:paraId="3813522F" w14:textId="2F7CC180" w:rsidR="003B2544" w:rsidRPr="00117E79" w:rsidRDefault="003B2544" w:rsidP="009F1941">
      <w:pPr>
        <w:spacing w:line="360" w:lineRule="auto"/>
        <w:ind w:firstLine="720"/>
        <w:rPr>
          <w:sz w:val="24"/>
          <w:szCs w:val="24"/>
        </w:rPr>
      </w:pPr>
      <w:r w:rsidRPr="00117E79">
        <w:rPr>
          <w:sz w:val="24"/>
          <w:szCs w:val="24"/>
        </w:rPr>
        <w:t xml:space="preserve">A second cost of band fragmentation is inefficient use of spectrum. As noted, the 5GAA proposal is to duplicate some V2X use cases in </w:t>
      </w:r>
      <w:r w:rsidR="00E6121D" w:rsidRPr="00117E79">
        <w:rPr>
          <w:sz w:val="24"/>
          <w:szCs w:val="24"/>
        </w:rPr>
        <w:t>both the DSRC channels and in one or both C-V2X</w:t>
      </w:r>
      <w:r w:rsidRPr="00117E79">
        <w:rPr>
          <w:sz w:val="24"/>
          <w:szCs w:val="24"/>
        </w:rPr>
        <w:t xml:space="preserve"> sub-bands.  For example, under existing Commission rules, all BSMs can be sent in one 10 MHz </w:t>
      </w:r>
      <w:r w:rsidR="00E6121D" w:rsidRPr="00117E79">
        <w:rPr>
          <w:sz w:val="24"/>
          <w:szCs w:val="24"/>
        </w:rPr>
        <w:t xml:space="preserve">DSRC </w:t>
      </w:r>
      <w:r w:rsidRPr="00117E79">
        <w:rPr>
          <w:sz w:val="24"/>
          <w:szCs w:val="24"/>
        </w:rPr>
        <w:t xml:space="preserve">channel. Under the 5GAA proposal, BSMs will occupy </w:t>
      </w:r>
      <w:r w:rsidR="00360428" w:rsidRPr="00117E79">
        <w:rPr>
          <w:sz w:val="24"/>
          <w:szCs w:val="24"/>
        </w:rPr>
        <w:t xml:space="preserve">at least </w:t>
      </w:r>
      <w:r w:rsidRPr="00117E79">
        <w:rPr>
          <w:sz w:val="24"/>
          <w:szCs w:val="24"/>
        </w:rPr>
        <w:t xml:space="preserve">30 MHz of the </w:t>
      </w:r>
      <w:r w:rsidRPr="00117E79">
        <w:rPr>
          <w:sz w:val="24"/>
          <w:szCs w:val="24"/>
        </w:rPr>
        <w:lastRenderedPageBreak/>
        <w:t xml:space="preserve">spectrum (10 MHz for DSRC, 20 MHz for LTE V2X). This duplication necessarily limits the capacity of the band to support other </w:t>
      </w:r>
      <w:r w:rsidR="00360428" w:rsidRPr="00117E79">
        <w:rPr>
          <w:sz w:val="24"/>
          <w:szCs w:val="24"/>
        </w:rPr>
        <w:t xml:space="preserve">important </w:t>
      </w:r>
      <w:r w:rsidRPr="00117E79">
        <w:rPr>
          <w:sz w:val="24"/>
          <w:szCs w:val="24"/>
        </w:rPr>
        <w:t>V2X use cases</w:t>
      </w:r>
      <w:r w:rsidR="00360428" w:rsidRPr="00117E79">
        <w:rPr>
          <w:sz w:val="24"/>
          <w:szCs w:val="24"/>
        </w:rPr>
        <w:t>, such as cooperative automated driving</w:t>
      </w:r>
      <w:r w:rsidRPr="00117E79">
        <w:rPr>
          <w:sz w:val="24"/>
          <w:szCs w:val="24"/>
        </w:rPr>
        <w:t xml:space="preserve">.  Efficient use of this valuable spectrum is a key responsibility for the Commission and all stakeholders. The 5GAA proposal uses the spectrum inefficiently.  </w:t>
      </w:r>
      <w:r w:rsidR="00E6121D" w:rsidRPr="00117E79">
        <w:rPr>
          <w:sz w:val="24"/>
          <w:szCs w:val="24"/>
        </w:rPr>
        <w:t>V2X e</w:t>
      </w:r>
      <w:r w:rsidRPr="00117E79">
        <w:rPr>
          <w:sz w:val="24"/>
          <w:szCs w:val="24"/>
        </w:rPr>
        <w:t xml:space="preserve">volution under the IEEE 802 model does not suffer this cost.  There is no band fragmentation, so services never need to be duplicated in different sub-bands.  </w:t>
      </w:r>
    </w:p>
    <w:p w14:paraId="5844AA57" w14:textId="6A1E3BF2" w:rsidR="003B2544" w:rsidRPr="00117E79" w:rsidRDefault="003B2544" w:rsidP="009F1941">
      <w:pPr>
        <w:spacing w:line="360" w:lineRule="auto"/>
        <w:ind w:firstLine="720"/>
        <w:rPr>
          <w:sz w:val="24"/>
          <w:szCs w:val="24"/>
        </w:rPr>
      </w:pPr>
      <w:r w:rsidRPr="00117E79">
        <w:rPr>
          <w:sz w:val="24"/>
          <w:szCs w:val="24"/>
        </w:rPr>
        <w:t xml:space="preserve">Furthermore, the 5GAA evolution model leads to a second form of spectral inefficiency by requiring that all </w:t>
      </w:r>
      <w:r w:rsidR="00E6121D" w:rsidRPr="00117E79">
        <w:rPr>
          <w:sz w:val="24"/>
          <w:szCs w:val="24"/>
        </w:rPr>
        <w:t>LTE V2X BSMs</w:t>
      </w:r>
      <w:r w:rsidRPr="00117E79">
        <w:rPr>
          <w:sz w:val="24"/>
          <w:szCs w:val="24"/>
        </w:rPr>
        <w:t xml:space="preserve"> are sent twice, regardless of the level of congestion in the LTE V2X channel.</w:t>
      </w:r>
      <w:r w:rsidRPr="00117E79">
        <w:rPr>
          <w:rStyle w:val="FootnoteReference"/>
          <w:sz w:val="24"/>
          <w:szCs w:val="24"/>
        </w:rPr>
        <w:footnoteReference w:id="7"/>
      </w:r>
      <w:r w:rsidRPr="00117E79">
        <w:rPr>
          <w:sz w:val="24"/>
          <w:szCs w:val="24"/>
        </w:rPr>
        <w:t xml:space="preserve"> LTE V2X apparently requires this packet duplication to achieve an acceptable reliability of delivery. Scheduling of transmissions in LTE V2X uses a periodic model, which also leads to periodic semi-persistent </w:t>
      </w:r>
      <w:r w:rsidR="00104B1D" w:rsidRPr="00117E79">
        <w:rPr>
          <w:sz w:val="24"/>
          <w:szCs w:val="24"/>
        </w:rPr>
        <w:t xml:space="preserve">packet </w:t>
      </w:r>
      <w:r w:rsidRPr="00117E79">
        <w:rPr>
          <w:sz w:val="24"/>
          <w:szCs w:val="24"/>
        </w:rPr>
        <w:t xml:space="preserve">collisions. Neither DSRC nor </w:t>
      </w:r>
      <w:del w:id="41" w:author="Author">
        <w:r w:rsidRPr="00117E79" w:rsidDel="00781857">
          <w:rPr>
            <w:sz w:val="24"/>
            <w:szCs w:val="24"/>
          </w:rPr>
          <w:delText xml:space="preserve">IEEE </w:delText>
        </w:r>
      </w:del>
      <w:r w:rsidRPr="00117E79">
        <w:rPr>
          <w:sz w:val="24"/>
          <w:szCs w:val="24"/>
        </w:rPr>
        <w:t xml:space="preserve">NGV uses a periodic time slot schedule reservation, so DSRC and </w:t>
      </w:r>
      <w:del w:id="42" w:author="Author">
        <w:r w:rsidRPr="00117E79" w:rsidDel="00781857">
          <w:rPr>
            <w:sz w:val="24"/>
            <w:szCs w:val="24"/>
          </w:rPr>
          <w:delText xml:space="preserve">IEEE </w:delText>
        </w:r>
      </w:del>
      <w:r w:rsidRPr="00117E79">
        <w:rPr>
          <w:sz w:val="24"/>
          <w:szCs w:val="24"/>
        </w:rPr>
        <w:t xml:space="preserve">NGV packets do not experience persistent collisions and do not require duplicated transmissions in order to achieve highly reliable delivery.  Duplicated packet transmissions in LTE V2X </w:t>
      </w:r>
      <w:r w:rsidR="00360428" w:rsidRPr="00117E79">
        <w:rPr>
          <w:sz w:val="24"/>
          <w:szCs w:val="24"/>
        </w:rPr>
        <w:t>are</w:t>
      </w:r>
      <w:r w:rsidRPr="00117E79">
        <w:rPr>
          <w:sz w:val="24"/>
          <w:szCs w:val="24"/>
        </w:rPr>
        <w:t xml:space="preserve"> another form of spectral inefficiency, as evidenced by the fact that 5GAA has requested 20 MHz for the channel that would carry BSMs, in contrast to the 10 MHz channel needed for BSMs in the DSRC/</w:t>
      </w:r>
      <w:del w:id="43" w:author="Author">
        <w:r w:rsidRPr="00117E79" w:rsidDel="00781857">
          <w:rPr>
            <w:sz w:val="24"/>
            <w:szCs w:val="24"/>
          </w:rPr>
          <w:delText>IEEE</w:delText>
        </w:r>
        <w:r w:rsidRPr="00117E79" w:rsidDel="00D77BD6">
          <w:rPr>
            <w:sz w:val="24"/>
            <w:szCs w:val="24"/>
          </w:rPr>
          <w:delText xml:space="preserve"> </w:delText>
        </w:r>
      </w:del>
      <w:r w:rsidRPr="00117E79">
        <w:rPr>
          <w:sz w:val="24"/>
          <w:szCs w:val="24"/>
        </w:rPr>
        <w:t>NGV model.</w:t>
      </w:r>
    </w:p>
    <w:p w14:paraId="5D47C091" w14:textId="27F1F7C1" w:rsidR="003B2544" w:rsidRPr="00117E79" w:rsidRDefault="003B2544" w:rsidP="009F1941">
      <w:pPr>
        <w:spacing w:line="360" w:lineRule="auto"/>
        <w:ind w:firstLine="720"/>
        <w:rPr>
          <w:sz w:val="24"/>
          <w:szCs w:val="24"/>
        </w:rPr>
      </w:pPr>
      <w:r w:rsidRPr="00117E79">
        <w:rPr>
          <w:sz w:val="24"/>
          <w:szCs w:val="24"/>
        </w:rPr>
        <w:t>A final cost of the band-fragmentation model is in monetary investment by stakeholders. An automaker or infrastructure owner-operator may be compelled to invest in three different radio technologies in the future: DSRC/</w:t>
      </w:r>
      <w:del w:id="44" w:author="Author">
        <w:r w:rsidRPr="00117E79" w:rsidDel="005B4B66">
          <w:rPr>
            <w:sz w:val="24"/>
            <w:szCs w:val="24"/>
          </w:rPr>
          <w:delText xml:space="preserve">IEEE </w:delText>
        </w:r>
      </w:del>
      <w:ins w:id="45" w:author="Author">
        <w:del w:id="46" w:author="Author">
          <w:r w:rsidR="00781857" w:rsidRPr="00117E79" w:rsidDel="005B4B66">
            <w:rPr>
              <w:sz w:val="24"/>
              <w:szCs w:val="24"/>
            </w:rPr>
            <w:delText>/</w:delText>
          </w:r>
        </w:del>
      </w:ins>
      <w:r w:rsidRPr="00117E79">
        <w:rPr>
          <w:sz w:val="24"/>
          <w:szCs w:val="24"/>
        </w:rPr>
        <w:t>NGV plus LTE V2X plus NR V2X. These technologies all need to be active at the same time</w:t>
      </w:r>
      <w:r w:rsidR="00104B1D" w:rsidRPr="00117E79">
        <w:rPr>
          <w:sz w:val="24"/>
          <w:szCs w:val="24"/>
        </w:rPr>
        <w:t xml:space="preserve"> in different sub-bands</w:t>
      </w:r>
      <w:r w:rsidRPr="00117E79">
        <w:rPr>
          <w:sz w:val="24"/>
          <w:szCs w:val="24"/>
        </w:rPr>
        <w:t xml:space="preserve">, for example to receive a DSRC/NGV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r w:rsidR="00FD03EC" w:rsidRPr="00117E79">
        <w:rPr>
          <w:sz w:val="24"/>
          <w:szCs w:val="24"/>
        </w:rPr>
        <w:t xml:space="preserve">IEEE 802 V2X evolution model that requires just one V2X technology per device is more likely to optimize the societal benefits of the band than the </w:t>
      </w:r>
      <w:r w:rsidRPr="00117E79">
        <w:rPr>
          <w:sz w:val="24"/>
          <w:szCs w:val="24"/>
        </w:rPr>
        <w:t xml:space="preserve">5GAA evolution model that requires investment in three radio technologies. </w:t>
      </w:r>
    </w:p>
    <w:p w14:paraId="14A7BD30" w14:textId="2F2FC6F1" w:rsidR="00BC5F68" w:rsidRPr="00117E79" w:rsidRDefault="003B2544" w:rsidP="009F1941">
      <w:pPr>
        <w:spacing w:line="360" w:lineRule="auto"/>
        <w:ind w:firstLine="720"/>
        <w:rPr>
          <w:sz w:val="24"/>
          <w:szCs w:val="24"/>
        </w:rPr>
      </w:pPr>
      <w:r w:rsidRPr="00117E79">
        <w:rPr>
          <w:sz w:val="24"/>
          <w:szCs w:val="24"/>
        </w:rPr>
        <w:t xml:space="preserve">In summary, the V2X technology evolution model promoted by </w:t>
      </w:r>
      <w:r w:rsidR="00360428" w:rsidRPr="00117E79">
        <w:rPr>
          <w:sz w:val="24"/>
          <w:szCs w:val="24"/>
        </w:rPr>
        <w:t xml:space="preserve">IEEE 802 </w:t>
      </w:r>
      <w:r w:rsidRPr="00117E79">
        <w:rPr>
          <w:sz w:val="24"/>
          <w:szCs w:val="24"/>
        </w:rPr>
        <w:t xml:space="preserve">is </w:t>
      </w:r>
      <w:r w:rsidR="006455C4" w:rsidRPr="00117E79">
        <w:rPr>
          <w:sz w:val="24"/>
          <w:szCs w:val="24"/>
        </w:rPr>
        <w:t xml:space="preserve">much more </w:t>
      </w:r>
      <w:r w:rsidR="00570562" w:rsidRPr="00117E79">
        <w:rPr>
          <w:sz w:val="24"/>
          <w:szCs w:val="24"/>
        </w:rPr>
        <w:t>favourable</w:t>
      </w:r>
      <w:r w:rsidR="006455C4" w:rsidRPr="00117E79">
        <w:rPr>
          <w:sz w:val="24"/>
          <w:szCs w:val="24"/>
        </w:rPr>
        <w:t xml:space="preserve"> to deployment than</w:t>
      </w:r>
      <w:r w:rsidRPr="00117E79">
        <w:rPr>
          <w:sz w:val="24"/>
          <w:szCs w:val="24"/>
        </w:rPr>
        <w:t xml:space="preserve"> the vision of </w:t>
      </w:r>
      <w:r w:rsidR="00360428" w:rsidRPr="00117E79">
        <w:rPr>
          <w:sz w:val="24"/>
          <w:szCs w:val="24"/>
        </w:rPr>
        <w:t>5GAA</w:t>
      </w:r>
      <w:r w:rsidRPr="00117E79">
        <w:rPr>
          <w:sz w:val="24"/>
          <w:szCs w:val="24"/>
        </w:rPr>
        <w:t xml:space="preserve">. The </w:t>
      </w:r>
      <w:r w:rsidR="00360428" w:rsidRPr="00117E79">
        <w:rPr>
          <w:sz w:val="24"/>
          <w:szCs w:val="24"/>
        </w:rPr>
        <w:t xml:space="preserve">IEEE 802 vision includes fair, same-channel coexistence, interoperability, and backward compatibility. The </w:t>
      </w:r>
      <w:r w:rsidRPr="00117E79">
        <w:rPr>
          <w:sz w:val="24"/>
          <w:szCs w:val="24"/>
        </w:rPr>
        <w:t xml:space="preserve">5GAA model lacks </w:t>
      </w:r>
      <w:r w:rsidR="00360428" w:rsidRPr="00117E79">
        <w:rPr>
          <w:sz w:val="24"/>
          <w:szCs w:val="24"/>
        </w:rPr>
        <w:t xml:space="preserve">these </w:t>
      </w:r>
      <w:r w:rsidR="00360428" w:rsidRPr="00117E79">
        <w:rPr>
          <w:sz w:val="24"/>
          <w:szCs w:val="24"/>
        </w:rPr>
        <w:lastRenderedPageBreak/>
        <w:t>properties</w:t>
      </w:r>
      <w:r w:rsidRPr="00117E79">
        <w:rPr>
          <w:sz w:val="24"/>
          <w:szCs w:val="24"/>
        </w:rPr>
        <w:t xml:space="preserve">, even among the different generations of cellular V2X.  The </w:t>
      </w:r>
      <w:r w:rsidR="00360428" w:rsidRPr="00117E79">
        <w:rPr>
          <w:sz w:val="24"/>
          <w:szCs w:val="24"/>
        </w:rPr>
        <w:t xml:space="preserve">IEEE 802 vision allows for a single wholistic band, in which all radios can interoperate in any channel. The </w:t>
      </w:r>
      <w:r w:rsidRPr="00117E79">
        <w:rPr>
          <w:sz w:val="24"/>
          <w:szCs w:val="24"/>
        </w:rPr>
        <w:t xml:space="preserve">5GAA model leads directly to band fragmentation to accommodate multiple incompatible technologies, with three fragments proposed now and additional fragments possibly needed in the future.  The </w:t>
      </w:r>
      <w:r w:rsidR="00BC5F68" w:rsidRPr="00117E79">
        <w:rPr>
          <w:sz w:val="24"/>
          <w:szCs w:val="24"/>
        </w:rPr>
        <w:t>IEEE 802 vision of V2X evolution maximizes societal benefits from the 5.9 GHz band:</w:t>
      </w:r>
    </w:p>
    <w:p w14:paraId="7770E6ED" w14:textId="67F76140"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ensuring uniform interoperability among all devices, </w:t>
      </w:r>
    </w:p>
    <w:p w14:paraId="6C2755AE" w14:textId="77777777"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avoiding duplication of services in different channels, </w:t>
      </w:r>
    </w:p>
    <w:p w14:paraId="23E6024A" w14:textId="77777777"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obviating the need for duplicate transmissions of the same packet, and </w:t>
      </w:r>
    </w:p>
    <w:p w14:paraId="1D29F1DB" w14:textId="558FA58B" w:rsidR="006455C4"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keeping costs low through the employment of a single technology (DSRC or </w:t>
      </w:r>
      <w:del w:id="47" w:author="Author">
        <w:r w:rsidRPr="00117E79" w:rsidDel="00781857">
          <w:rPr>
            <w:rFonts w:ascii="Times New Roman" w:hAnsi="Times New Roman" w:cs="Times New Roman"/>
          </w:rPr>
          <w:delText xml:space="preserve">IEEE </w:delText>
        </w:r>
      </w:del>
      <w:r w:rsidRPr="00117E79">
        <w:rPr>
          <w:rFonts w:ascii="Times New Roman" w:hAnsi="Times New Roman" w:cs="Times New Roman"/>
        </w:rPr>
        <w:t>NGV) in each vehicle OBU or infrastructure RSU.</w:t>
      </w:r>
    </w:p>
    <w:p w14:paraId="1CC38FE5" w14:textId="206E1A09" w:rsidR="009D3253" w:rsidRPr="00117E79" w:rsidRDefault="006455C4" w:rsidP="00876901">
      <w:pPr>
        <w:spacing w:line="360" w:lineRule="auto"/>
        <w:rPr>
          <w:sz w:val="24"/>
          <w:szCs w:val="24"/>
        </w:rPr>
      </w:pPr>
      <w:r w:rsidRPr="00117E79">
        <w:rPr>
          <w:sz w:val="24"/>
          <w:szCs w:val="24"/>
        </w:rPr>
        <w:t xml:space="preserve">The </w:t>
      </w:r>
      <w:r w:rsidR="003B2544" w:rsidRPr="00117E79">
        <w:rPr>
          <w:sz w:val="24"/>
          <w:szCs w:val="24"/>
        </w:rPr>
        <w:t xml:space="preserve">5GAA model of band-fragmentation </w:t>
      </w:r>
      <w:r w:rsidRPr="00117E79">
        <w:rPr>
          <w:sz w:val="24"/>
          <w:szCs w:val="24"/>
        </w:rPr>
        <w:t xml:space="preserve">has none of these advantages and </w:t>
      </w:r>
      <w:r w:rsidR="003B2544" w:rsidRPr="00117E79">
        <w:rPr>
          <w:sz w:val="24"/>
          <w:szCs w:val="24"/>
        </w:rPr>
        <w:t xml:space="preserve">creates significant societal costs </w:t>
      </w:r>
    </w:p>
    <w:p w14:paraId="74589E72" w14:textId="77777777" w:rsidR="00570562" w:rsidRPr="00117E79" w:rsidRDefault="00570562" w:rsidP="00570562">
      <w:pPr>
        <w:widowControl w:val="0"/>
        <w:autoSpaceDE w:val="0"/>
        <w:autoSpaceDN w:val="0"/>
        <w:adjustRightInd w:val="0"/>
        <w:spacing w:line="360" w:lineRule="auto"/>
        <w:rPr>
          <w:color w:val="000000"/>
        </w:rPr>
      </w:pP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02CEA9AE"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ask the Commission to </w:t>
      </w:r>
      <w:r w:rsidR="006455C4" w:rsidRPr="00117E79">
        <w:rPr>
          <w:sz w:val="24"/>
          <w:szCs w:val="24"/>
          <w:lang w:val="en-US"/>
        </w:rPr>
        <w:t xml:space="preserve">enhance the value to society of the 5.9 GHz band by </w:t>
      </w:r>
      <w:r w:rsidR="00FB4C6D" w:rsidRPr="00117E79">
        <w:rPr>
          <w:sz w:val="24"/>
          <w:szCs w:val="24"/>
          <w:lang w:val="en-US"/>
        </w:rPr>
        <w:t>protect</w:t>
      </w:r>
      <w:r w:rsidR="006455C4" w:rsidRPr="00117E79">
        <w:rPr>
          <w:sz w:val="24"/>
          <w:szCs w:val="24"/>
          <w:lang w:val="en-US"/>
        </w:rPr>
        <w:t>ing</w:t>
      </w:r>
      <w:r w:rsidR="00FB4C6D" w:rsidRPr="00117E79">
        <w:rPr>
          <w:sz w:val="24"/>
          <w:szCs w:val="24"/>
          <w:lang w:val="en-US"/>
        </w:rPr>
        <w:t xml:space="preserve"> </w:t>
      </w:r>
      <w:r w:rsidR="006455C4" w:rsidRPr="00117E79">
        <w:rPr>
          <w:sz w:val="24"/>
          <w:szCs w:val="24"/>
          <w:lang w:val="en-US"/>
        </w:rPr>
        <w:t>existing</w:t>
      </w:r>
      <w:r w:rsidR="00FB4C6D" w:rsidRPr="00117E79">
        <w:rPr>
          <w:sz w:val="24"/>
          <w:szCs w:val="24"/>
          <w:lang w:val="en-US"/>
        </w:rPr>
        <w:t xml:space="preserve"> investment</w:t>
      </w:r>
      <w:r w:rsidR="006455C4" w:rsidRPr="00117E79">
        <w:rPr>
          <w:sz w:val="24"/>
          <w:szCs w:val="24"/>
          <w:lang w:val="en-US"/>
        </w:rPr>
        <w:t>s</w:t>
      </w:r>
      <w:r w:rsidR="00FB4C6D" w:rsidRPr="00117E79">
        <w:rPr>
          <w:sz w:val="24"/>
          <w:szCs w:val="24"/>
          <w:lang w:val="en-US"/>
        </w:rPr>
        <w:t xml:space="preserve"> in DSRC</w:t>
      </w:r>
      <w:r w:rsidR="006455C4" w:rsidRPr="00117E79">
        <w:rPr>
          <w:sz w:val="24"/>
          <w:szCs w:val="24"/>
          <w:lang w:val="en-US"/>
        </w:rPr>
        <w:t xml:space="preserve">, </w:t>
      </w:r>
      <w:r w:rsidR="00FB4C6D" w:rsidRPr="00117E79">
        <w:rPr>
          <w:sz w:val="24"/>
          <w:szCs w:val="24"/>
          <w:lang w:val="en-US"/>
        </w:rPr>
        <w:t xml:space="preserve">by maintaining DSRC access throughout the 5.9 GHz band, by allowing seamless evolution to </w:t>
      </w:r>
      <w:del w:id="48" w:author="Author">
        <w:r w:rsidR="00FB4C6D" w:rsidRPr="00117E79" w:rsidDel="00781857">
          <w:rPr>
            <w:sz w:val="24"/>
            <w:szCs w:val="24"/>
            <w:lang w:val="en-US"/>
          </w:rPr>
          <w:delText xml:space="preserve">IEEE </w:delText>
        </w:r>
      </w:del>
      <w:r w:rsidR="00FB4C6D" w:rsidRPr="00117E79">
        <w:rPr>
          <w:sz w:val="24"/>
          <w:szCs w:val="24"/>
          <w:lang w:val="en-US"/>
        </w:rPr>
        <w:t xml:space="preserve">NGV </w:t>
      </w:r>
      <w:r w:rsidR="005914AD" w:rsidRPr="00117E79">
        <w:rPr>
          <w:sz w:val="24"/>
          <w:szCs w:val="24"/>
          <w:lang w:val="en-US"/>
        </w:rPr>
        <w:t xml:space="preserve">(based on fair same channel coexistence, interoperability and backward compatibility) </w:t>
      </w:r>
      <w:r w:rsidR="00FB4C6D" w:rsidRPr="00117E79">
        <w:rPr>
          <w:sz w:val="24"/>
          <w:szCs w:val="24"/>
          <w:lang w:val="en-US"/>
        </w:rPr>
        <w:t>throughout the band, and by avoiding fragmentation of the band into a set of small technology-specific sub-bands.</w:t>
      </w:r>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885B" w14:textId="77777777" w:rsidR="002B6135" w:rsidRDefault="002B6135">
      <w:r>
        <w:separator/>
      </w:r>
    </w:p>
  </w:endnote>
  <w:endnote w:type="continuationSeparator" w:id="0">
    <w:p w14:paraId="01EDC204" w14:textId="77777777" w:rsidR="002B6135" w:rsidRDefault="002B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9A79" w14:textId="77777777" w:rsidR="000E13F4" w:rsidRDefault="000E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6665A5F" w:rsidR="00110589" w:rsidRDefault="00A326D3" w:rsidP="006121DD">
    <w:pPr>
      <w:pStyle w:val="Footer"/>
      <w:tabs>
        <w:tab w:val="clear" w:pos="6480"/>
        <w:tab w:val="clear" w:pos="12960"/>
        <w:tab w:val="center" w:pos="4680"/>
        <w:tab w:val="right" w:pos="9360"/>
      </w:tabs>
    </w:pPr>
    <w:del w:id="54" w:author="Author">
      <w:r w:rsidDel="000F52BF">
        <w:fldChar w:fldCharType="begin"/>
      </w:r>
      <w:r w:rsidDel="000F52BF">
        <w:delInstrText xml:space="preserve"> SUBJECT  \* MERGEFORMAT </w:delInstrText>
      </w:r>
      <w:r w:rsidDel="000F52BF">
        <w:fldChar w:fldCharType="separate"/>
      </w:r>
      <w:r w:rsidR="00687AE1" w:rsidDel="000F52BF">
        <w:delText>Submission</w:delText>
      </w:r>
      <w:r w:rsidDel="000F52BF">
        <w:fldChar w:fldCharType="end"/>
      </w:r>
    </w:del>
    <w:ins w:id="55" w:author="Author">
      <w:del w:id="56" w:author="Author">
        <w:r w:rsidR="000F52BF" w:rsidDel="000E13F4">
          <w:delText>y</w:delText>
        </w:r>
      </w:del>
    </w:ins>
    <w:bookmarkStart w:id="57" w:name="OLE_LINK324"/>
    <w:bookmarkStart w:id="58" w:name="OLE_LINK325"/>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r>
    <w:del w:id="59" w:author="Author">
      <w:r w:rsidR="00B22CCF" w:rsidDel="00141407">
        <w:delText>___</w:delText>
      </w:r>
    </w:del>
    <w:bookmarkStart w:id="60" w:name="_GoBack"/>
    <w:bookmarkEnd w:id="57"/>
    <w:bookmarkEnd w:id="58"/>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95C3" w14:textId="77777777" w:rsidR="000E13F4" w:rsidRDefault="000E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2B0B" w14:textId="77777777" w:rsidR="002B6135" w:rsidRDefault="002B6135">
      <w:r>
        <w:separator/>
      </w:r>
    </w:p>
  </w:footnote>
  <w:footnote w:type="continuationSeparator" w:id="0">
    <w:p w14:paraId="01BCD0D9" w14:textId="77777777" w:rsidR="002B6135" w:rsidRDefault="002B6135">
      <w:r>
        <w:continuationSeparator/>
      </w:r>
    </w:p>
  </w:footnote>
  <w:footnote w:id="1">
    <w:p w14:paraId="3EE657A0" w14:textId="19AE00A1"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w:t>
      </w:r>
      <w:r w:rsidR="009B6B51" w:rsidRPr="00BC673D">
        <w:rPr>
          <w:sz w:val="18"/>
          <w:szCs w:val="18"/>
        </w:rPr>
        <w:t xml:space="preserve">, </w:t>
      </w:r>
      <w:del w:id="1" w:author="Author">
        <w:r w:rsidRPr="00BC673D" w:rsidDel="001B1C50">
          <w:rPr>
            <w:sz w:val="18"/>
            <w:szCs w:val="18"/>
          </w:rPr>
          <w:delText xml:space="preserve"> </w:delText>
        </w:r>
      </w:del>
      <w:r w:rsidRPr="00BC673D">
        <w:rPr>
          <w:sz w:val="18"/>
          <w:szCs w:val="18"/>
        </w:rPr>
        <w:t>the IEEE Standards Association</w:t>
      </w:r>
      <w:r w:rsidR="009B6B51" w:rsidRPr="00BC673D">
        <w:rPr>
          <w:sz w:val="18"/>
          <w:szCs w:val="18"/>
        </w:rPr>
        <w:t xml:space="preserve"> or IEEE Technical Activities</w:t>
      </w:r>
      <w:r w:rsidRPr="00BC673D">
        <w:rPr>
          <w:sz w:val="18"/>
          <w:szCs w:val="18"/>
        </w:rPr>
        <w:t>.</w:t>
      </w:r>
    </w:p>
  </w:footnote>
  <w:footnote w:id="2">
    <w:p w14:paraId="7E64A77E" w14:textId="63B02ECF" w:rsidR="00173604" w:rsidRPr="00BC673D" w:rsidRDefault="00173604">
      <w:pPr>
        <w:pStyle w:val="FootnoteText"/>
        <w:rPr>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U.S. Department of Transportation’s National Highway Traffic Safety Administration issues statement on safety value of 5.9 GHz spectrum, October 24, 2018,  </w:t>
      </w:r>
      <w:r w:rsidRPr="00BC673D">
        <w:rPr>
          <w:rFonts w:ascii="Times New Roman" w:hAnsi="Times New Roman" w:cs="Times New Roman"/>
          <w:sz w:val="18"/>
          <w:szCs w:val="18"/>
        </w:rPr>
        <w:br/>
      </w:r>
      <w:hyperlink r:id="rId1" w:history="1">
        <w:r w:rsidRPr="00BC673D">
          <w:rPr>
            <w:rStyle w:val="Hyperlink"/>
            <w:rFonts w:ascii="Times New Roman" w:hAnsi="Times New Roman" w:cs="Times New Roman"/>
            <w:sz w:val="18"/>
            <w:szCs w:val="18"/>
          </w:rPr>
          <w:t>https://www.nhtsa.gov/press-releases/us-department-transportations-national-highway-traffic-safety-administration-issues</w:t>
        </w:r>
      </w:hyperlink>
    </w:p>
  </w:footnote>
  <w:footnote w:id="3">
    <w:p w14:paraId="4A5AE457" w14:textId="2DA93076" w:rsidR="00C27DFF" w:rsidRPr="00BC673D" w:rsidRDefault="00C27DFF">
      <w:pPr>
        <w:pStyle w:val="FootnoteText"/>
        <w:rPr>
          <w:rFonts w:ascii="Times New Roman" w:hAnsi="Times New Roman" w:cs="Times New Roman"/>
        </w:rPr>
      </w:pPr>
      <w:r w:rsidRPr="00C27DFF">
        <w:rPr>
          <w:rStyle w:val="FootnoteReference"/>
          <w:sz w:val="18"/>
        </w:rPr>
        <w:footnoteRef/>
      </w:r>
      <w:r w:rsidRPr="00C27DFF">
        <w:rPr>
          <w:sz w:val="18"/>
        </w:rPr>
        <w:t xml:space="preserve"> “</w:t>
      </w:r>
      <w:r w:rsidRPr="00BC673D">
        <w:rPr>
          <w:rFonts w:ascii="Times New Roman" w:hAnsi="Times New Roman" w:cs="Times New Roman"/>
          <w:sz w:val="18"/>
        </w:rPr>
        <w:t xml:space="preserve">TGbd agreed terminology and requirements,” IEEE 802.11 document 11-19-0202/r1, </w:t>
      </w:r>
      <w:ins w:id="15" w:author="Author">
        <w:r w:rsidR="00426271" w:rsidRPr="00BC673D">
          <w:rPr>
            <w:rFonts w:ascii="Times New Roman" w:hAnsi="Times New Roman" w:cs="Times New Roman"/>
            <w:sz w:val="18"/>
          </w:rPr>
          <w:t xml:space="preserve">which can be found at </w:t>
        </w:r>
        <w:r w:rsidR="00426271" w:rsidRPr="00BC673D">
          <w:rPr>
            <w:rFonts w:ascii="Times New Roman" w:hAnsi="Times New Roman" w:cs="Times New Roman"/>
            <w:sz w:val="18"/>
          </w:rPr>
          <w:fldChar w:fldCharType="begin"/>
        </w:r>
        <w:r w:rsidR="00426271" w:rsidRPr="00BC673D">
          <w:rPr>
            <w:rFonts w:ascii="Times New Roman" w:hAnsi="Times New Roman" w:cs="Times New Roman"/>
            <w:sz w:val="18"/>
          </w:rPr>
          <w:instrText xml:space="preserve"> HYPERLINK "https://mentor.ieee.org/802.11/dcn/19/11-19-0202-01-00bd-tgbd-definitions-and-requirements.pptx" </w:instrText>
        </w:r>
        <w:r w:rsidR="00426271" w:rsidRPr="00BC673D">
          <w:rPr>
            <w:rFonts w:ascii="Times New Roman" w:hAnsi="Times New Roman" w:cs="Times New Roman"/>
            <w:sz w:val="18"/>
          </w:rPr>
          <w:fldChar w:fldCharType="separate"/>
        </w:r>
        <w:r w:rsidR="00426271" w:rsidRPr="00BC673D">
          <w:rPr>
            <w:rFonts w:ascii="Times New Roman" w:hAnsi="Times New Roman" w:cs="Times New Roman"/>
            <w:sz w:val="18"/>
          </w:rPr>
          <w:t>https://mentor.ieee.org/802.11/dcn/19/11-19-0202-01-00bd-tgbd-definitions-and-requirements.pptx</w:t>
        </w:r>
        <w:r w:rsidR="00426271" w:rsidRPr="00BC673D">
          <w:rPr>
            <w:rFonts w:ascii="Times New Roman" w:hAnsi="Times New Roman" w:cs="Times New Roman"/>
            <w:sz w:val="18"/>
          </w:rPr>
          <w:fldChar w:fldCharType="end"/>
        </w:r>
        <w:r w:rsidR="00295990" w:rsidRPr="00BC673D">
          <w:rPr>
            <w:rFonts w:ascii="Times New Roman" w:hAnsi="Times New Roman" w:cs="Times New Roman"/>
            <w:sz w:val="18"/>
          </w:rPr>
          <w:t>,</w:t>
        </w:r>
      </w:ins>
      <w:r w:rsidR="00426271" w:rsidRPr="00BC673D">
        <w:rPr>
          <w:rFonts w:ascii="Times New Roman" w:hAnsi="Times New Roman" w:cs="Times New Roman"/>
          <w:sz w:val="18"/>
        </w:rPr>
        <w:t xml:space="preserve"> </w:t>
      </w:r>
      <w:r w:rsidRPr="00BC673D">
        <w:rPr>
          <w:rFonts w:ascii="Times New Roman" w:hAnsi="Times New Roman" w:cs="Times New Roman"/>
          <w:sz w:val="18"/>
        </w:rPr>
        <w:t>January 2019</w:t>
      </w:r>
    </w:p>
  </w:footnote>
  <w:footnote w:id="4">
    <w:p w14:paraId="1E769BC4" w14:textId="68B65098" w:rsidR="003C3672" w:rsidRPr="00BC673D" w:rsidRDefault="003C3672">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w:t>
      </w:r>
      <w:ins w:id="19" w:author="Author">
        <w:r w:rsidR="001B1C50" w:rsidRPr="00BC673D">
          <w:rPr>
            <w:rFonts w:ascii="Times New Roman" w:hAnsi="Times New Roman" w:cs="Times New Roman"/>
            <w:sz w:val="18"/>
            <w:szCs w:val="18"/>
          </w:rPr>
          <w:t xml:space="preserve">“P802.11bd Project Authorization Request”, </w:t>
        </w:r>
        <w:r w:rsidR="001B1C50" w:rsidRPr="00BC673D">
          <w:rPr>
            <w:rFonts w:ascii="Times New Roman" w:hAnsi="Times New Roman" w:cs="Times New Roman"/>
            <w:sz w:val="18"/>
            <w:szCs w:val="18"/>
          </w:rPr>
          <w:fldChar w:fldCharType="begin"/>
        </w:r>
        <w:r w:rsidR="001B1C50" w:rsidRPr="00BC673D">
          <w:rPr>
            <w:rFonts w:ascii="Times New Roman" w:hAnsi="Times New Roman" w:cs="Times New Roman"/>
            <w:sz w:val="18"/>
            <w:szCs w:val="18"/>
          </w:rPr>
          <w:instrText>HYPERLINK "https://development.standards.ieee.org/get-file/P802.11bd.pdf?t=99204200003"</w:instrText>
        </w:r>
        <w:r w:rsidR="001B1C50" w:rsidRPr="00BC673D">
          <w:rPr>
            <w:rFonts w:ascii="Times New Roman" w:hAnsi="Times New Roman" w:cs="Times New Roman"/>
            <w:sz w:val="18"/>
            <w:szCs w:val="18"/>
          </w:rPr>
          <w:fldChar w:fldCharType="separate"/>
        </w:r>
        <w:r w:rsidR="001B1C50" w:rsidRPr="00BC673D">
          <w:rPr>
            <w:rFonts w:ascii="Times New Roman" w:hAnsi="Times New Roman" w:cs="Times New Roman"/>
            <w:sz w:val="18"/>
            <w:szCs w:val="18"/>
          </w:rPr>
          <w:t>https://development.standards.ieee.org/get-file/P802.11bd.pdf?t=99204200003</w:t>
        </w:r>
        <w:r w:rsidR="001B1C50" w:rsidRPr="00BC673D">
          <w:rPr>
            <w:rFonts w:ascii="Times New Roman" w:hAnsi="Times New Roman" w:cs="Times New Roman"/>
            <w:sz w:val="18"/>
            <w:szCs w:val="18"/>
          </w:rPr>
          <w:fldChar w:fldCharType="end"/>
        </w:r>
        <w:r w:rsidR="001B1C50" w:rsidRPr="00BC673D">
          <w:rPr>
            <w:rFonts w:ascii="Times New Roman" w:hAnsi="Times New Roman" w:cs="Times New Roman"/>
            <w:sz w:val="18"/>
            <w:szCs w:val="18"/>
          </w:rPr>
          <w:t>, December 2018</w:t>
        </w:r>
      </w:ins>
      <w:del w:id="20" w:author="Author">
        <w:r w:rsidR="001B1C50" w:rsidRPr="00BC673D" w:rsidDel="001B1C50">
          <w:rPr>
            <w:rFonts w:ascii="Times New Roman" w:hAnsi="Times New Roman" w:cs="Times New Roman"/>
            <w:sz w:val="18"/>
            <w:szCs w:val="18"/>
          </w:rPr>
          <w:delText>“802.11 NGV Proposed PAR”, IEEE 802.11 document 11-18-0861/r9, November 2018</w:delText>
        </w:r>
      </w:del>
      <w:ins w:id="21" w:author="Author">
        <w:del w:id="22" w:author="Author">
          <w:r w:rsidR="00426271" w:rsidRPr="00BC673D" w:rsidDel="001B1C50">
            <w:rPr>
              <w:rFonts w:ascii="Times New Roman" w:hAnsi="Times New Roman" w:cs="Times New Roman"/>
              <w:sz w:val="18"/>
              <w:szCs w:val="18"/>
            </w:rPr>
            <w:delText xml:space="preserve"> </w:delText>
          </w:r>
        </w:del>
      </w:ins>
    </w:p>
  </w:footnote>
  <w:footnote w:id="5">
    <w:p w14:paraId="50C7D3A9" w14:textId="2746566A" w:rsidR="00C8036E" w:rsidRPr="00BC673D" w:rsidRDefault="00C8036E">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OCB is a type of communication introduced for DSRC in the IEEE 802.11p-2010 amendment.</w:t>
      </w:r>
    </w:p>
  </w:footnote>
  <w:footnote w:id="6">
    <w:p w14:paraId="0C00F582" w14:textId="2FD72196" w:rsidR="002C2BB0" w:rsidDel="00B51534" w:rsidRDefault="002C2BB0">
      <w:pPr>
        <w:pStyle w:val="FootnoteText"/>
        <w:rPr>
          <w:del w:id="29" w:author="Author"/>
        </w:rPr>
      </w:pPr>
      <w:del w:id="30" w:author="Author">
        <w:r w:rsidRPr="00BC673D" w:rsidDel="00B51534">
          <w:rPr>
            <w:rStyle w:val="FootnoteReference"/>
            <w:rFonts w:ascii="Times New Roman" w:hAnsi="Times New Roman" w:cs="Times New Roman"/>
            <w:sz w:val="18"/>
            <w:szCs w:val="18"/>
          </w:rPr>
          <w:footnoteRef/>
        </w:r>
        <w:r w:rsidRPr="00BC673D" w:rsidDel="00B51534">
          <w:rPr>
            <w:rFonts w:ascii="Times New Roman" w:hAnsi="Times New Roman" w:cs="Times New Roman"/>
            <w:sz w:val="18"/>
            <w:szCs w:val="18"/>
          </w:rPr>
          <w:delText xml:space="preserve"> “IEEE 802.11 overview and amendments under development,” April 2019, </w:delText>
        </w:r>
        <w:r w:rsidRPr="00BC673D" w:rsidDel="00B51534">
          <w:rPr>
            <w:rFonts w:ascii="Times New Roman" w:hAnsi="Times New Roman" w:cs="Times New Roman"/>
            <w:sz w:val="18"/>
            <w:szCs w:val="18"/>
          </w:rPr>
          <w:br/>
        </w:r>
      </w:del>
      <w:bookmarkStart w:id="31" w:name="OLE_LINK306"/>
      <w:bookmarkStart w:id="32" w:name="OLE_LINK307"/>
      <w:ins w:id="33" w:author="Author">
        <w:del w:id="34" w:author="Author">
          <w:r w:rsidR="00781857" w:rsidRPr="00BC673D" w:rsidDel="00B51534">
            <w:rPr>
              <w:sz w:val="18"/>
              <w:szCs w:val="18"/>
            </w:rPr>
            <w:fldChar w:fldCharType="begin"/>
          </w:r>
          <w:r w:rsidR="00781857" w:rsidRPr="00BC673D" w:rsidDel="00B51534">
            <w:rPr>
              <w:rFonts w:ascii="Times New Roman" w:hAnsi="Times New Roman" w:cs="Times New Roman"/>
              <w:sz w:val="18"/>
              <w:szCs w:val="18"/>
            </w:rPr>
            <w:delInstrText xml:space="preserve"> HYPERLINK "</w:delInstrText>
          </w:r>
        </w:del>
      </w:ins>
      <w:del w:id="35" w:author="Author">
        <w:r w:rsidR="00781857" w:rsidRPr="00BC673D" w:rsidDel="00B51534">
          <w:rPr>
            <w:rFonts w:ascii="Times New Roman" w:hAnsi="Times New Roman" w:cs="Times New Roman"/>
            <w:sz w:val="18"/>
            <w:szCs w:val="18"/>
          </w:rPr>
          <w:delInstrText>http://grouper.ieee.org/groups/802/11/IEEE%20802-11-Overview-and-Amendments-Under-Development.pptx</w:delInstrText>
        </w:r>
      </w:del>
      <w:ins w:id="36" w:author="Author">
        <w:del w:id="37" w:author="Author">
          <w:r w:rsidR="00781857" w:rsidRPr="00BC673D" w:rsidDel="00B51534">
            <w:rPr>
              <w:rFonts w:ascii="Times New Roman" w:hAnsi="Times New Roman" w:cs="Times New Roman"/>
              <w:sz w:val="18"/>
              <w:szCs w:val="18"/>
            </w:rPr>
            <w:delInstrText xml:space="preserve">" </w:delInstrText>
          </w:r>
          <w:r w:rsidR="00781857" w:rsidRPr="00BC673D" w:rsidDel="00B51534">
            <w:rPr>
              <w:sz w:val="18"/>
              <w:szCs w:val="18"/>
            </w:rPr>
            <w:fldChar w:fldCharType="separate"/>
          </w:r>
        </w:del>
      </w:ins>
      <w:del w:id="38" w:author="Author">
        <w:r w:rsidR="00781857" w:rsidRPr="00BC673D" w:rsidDel="00B51534">
          <w:rPr>
            <w:rStyle w:val="Hyperlink"/>
            <w:rFonts w:ascii="Times New Roman" w:hAnsi="Times New Roman" w:cs="Times New Roman"/>
            <w:sz w:val="18"/>
            <w:szCs w:val="18"/>
          </w:rPr>
          <w:delText>http://grouper.ieee.org/groups/802/11/IEEE%20802-11-Overview-and-Amendments-Under-Development.pptx</w:delText>
        </w:r>
      </w:del>
      <w:bookmarkEnd w:id="31"/>
      <w:bookmarkEnd w:id="32"/>
      <w:ins w:id="39" w:author="Author">
        <w:del w:id="40" w:author="Author">
          <w:r w:rsidR="00781857" w:rsidRPr="00BC673D" w:rsidDel="00B51534">
            <w:rPr>
              <w:sz w:val="18"/>
              <w:szCs w:val="18"/>
            </w:rPr>
            <w:fldChar w:fldCharType="end"/>
          </w:r>
          <w:r w:rsidR="00781857" w:rsidRPr="00BC673D" w:rsidDel="00B51534">
            <w:rPr>
              <w:rFonts w:ascii="Times New Roman" w:hAnsi="Times New Roman" w:cs="Times New Roman"/>
              <w:sz w:val="18"/>
              <w:szCs w:val="18"/>
            </w:rPr>
            <w:delText xml:space="preserve"> [state the author or approval status of this document]</w:delText>
          </w:r>
        </w:del>
      </w:ins>
    </w:p>
  </w:footnote>
  <w:footnote w:id="7">
    <w:p w14:paraId="00B3F03B" w14:textId="77777777" w:rsidR="003B2544" w:rsidRPr="00BC673D" w:rsidRDefault="003B2544" w:rsidP="003B2544">
      <w:pPr>
        <w:pStyle w:val="FootnoteText"/>
        <w:rPr>
          <w:rFonts w:ascii="Times New Roman" w:hAnsi="Times New Roman" w:cs="Times New Roman"/>
        </w:rPr>
      </w:pPr>
      <w:r w:rsidRPr="00BC673D">
        <w:rPr>
          <w:rStyle w:val="FootnoteReference"/>
          <w:rFonts w:ascii="Times New Roman" w:hAnsi="Times New Roman" w:cs="Times New Roman"/>
          <w:sz w:val="18"/>
        </w:rPr>
        <w:footnoteRef/>
      </w:r>
      <w:r w:rsidRPr="00BC673D">
        <w:rPr>
          <w:rFonts w:ascii="Times New Roman" w:hAnsi="Times New Roman" w:cs="Times New Roman"/>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DD5F" w14:textId="77777777" w:rsidR="000E13F4" w:rsidRDefault="000E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4B38955D" w:rsidR="00110589" w:rsidRPr="00C64AA7" w:rsidRDefault="00117E79" w:rsidP="006121DD">
    <w:pPr>
      <w:pStyle w:val="Header"/>
      <w:tabs>
        <w:tab w:val="clear" w:pos="6480"/>
        <w:tab w:val="clear" w:pos="12960"/>
        <w:tab w:val="center" w:pos="4680"/>
        <w:tab w:val="right" w:pos="9360"/>
      </w:tabs>
      <w:rPr>
        <w:sz w:val="24"/>
      </w:rPr>
    </w:pPr>
    <w:ins w:id="49" w:author="Author">
      <w:r>
        <w:rPr>
          <w:sz w:val="24"/>
        </w:rPr>
        <w:t>June</w:t>
      </w:r>
    </w:ins>
    <w:sdt>
      <w:sdtPr>
        <w:rPr>
          <w:sz w:val="24"/>
        </w:rPr>
        <w:id w:val="-439071068"/>
        <w:docPartObj>
          <w:docPartGallery w:val="Watermarks"/>
          <w:docPartUnique/>
        </w:docPartObj>
      </w:sdtPr>
      <w:sdtEndPr/>
      <w:sdtContent>
        <w:r w:rsidR="002B6135">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del w:id="50" w:author="Author">
      <w:r w:rsidR="00433AD0" w:rsidDel="00117E79">
        <w:rPr>
          <w:sz w:val="24"/>
        </w:rPr>
        <w:delText>May</w:delText>
      </w:r>
    </w:del>
    <w:r w:rsidR="00433AD0">
      <w:rPr>
        <w:sz w:val="24"/>
      </w:rPr>
      <w:t xml:space="preserve">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ins w:id="51" w:author="Author">
      <w:r w:rsidR="000E13F4">
        <w:rPr>
          <w:sz w:val="24"/>
        </w:rPr>
        <w:t>5</w:t>
      </w:r>
      <w:del w:id="52" w:author="Author">
        <w:r w:rsidR="000F52BF" w:rsidDel="000E13F4">
          <w:rPr>
            <w:sz w:val="24"/>
          </w:rPr>
          <w:delText>4</w:delText>
        </w:r>
      </w:del>
    </w:ins>
    <w:del w:id="53" w:author="Author">
      <w:r w:rsidR="00F651BF" w:rsidDel="000F52BF">
        <w:rPr>
          <w:sz w:val="24"/>
        </w:rPr>
        <w:delText>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DC3F" w14:textId="77777777" w:rsidR="000E13F4" w:rsidRDefault="000E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108C"/>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7E79"/>
    <w:rsid w:val="0012227E"/>
    <w:rsid w:val="001408A9"/>
    <w:rsid w:val="00141407"/>
    <w:rsid w:val="001429EA"/>
    <w:rsid w:val="00152353"/>
    <w:rsid w:val="00156596"/>
    <w:rsid w:val="001575E6"/>
    <w:rsid w:val="00162CFA"/>
    <w:rsid w:val="00162F73"/>
    <w:rsid w:val="00163EE0"/>
    <w:rsid w:val="00172C18"/>
    <w:rsid w:val="00173604"/>
    <w:rsid w:val="00184934"/>
    <w:rsid w:val="001869EB"/>
    <w:rsid w:val="0019256E"/>
    <w:rsid w:val="001942C7"/>
    <w:rsid w:val="001B1C50"/>
    <w:rsid w:val="001D2341"/>
    <w:rsid w:val="001E34CD"/>
    <w:rsid w:val="001E661D"/>
    <w:rsid w:val="001E7FF4"/>
    <w:rsid w:val="001F0562"/>
    <w:rsid w:val="001F0B9A"/>
    <w:rsid w:val="001F10B1"/>
    <w:rsid w:val="001F4D60"/>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10812"/>
    <w:rsid w:val="00510A97"/>
    <w:rsid w:val="00510C0F"/>
    <w:rsid w:val="0052236C"/>
    <w:rsid w:val="00526F2F"/>
    <w:rsid w:val="00527604"/>
    <w:rsid w:val="0053058D"/>
    <w:rsid w:val="005328E9"/>
    <w:rsid w:val="00532CFB"/>
    <w:rsid w:val="005357F0"/>
    <w:rsid w:val="00541687"/>
    <w:rsid w:val="0054210B"/>
    <w:rsid w:val="005438D5"/>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5526"/>
    <w:rsid w:val="00FA67A4"/>
    <w:rsid w:val="00FA7D55"/>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8DC5-64F7-4C64-9C76-D0CBA168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2019-06-04T23:58:00Z</dcterms:created>
  <dcterms:modified xsi:type="dcterms:W3CDTF">2019-06-11T13:57:00Z</dcterms:modified>
</cp:coreProperties>
</file>