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F49C" w14:textId="04838295" w:rsidR="00A6709A" w:rsidRDefault="00A6709A" w:rsidP="00A6709A">
      <w:pPr>
        <w:pStyle w:val="ACMAReportTitle"/>
      </w:pPr>
      <w:r>
        <w:t>Five-year spectrum outlook</w:t>
      </w:r>
    </w:p>
    <w:p w14:paraId="5FE5D78A" w14:textId="35A17E56" w:rsidR="00F06E14" w:rsidRPr="00A51D1A" w:rsidRDefault="00A6709A" w:rsidP="00A51D1A">
      <w:pPr>
        <w:pStyle w:val="ACMAReportTitle"/>
      </w:pPr>
      <w:r>
        <w:t>201</w:t>
      </w:r>
      <w:r w:rsidR="00243C8F">
        <w:t>9</w:t>
      </w:r>
      <w:r>
        <w:t>–2</w:t>
      </w:r>
      <w:r w:rsidR="00243C8F">
        <w:t>3</w:t>
      </w:r>
    </w:p>
    <w:p w14:paraId="0F8AC54B" w14:textId="314186DE" w:rsidR="00F06E14" w:rsidRDefault="00A6709A" w:rsidP="00F06E14">
      <w:pPr>
        <w:pStyle w:val="ACMAReportSubTitle"/>
      </w:pPr>
      <w:r w:rsidRPr="00524B01">
        <w:t>The ACMA’s spectrum management work</w:t>
      </w:r>
      <w:r w:rsidR="007B0B47">
        <w:t> </w:t>
      </w:r>
      <w:r w:rsidRPr="00524B01">
        <w:t>progra</w:t>
      </w:r>
      <w:r w:rsidR="00883511">
        <w:t>m—</w:t>
      </w:r>
      <w:r w:rsidR="00243C8F">
        <w:t xml:space="preserve">consultation draft </w:t>
      </w:r>
    </w:p>
    <w:p w14:paraId="59BF80E5" w14:textId="1D1D934B" w:rsidR="00F06E14" w:rsidRDefault="00935F0E" w:rsidP="003428B2">
      <w:pPr>
        <w:pStyle w:val="ACMAReportDate"/>
        <w:spacing w:after="240"/>
      </w:pPr>
      <w:r>
        <w:t>APRIL</w:t>
      </w:r>
      <w:r w:rsidRPr="00B30DBE">
        <w:t xml:space="preserve"> </w:t>
      </w:r>
      <w:r w:rsidR="00243C8F" w:rsidRPr="00B30DBE">
        <w:t>201</w:t>
      </w:r>
      <w:r w:rsidR="00243C8F">
        <w:t>9</w:t>
      </w:r>
    </w:p>
    <w:p w14:paraId="22C0C94E" w14:textId="77777777" w:rsidR="00C97736" w:rsidRPr="00D3165D" w:rsidRDefault="00D3165D" w:rsidP="00C7245A">
      <w:pPr>
        <w:rPr>
          <w:rFonts w:cs="Arial"/>
        </w:rPr>
        <w:sectPr w:rsidR="00C97736" w:rsidRPr="00D3165D" w:rsidSect="00E97880">
          <w:headerReference w:type="default" r:id="rId8"/>
          <w:footerReference w:type="default" r:id="rId9"/>
          <w:headerReference w:type="first" r:id="rId10"/>
          <w:pgSz w:w="11906" w:h="16838" w:code="9"/>
          <w:pgMar w:top="3924" w:right="1797" w:bottom="1440" w:left="1134" w:header="709" w:footer="454" w:gutter="0"/>
          <w:cols w:space="708"/>
          <w:docGrid w:linePitch="360"/>
        </w:sectPr>
      </w:pPr>
      <w:r>
        <w:rPr>
          <w:rFonts w:cs="Arial"/>
        </w:rPr>
        <w:tab/>
      </w:r>
    </w:p>
    <w:p w14:paraId="58F76F54" w14:textId="77777777" w:rsidR="0005011A" w:rsidRPr="00F44F3A" w:rsidRDefault="0005011A" w:rsidP="00C7245A">
      <w:pPr>
        <w:pStyle w:val="ACMACorporateAddressHeader"/>
      </w:pPr>
      <w:r w:rsidRPr="00F44F3A">
        <w:lastRenderedPageBreak/>
        <w:t>Canberra</w:t>
      </w:r>
      <w:r w:rsidR="00D3165D">
        <w:tab/>
      </w:r>
    </w:p>
    <w:p w14:paraId="2776D9FC"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59564AD" w14:textId="77777777" w:rsidR="0005011A" w:rsidRPr="00FC07B9" w:rsidRDefault="0005011A" w:rsidP="00FC07B9">
      <w:pPr>
        <w:pStyle w:val="ACMACorporateAddresses"/>
      </w:pPr>
      <w:r w:rsidRPr="00FC07B9">
        <w:t>PO Box 78</w:t>
      </w:r>
      <w:r w:rsidRPr="00FC07B9">
        <w:br/>
        <w:t>Belconnen ACT 2616</w:t>
      </w:r>
    </w:p>
    <w:p w14:paraId="1F44094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025C19E" w14:textId="77777777" w:rsidR="0005011A" w:rsidRPr="00F44F3A" w:rsidRDefault="0005011A" w:rsidP="00FC07B9">
      <w:pPr>
        <w:pStyle w:val="ACMACorporateAddressHeader"/>
      </w:pPr>
      <w:r w:rsidRPr="00F44F3A">
        <w:t>Melbourne</w:t>
      </w:r>
    </w:p>
    <w:p w14:paraId="13817A6E"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694291FE"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9E7BAC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9F547A7" w14:textId="77777777" w:rsidR="0005011A" w:rsidRPr="00F44F3A" w:rsidRDefault="0005011A" w:rsidP="00FC07B9">
      <w:pPr>
        <w:pStyle w:val="ACMACorporateAddressHeader"/>
      </w:pPr>
      <w:r w:rsidRPr="00F44F3A">
        <w:t>Sydney</w:t>
      </w:r>
    </w:p>
    <w:p w14:paraId="21CA7F9A"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08DF7A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163CC0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C968E65" w14:textId="77777777" w:rsidR="00140318" w:rsidRPr="006D46E5" w:rsidRDefault="00140318" w:rsidP="00FC07B9">
      <w:pPr>
        <w:pStyle w:val="ACMACopyrightHeader"/>
      </w:pPr>
      <w:r w:rsidRPr="00140318">
        <w:t>Copyright notice</w:t>
      </w:r>
    </w:p>
    <w:p w14:paraId="76E18378" w14:textId="77777777" w:rsidR="00140318" w:rsidRPr="006D46E5" w:rsidRDefault="00623FF9" w:rsidP="00623FF9">
      <w:pPr>
        <w:pStyle w:val="ACMACClogo"/>
      </w:pPr>
      <w:r w:rsidRPr="00623FF9">
        <w:rPr>
          <w:noProof/>
        </w:rPr>
        <w:drawing>
          <wp:inline distT="0" distB="0" distL="0" distR="0" wp14:anchorId="7214B564" wp14:editId="1F7FBAF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47D7713" w14:textId="77777777" w:rsidR="00A140B6" w:rsidRDefault="005D06D9" w:rsidP="00A140B6">
      <w:pPr>
        <w:pStyle w:val="ACMACorporateAddresses"/>
        <w:rPr>
          <w:rStyle w:val="Hyperlink"/>
        </w:rPr>
      </w:pPr>
      <w:hyperlink r:id="rId13" w:history="1">
        <w:r w:rsidR="00A140B6">
          <w:rPr>
            <w:rStyle w:val="Hyperlink"/>
          </w:rPr>
          <w:t>https://creativecommons.org/licenses/by/4.0//</w:t>
        </w:r>
      </w:hyperlink>
    </w:p>
    <w:p w14:paraId="1C4DDDB6" w14:textId="77777777" w:rsidR="00A140B6" w:rsidRPr="006D46E5" w:rsidRDefault="00A140B6" w:rsidP="00A140B6">
      <w:pPr>
        <w:pStyle w:val="ACMACorporateAddresses"/>
      </w:pPr>
      <w:r w:rsidRPr="006D46E5">
        <w:t xml:space="preserve">With the exception of coats of arms, logos, emblems, images, other third-party material or devices protected by a trademark, this content is </w:t>
      </w:r>
      <w:r>
        <w:t>made available</w:t>
      </w:r>
      <w:r w:rsidRPr="006D46E5">
        <w:t xml:space="preserve"> under the </w:t>
      </w:r>
      <w:r>
        <w:t xml:space="preserve">terms of the </w:t>
      </w:r>
      <w:r w:rsidRPr="006D46E5">
        <w:t xml:space="preserve">Creative Commons Attribution </w:t>
      </w:r>
      <w:r>
        <w:t>4</w:t>
      </w:r>
      <w:r w:rsidRPr="006D46E5">
        <w:t xml:space="preserve">.0 </w:t>
      </w:r>
      <w:r>
        <w:t>International (CC BY 4.0) licence</w:t>
      </w:r>
      <w:r w:rsidRPr="006D46E5">
        <w:t xml:space="preserve">. </w:t>
      </w:r>
    </w:p>
    <w:p w14:paraId="723F3F5E" w14:textId="4C6B7079" w:rsidR="00A140B6" w:rsidRPr="006D46E5" w:rsidRDefault="00A140B6" w:rsidP="00A140B6">
      <w:pPr>
        <w:pStyle w:val="ACMACorporateAddresses"/>
      </w:pPr>
      <w:r>
        <w:t>We request attribution as</w:t>
      </w:r>
      <w:r w:rsidRPr="006D46E5">
        <w:t xml:space="preserve"> © Commonwealth of Australia (Australian Communic</w:t>
      </w:r>
      <w:r>
        <w:t>ations and Media Authority) 201</w:t>
      </w:r>
      <w:r w:rsidR="005C7720">
        <w:t>9</w:t>
      </w:r>
      <w:r w:rsidRPr="006D46E5">
        <w:t>.</w:t>
      </w:r>
    </w:p>
    <w:p w14:paraId="7F6EF873" w14:textId="77777777" w:rsidR="00140318" w:rsidRPr="006D46E5" w:rsidRDefault="00140318" w:rsidP="00FC07B9">
      <w:pPr>
        <w:pStyle w:val="ACMACorporateAddresses"/>
      </w:pPr>
      <w:r>
        <w:t>All other rights are reserved.</w:t>
      </w:r>
    </w:p>
    <w:p w14:paraId="5F3E44FE"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2E9AFCB" w14:textId="77777777" w:rsidR="00140318" w:rsidRPr="006D46E5" w:rsidRDefault="00140318" w:rsidP="00FC07B9">
      <w:pPr>
        <w:pStyle w:val="ACMACorporateAddresses"/>
      </w:pPr>
      <w:r w:rsidRPr="006D46E5">
        <w:t>Written enquiries may be sent to:</w:t>
      </w:r>
    </w:p>
    <w:p w14:paraId="0A09F1B1" w14:textId="1B2E91F3" w:rsidR="00D16FE3" w:rsidRDefault="00140318" w:rsidP="00D16FE3">
      <w:pPr>
        <w:pStyle w:val="ACMACorporateAddresses"/>
        <w:rPr>
          <w:rStyle w:val="Hyperlink"/>
        </w:rPr>
      </w:pPr>
      <w:r w:rsidRPr="006D46E5">
        <w:t xml:space="preserve">Manager, Editorial </w:t>
      </w:r>
      <w:r w:rsidR="00BD2EEB">
        <w:t>Services</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4" w:history="1">
        <w:r w:rsidR="000A1400" w:rsidRPr="00826BEB">
          <w:rPr>
            <w:rStyle w:val="Hyperlink"/>
          </w:rPr>
          <w:t>info@acma.gov.au</w:t>
        </w:r>
      </w:hyperlink>
    </w:p>
    <w:p w14:paraId="3A89B8FE" w14:textId="77777777" w:rsidR="00D16FE3" w:rsidRDefault="00D16FE3" w:rsidP="00D16FE3">
      <w:pPr>
        <w:pStyle w:val="ACMACorporateAddresses"/>
        <w:rPr>
          <w:rStyle w:val="Hyperlink"/>
        </w:rPr>
      </w:pPr>
    </w:p>
    <w:p w14:paraId="508AA9C3" w14:textId="77777777" w:rsidR="00D16FE3" w:rsidRPr="00D16FE3" w:rsidRDefault="00D16FE3" w:rsidP="00D16FE3">
      <w:pPr>
        <w:pStyle w:val="ACMACorporateAddresses"/>
        <w:sectPr w:rsidR="00D16FE3" w:rsidRPr="00D16FE3" w:rsidSect="00E97880">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8B9764C" w14:textId="3B3F135A" w:rsidR="00B30C47" w:rsidRDefault="00E26672">
      <w:pPr>
        <w:pStyle w:val="TOC1"/>
        <w:rPr>
          <w:rFonts w:asciiTheme="minorHAnsi" w:eastAsiaTheme="minorEastAsia" w:hAnsiTheme="minorHAnsi" w:cstheme="minorBidi"/>
          <w:b w:val="0"/>
          <w:spacing w:val="0"/>
          <w:sz w:val="22"/>
          <w:szCs w:val="22"/>
        </w:rPr>
      </w:pPr>
      <w:r>
        <w:rPr>
          <w:rFonts w:cs="Arial"/>
          <w:b w:val="0"/>
          <w:sz w:val="26"/>
          <w:szCs w:val="26"/>
        </w:rPr>
        <w:lastRenderedPageBreak/>
        <w:fldChar w:fldCharType="begin"/>
      </w:r>
      <w:r>
        <w:rPr>
          <w:rFonts w:cs="Arial"/>
          <w:b w:val="0"/>
          <w:sz w:val="26"/>
          <w:szCs w:val="26"/>
        </w:rPr>
        <w:instrText xml:space="preserve"> TOC \o "1-3" \h \z \t "Table heading 2,2" </w:instrText>
      </w:r>
      <w:r>
        <w:rPr>
          <w:rFonts w:cs="Arial"/>
          <w:b w:val="0"/>
          <w:sz w:val="26"/>
          <w:szCs w:val="26"/>
        </w:rPr>
        <w:fldChar w:fldCharType="separate"/>
      </w:r>
      <w:hyperlink w:anchor="_Toc5025649" w:history="1">
        <w:r w:rsidR="00B30C47" w:rsidRPr="00156697">
          <w:rPr>
            <w:rStyle w:val="Hyperlink"/>
          </w:rPr>
          <w:t>Foreword</w:t>
        </w:r>
        <w:r w:rsidR="00B30C47">
          <w:rPr>
            <w:webHidden/>
          </w:rPr>
          <w:tab/>
        </w:r>
        <w:r w:rsidR="00B30C47">
          <w:rPr>
            <w:webHidden/>
          </w:rPr>
          <w:fldChar w:fldCharType="begin"/>
        </w:r>
        <w:r w:rsidR="00B30C47">
          <w:rPr>
            <w:webHidden/>
          </w:rPr>
          <w:instrText xml:space="preserve"> PAGEREF _Toc5025649 \h </w:instrText>
        </w:r>
        <w:r w:rsidR="00B30C47">
          <w:rPr>
            <w:webHidden/>
          </w:rPr>
        </w:r>
        <w:r w:rsidR="00B30C47">
          <w:rPr>
            <w:webHidden/>
          </w:rPr>
          <w:fldChar w:fldCharType="separate"/>
        </w:r>
        <w:r w:rsidR="00B30C47">
          <w:rPr>
            <w:webHidden/>
          </w:rPr>
          <w:t>1</w:t>
        </w:r>
        <w:r w:rsidR="00B30C47">
          <w:rPr>
            <w:webHidden/>
          </w:rPr>
          <w:fldChar w:fldCharType="end"/>
        </w:r>
      </w:hyperlink>
    </w:p>
    <w:p w14:paraId="7DFC4687" w14:textId="0C64D356" w:rsidR="00B30C47" w:rsidRDefault="005D06D9">
      <w:pPr>
        <w:pStyle w:val="TOC1"/>
        <w:rPr>
          <w:rFonts w:asciiTheme="minorHAnsi" w:eastAsiaTheme="minorEastAsia" w:hAnsiTheme="minorHAnsi" w:cstheme="minorBidi"/>
          <w:b w:val="0"/>
          <w:spacing w:val="0"/>
          <w:sz w:val="22"/>
          <w:szCs w:val="22"/>
        </w:rPr>
      </w:pPr>
      <w:hyperlink w:anchor="_Toc5025650" w:history="1">
        <w:r w:rsidR="00B30C47" w:rsidRPr="00156697">
          <w:rPr>
            <w:rStyle w:val="Hyperlink"/>
          </w:rPr>
          <w:t>Issues for comment</w:t>
        </w:r>
        <w:r w:rsidR="00B30C47">
          <w:rPr>
            <w:webHidden/>
          </w:rPr>
          <w:tab/>
        </w:r>
        <w:r w:rsidR="00B30C47">
          <w:rPr>
            <w:webHidden/>
          </w:rPr>
          <w:fldChar w:fldCharType="begin"/>
        </w:r>
        <w:r w:rsidR="00B30C47">
          <w:rPr>
            <w:webHidden/>
          </w:rPr>
          <w:instrText xml:space="preserve"> PAGEREF _Toc5025650 \h </w:instrText>
        </w:r>
        <w:r w:rsidR="00B30C47">
          <w:rPr>
            <w:webHidden/>
          </w:rPr>
        </w:r>
        <w:r w:rsidR="00B30C47">
          <w:rPr>
            <w:webHidden/>
          </w:rPr>
          <w:fldChar w:fldCharType="separate"/>
        </w:r>
        <w:r w:rsidR="00B30C47">
          <w:rPr>
            <w:webHidden/>
          </w:rPr>
          <w:t>3</w:t>
        </w:r>
        <w:r w:rsidR="00B30C47">
          <w:rPr>
            <w:webHidden/>
          </w:rPr>
          <w:fldChar w:fldCharType="end"/>
        </w:r>
      </w:hyperlink>
    </w:p>
    <w:p w14:paraId="522AB23C" w14:textId="72E6FA8E" w:rsidR="00B30C47" w:rsidRDefault="005D06D9">
      <w:pPr>
        <w:pStyle w:val="TOC1"/>
        <w:rPr>
          <w:rFonts w:asciiTheme="minorHAnsi" w:eastAsiaTheme="minorEastAsia" w:hAnsiTheme="minorHAnsi" w:cstheme="minorBidi"/>
          <w:b w:val="0"/>
          <w:spacing w:val="0"/>
          <w:sz w:val="22"/>
          <w:szCs w:val="22"/>
        </w:rPr>
      </w:pPr>
      <w:hyperlink w:anchor="_Toc5025651" w:history="1">
        <w:r w:rsidR="00B30C47" w:rsidRPr="00156697">
          <w:rPr>
            <w:rStyle w:val="Hyperlink"/>
          </w:rPr>
          <w:t>At a glance—2019–20 work program</w:t>
        </w:r>
        <w:r w:rsidR="00B30C47">
          <w:rPr>
            <w:webHidden/>
          </w:rPr>
          <w:tab/>
        </w:r>
        <w:r w:rsidR="00B30C47">
          <w:rPr>
            <w:webHidden/>
          </w:rPr>
          <w:fldChar w:fldCharType="begin"/>
        </w:r>
        <w:r w:rsidR="00B30C47">
          <w:rPr>
            <w:webHidden/>
          </w:rPr>
          <w:instrText xml:space="preserve"> PAGEREF _Toc5025651 \h </w:instrText>
        </w:r>
        <w:r w:rsidR="00B30C47">
          <w:rPr>
            <w:webHidden/>
          </w:rPr>
        </w:r>
        <w:r w:rsidR="00B30C47">
          <w:rPr>
            <w:webHidden/>
          </w:rPr>
          <w:fldChar w:fldCharType="separate"/>
        </w:r>
        <w:r w:rsidR="00B30C47">
          <w:rPr>
            <w:webHidden/>
          </w:rPr>
          <w:t>4</w:t>
        </w:r>
        <w:r w:rsidR="00B30C47">
          <w:rPr>
            <w:webHidden/>
          </w:rPr>
          <w:fldChar w:fldCharType="end"/>
        </w:r>
      </w:hyperlink>
    </w:p>
    <w:p w14:paraId="4B04981D" w14:textId="554F1FC1" w:rsidR="00B30C47" w:rsidRDefault="005D06D9">
      <w:pPr>
        <w:pStyle w:val="TOC1"/>
        <w:rPr>
          <w:rFonts w:asciiTheme="minorHAnsi" w:eastAsiaTheme="minorEastAsia" w:hAnsiTheme="minorHAnsi" w:cstheme="minorBidi"/>
          <w:b w:val="0"/>
          <w:spacing w:val="0"/>
          <w:sz w:val="22"/>
          <w:szCs w:val="22"/>
        </w:rPr>
      </w:pPr>
      <w:hyperlink w:anchor="_Toc5025652" w:history="1">
        <w:r w:rsidR="00B30C47" w:rsidRPr="00156697">
          <w:rPr>
            <w:rStyle w:val="Hyperlink"/>
            <w:rFonts w:eastAsiaTheme="majorEastAsia"/>
          </w:rPr>
          <w:t>Part 1—Five-year spectrum outlook</w:t>
        </w:r>
        <w:r w:rsidR="00B30C47">
          <w:rPr>
            <w:webHidden/>
          </w:rPr>
          <w:tab/>
        </w:r>
        <w:r w:rsidR="00B30C47">
          <w:rPr>
            <w:webHidden/>
          </w:rPr>
          <w:fldChar w:fldCharType="begin"/>
        </w:r>
        <w:r w:rsidR="00B30C47">
          <w:rPr>
            <w:webHidden/>
          </w:rPr>
          <w:instrText xml:space="preserve"> PAGEREF _Toc5025652 \h </w:instrText>
        </w:r>
        <w:r w:rsidR="00B30C47">
          <w:rPr>
            <w:webHidden/>
          </w:rPr>
        </w:r>
        <w:r w:rsidR="00B30C47">
          <w:rPr>
            <w:webHidden/>
          </w:rPr>
          <w:fldChar w:fldCharType="separate"/>
        </w:r>
        <w:r w:rsidR="00B30C47">
          <w:rPr>
            <w:webHidden/>
          </w:rPr>
          <w:t>12</w:t>
        </w:r>
        <w:r w:rsidR="00B30C47">
          <w:rPr>
            <w:webHidden/>
          </w:rPr>
          <w:fldChar w:fldCharType="end"/>
        </w:r>
      </w:hyperlink>
    </w:p>
    <w:p w14:paraId="0A4C7518" w14:textId="718A53FF" w:rsidR="00B30C47" w:rsidRDefault="005D06D9">
      <w:pPr>
        <w:pStyle w:val="TOC2"/>
        <w:rPr>
          <w:rFonts w:asciiTheme="minorHAnsi" w:eastAsiaTheme="minorEastAsia" w:hAnsiTheme="minorHAnsi" w:cstheme="minorBidi"/>
          <w:spacing w:val="0"/>
          <w:sz w:val="22"/>
          <w:szCs w:val="22"/>
        </w:rPr>
      </w:pPr>
      <w:hyperlink w:anchor="_Toc5025653" w:history="1">
        <w:r w:rsidR="00B30C47" w:rsidRPr="00156697">
          <w:rPr>
            <w:rStyle w:val="Hyperlink"/>
            <w:rFonts w:eastAsiaTheme="majorEastAsia"/>
          </w:rPr>
          <w:t>Introduction</w:t>
        </w:r>
        <w:r w:rsidR="00B30C47">
          <w:rPr>
            <w:webHidden/>
          </w:rPr>
          <w:tab/>
        </w:r>
        <w:r w:rsidR="00B30C47">
          <w:rPr>
            <w:webHidden/>
          </w:rPr>
          <w:fldChar w:fldCharType="begin"/>
        </w:r>
        <w:r w:rsidR="00B30C47">
          <w:rPr>
            <w:webHidden/>
          </w:rPr>
          <w:instrText xml:space="preserve"> PAGEREF _Toc5025653 \h </w:instrText>
        </w:r>
        <w:r w:rsidR="00B30C47">
          <w:rPr>
            <w:webHidden/>
          </w:rPr>
        </w:r>
        <w:r w:rsidR="00B30C47">
          <w:rPr>
            <w:webHidden/>
          </w:rPr>
          <w:fldChar w:fldCharType="separate"/>
        </w:r>
        <w:r w:rsidR="00B30C47">
          <w:rPr>
            <w:webHidden/>
          </w:rPr>
          <w:t>12</w:t>
        </w:r>
        <w:r w:rsidR="00B30C47">
          <w:rPr>
            <w:webHidden/>
          </w:rPr>
          <w:fldChar w:fldCharType="end"/>
        </w:r>
      </w:hyperlink>
    </w:p>
    <w:p w14:paraId="3234C40E" w14:textId="54456C9D" w:rsidR="00B30C47" w:rsidRDefault="005D06D9">
      <w:pPr>
        <w:pStyle w:val="TOC2"/>
        <w:rPr>
          <w:rFonts w:asciiTheme="minorHAnsi" w:eastAsiaTheme="minorEastAsia" w:hAnsiTheme="minorHAnsi" w:cstheme="minorBidi"/>
          <w:spacing w:val="0"/>
          <w:sz w:val="22"/>
          <w:szCs w:val="22"/>
        </w:rPr>
      </w:pPr>
      <w:hyperlink w:anchor="_Toc5025654" w:history="1">
        <w:r w:rsidR="00B30C47" w:rsidRPr="00156697">
          <w:rPr>
            <w:rStyle w:val="Hyperlink"/>
          </w:rPr>
          <w:t>Anticipated change drivers</w:t>
        </w:r>
        <w:r w:rsidR="00B30C47">
          <w:rPr>
            <w:webHidden/>
          </w:rPr>
          <w:tab/>
        </w:r>
        <w:r w:rsidR="00B30C47">
          <w:rPr>
            <w:webHidden/>
          </w:rPr>
          <w:fldChar w:fldCharType="begin"/>
        </w:r>
        <w:r w:rsidR="00B30C47">
          <w:rPr>
            <w:webHidden/>
          </w:rPr>
          <w:instrText xml:space="preserve"> PAGEREF _Toc5025654 \h </w:instrText>
        </w:r>
        <w:r w:rsidR="00B30C47">
          <w:rPr>
            <w:webHidden/>
          </w:rPr>
        </w:r>
        <w:r w:rsidR="00B30C47">
          <w:rPr>
            <w:webHidden/>
          </w:rPr>
          <w:fldChar w:fldCharType="separate"/>
        </w:r>
        <w:r w:rsidR="00B30C47">
          <w:rPr>
            <w:webHidden/>
          </w:rPr>
          <w:t>12</w:t>
        </w:r>
        <w:r w:rsidR="00B30C47">
          <w:rPr>
            <w:webHidden/>
          </w:rPr>
          <w:fldChar w:fldCharType="end"/>
        </w:r>
      </w:hyperlink>
    </w:p>
    <w:p w14:paraId="2D52189D" w14:textId="04FEB36B" w:rsidR="00B30C47" w:rsidRDefault="005D06D9">
      <w:pPr>
        <w:pStyle w:val="TOC3"/>
        <w:rPr>
          <w:rFonts w:asciiTheme="minorHAnsi" w:eastAsiaTheme="minorEastAsia" w:hAnsiTheme="minorHAnsi" w:cstheme="minorBidi"/>
        </w:rPr>
      </w:pPr>
      <w:hyperlink w:anchor="_Toc5025655" w:history="1">
        <w:r w:rsidR="00B30C47" w:rsidRPr="00156697">
          <w:rPr>
            <w:rStyle w:val="Hyperlink"/>
          </w:rPr>
          <w:t>Wireless broadband, including 5G</w:t>
        </w:r>
        <w:r w:rsidR="00B30C47">
          <w:rPr>
            <w:webHidden/>
          </w:rPr>
          <w:tab/>
        </w:r>
        <w:r w:rsidR="00B30C47">
          <w:rPr>
            <w:webHidden/>
          </w:rPr>
          <w:fldChar w:fldCharType="begin"/>
        </w:r>
        <w:r w:rsidR="00B30C47">
          <w:rPr>
            <w:webHidden/>
          </w:rPr>
          <w:instrText xml:space="preserve"> PAGEREF _Toc5025655 \h </w:instrText>
        </w:r>
        <w:r w:rsidR="00B30C47">
          <w:rPr>
            <w:webHidden/>
          </w:rPr>
        </w:r>
        <w:r w:rsidR="00B30C47">
          <w:rPr>
            <w:webHidden/>
          </w:rPr>
          <w:fldChar w:fldCharType="separate"/>
        </w:r>
        <w:r w:rsidR="00B30C47">
          <w:rPr>
            <w:webHidden/>
          </w:rPr>
          <w:t>12</w:t>
        </w:r>
        <w:r w:rsidR="00B30C47">
          <w:rPr>
            <w:webHidden/>
          </w:rPr>
          <w:fldChar w:fldCharType="end"/>
        </w:r>
      </w:hyperlink>
    </w:p>
    <w:p w14:paraId="41871C79" w14:textId="7F9D38A1" w:rsidR="00B30C47" w:rsidRDefault="005D06D9">
      <w:pPr>
        <w:pStyle w:val="TOC3"/>
        <w:rPr>
          <w:rFonts w:asciiTheme="minorHAnsi" w:eastAsiaTheme="minorEastAsia" w:hAnsiTheme="minorHAnsi" w:cstheme="minorBidi"/>
        </w:rPr>
      </w:pPr>
      <w:hyperlink w:anchor="_Toc5025656" w:history="1">
        <w:r w:rsidR="00B30C47" w:rsidRPr="00156697">
          <w:rPr>
            <w:rStyle w:val="Hyperlink"/>
          </w:rPr>
          <w:t>Machine-to-machine communications and the Internet of Things (IoT)</w:t>
        </w:r>
        <w:r w:rsidR="00B30C47">
          <w:rPr>
            <w:webHidden/>
          </w:rPr>
          <w:tab/>
        </w:r>
        <w:r w:rsidR="00B30C47">
          <w:rPr>
            <w:webHidden/>
          </w:rPr>
          <w:fldChar w:fldCharType="begin"/>
        </w:r>
        <w:r w:rsidR="00B30C47">
          <w:rPr>
            <w:webHidden/>
          </w:rPr>
          <w:instrText xml:space="preserve"> PAGEREF _Toc5025656 \h </w:instrText>
        </w:r>
        <w:r w:rsidR="00B30C47">
          <w:rPr>
            <w:webHidden/>
          </w:rPr>
        </w:r>
        <w:r w:rsidR="00B30C47">
          <w:rPr>
            <w:webHidden/>
          </w:rPr>
          <w:fldChar w:fldCharType="separate"/>
        </w:r>
        <w:r w:rsidR="00B30C47">
          <w:rPr>
            <w:webHidden/>
          </w:rPr>
          <w:t>16</w:t>
        </w:r>
        <w:r w:rsidR="00B30C47">
          <w:rPr>
            <w:webHidden/>
          </w:rPr>
          <w:fldChar w:fldCharType="end"/>
        </w:r>
      </w:hyperlink>
    </w:p>
    <w:p w14:paraId="775C14D6" w14:textId="58AE2099" w:rsidR="00B30C47" w:rsidRDefault="005D06D9">
      <w:pPr>
        <w:pStyle w:val="TOC3"/>
        <w:rPr>
          <w:rFonts w:asciiTheme="minorHAnsi" w:eastAsiaTheme="minorEastAsia" w:hAnsiTheme="minorHAnsi" w:cstheme="minorBidi"/>
        </w:rPr>
      </w:pPr>
      <w:hyperlink w:anchor="_Toc5025657" w:history="1">
        <w:r w:rsidR="00B30C47" w:rsidRPr="00156697">
          <w:rPr>
            <w:rStyle w:val="Hyperlink"/>
          </w:rPr>
          <w:t>Future delivery of broadcasting services</w:t>
        </w:r>
        <w:r w:rsidR="00B30C47">
          <w:rPr>
            <w:webHidden/>
          </w:rPr>
          <w:tab/>
        </w:r>
        <w:r w:rsidR="00B30C47">
          <w:rPr>
            <w:webHidden/>
          </w:rPr>
          <w:fldChar w:fldCharType="begin"/>
        </w:r>
        <w:r w:rsidR="00B30C47">
          <w:rPr>
            <w:webHidden/>
          </w:rPr>
          <w:instrText xml:space="preserve"> PAGEREF _Toc5025657 \h </w:instrText>
        </w:r>
        <w:r w:rsidR="00B30C47">
          <w:rPr>
            <w:webHidden/>
          </w:rPr>
        </w:r>
        <w:r w:rsidR="00B30C47">
          <w:rPr>
            <w:webHidden/>
          </w:rPr>
          <w:fldChar w:fldCharType="separate"/>
        </w:r>
        <w:r w:rsidR="00B30C47">
          <w:rPr>
            <w:webHidden/>
          </w:rPr>
          <w:t>17</w:t>
        </w:r>
        <w:r w:rsidR="00B30C47">
          <w:rPr>
            <w:webHidden/>
          </w:rPr>
          <w:fldChar w:fldCharType="end"/>
        </w:r>
      </w:hyperlink>
    </w:p>
    <w:p w14:paraId="22984F81" w14:textId="03D45E3F" w:rsidR="00B30C47" w:rsidRDefault="005D06D9">
      <w:pPr>
        <w:pStyle w:val="TOC3"/>
        <w:rPr>
          <w:rFonts w:asciiTheme="minorHAnsi" w:eastAsiaTheme="minorEastAsia" w:hAnsiTheme="minorHAnsi" w:cstheme="minorBidi"/>
        </w:rPr>
      </w:pPr>
      <w:hyperlink w:anchor="_Toc5025658" w:history="1">
        <w:r w:rsidR="00B30C47" w:rsidRPr="00156697">
          <w:rPr>
            <w:rStyle w:val="Hyperlink"/>
          </w:rPr>
          <w:t>Satellite communications</w:t>
        </w:r>
        <w:r w:rsidR="00B30C47">
          <w:rPr>
            <w:webHidden/>
          </w:rPr>
          <w:tab/>
        </w:r>
        <w:r w:rsidR="00B30C47">
          <w:rPr>
            <w:webHidden/>
          </w:rPr>
          <w:fldChar w:fldCharType="begin"/>
        </w:r>
        <w:r w:rsidR="00B30C47">
          <w:rPr>
            <w:webHidden/>
          </w:rPr>
          <w:instrText xml:space="preserve"> PAGEREF _Toc5025658 \h </w:instrText>
        </w:r>
        <w:r w:rsidR="00B30C47">
          <w:rPr>
            <w:webHidden/>
          </w:rPr>
        </w:r>
        <w:r w:rsidR="00B30C47">
          <w:rPr>
            <w:webHidden/>
          </w:rPr>
          <w:fldChar w:fldCharType="separate"/>
        </w:r>
        <w:r w:rsidR="00B30C47">
          <w:rPr>
            <w:webHidden/>
          </w:rPr>
          <w:t>17</w:t>
        </w:r>
        <w:r w:rsidR="00B30C47">
          <w:rPr>
            <w:webHidden/>
          </w:rPr>
          <w:fldChar w:fldCharType="end"/>
        </w:r>
      </w:hyperlink>
    </w:p>
    <w:p w14:paraId="482EC1C8" w14:textId="632AA8F3" w:rsidR="00B30C47" w:rsidRDefault="005D06D9">
      <w:pPr>
        <w:pStyle w:val="TOC3"/>
        <w:rPr>
          <w:rFonts w:asciiTheme="minorHAnsi" w:eastAsiaTheme="minorEastAsia" w:hAnsiTheme="minorHAnsi" w:cstheme="minorBidi"/>
        </w:rPr>
      </w:pPr>
      <w:hyperlink w:anchor="_Toc5025659" w:history="1">
        <w:r w:rsidR="00B30C47" w:rsidRPr="00156697">
          <w:rPr>
            <w:rStyle w:val="Hyperlink"/>
          </w:rPr>
          <w:t>Government spectrum requirements</w:t>
        </w:r>
        <w:r w:rsidR="00B30C47">
          <w:rPr>
            <w:webHidden/>
          </w:rPr>
          <w:tab/>
        </w:r>
        <w:r w:rsidR="00B30C47">
          <w:rPr>
            <w:webHidden/>
          </w:rPr>
          <w:fldChar w:fldCharType="begin"/>
        </w:r>
        <w:r w:rsidR="00B30C47">
          <w:rPr>
            <w:webHidden/>
          </w:rPr>
          <w:instrText xml:space="preserve"> PAGEREF _Toc5025659 \h </w:instrText>
        </w:r>
        <w:r w:rsidR="00B30C47">
          <w:rPr>
            <w:webHidden/>
          </w:rPr>
        </w:r>
        <w:r w:rsidR="00B30C47">
          <w:rPr>
            <w:webHidden/>
          </w:rPr>
          <w:fldChar w:fldCharType="separate"/>
        </w:r>
        <w:r w:rsidR="00B30C47">
          <w:rPr>
            <w:webHidden/>
          </w:rPr>
          <w:t>18</w:t>
        </w:r>
        <w:r w:rsidR="00B30C47">
          <w:rPr>
            <w:webHidden/>
          </w:rPr>
          <w:fldChar w:fldCharType="end"/>
        </w:r>
      </w:hyperlink>
    </w:p>
    <w:p w14:paraId="44CCFF28" w14:textId="2E08C6BA" w:rsidR="00B30C47" w:rsidRDefault="005D06D9">
      <w:pPr>
        <w:pStyle w:val="TOC3"/>
        <w:rPr>
          <w:rFonts w:asciiTheme="minorHAnsi" w:eastAsiaTheme="minorEastAsia" w:hAnsiTheme="minorHAnsi" w:cstheme="minorBidi"/>
        </w:rPr>
      </w:pPr>
      <w:hyperlink w:anchor="_Toc5025660" w:history="1">
        <w:r w:rsidR="00B30C47" w:rsidRPr="00156697">
          <w:rPr>
            <w:rStyle w:val="Hyperlink"/>
          </w:rPr>
          <w:t>New approaches to spectrum sharing</w:t>
        </w:r>
        <w:r w:rsidR="00B30C47">
          <w:rPr>
            <w:webHidden/>
          </w:rPr>
          <w:tab/>
        </w:r>
        <w:r w:rsidR="00B30C47">
          <w:rPr>
            <w:webHidden/>
          </w:rPr>
          <w:fldChar w:fldCharType="begin"/>
        </w:r>
        <w:r w:rsidR="00B30C47">
          <w:rPr>
            <w:webHidden/>
          </w:rPr>
          <w:instrText xml:space="preserve"> PAGEREF _Toc5025660 \h </w:instrText>
        </w:r>
        <w:r w:rsidR="00B30C47">
          <w:rPr>
            <w:webHidden/>
          </w:rPr>
        </w:r>
        <w:r w:rsidR="00B30C47">
          <w:rPr>
            <w:webHidden/>
          </w:rPr>
          <w:fldChar w:fldCharType="separate"/>
        </w:r>
        <w:r w:rsidR="00B30C47">
          <w:rPr>
            <w:webHidden/>
          </w:rPr>
          <w:t>19</w:t>
        </w:r>
        <w:r w:rsidR="00B30C47">
          <w:rPr>
            <w:webHidden/>
          </w:rPr>
          <w:fldChar w:fldCharType="end"/>
        </w:r>
      </w:hyperlink>
    </w:p>
    <w:p w14:paraId="076571C9" w14:textId="2222CF80" w:rsidR="00B30C47" w:rsidRDefault="005D06D9">
      <w:pPr>
        <w:pStyle w:val="TOC3"/>
        <w:rPr>
          <w:rFonts w:asciiTheme="minorHAnsi" w:eastAsiaTheme="minorEastAsia" w:hAnsiTheme="minorHAnsi" w:cstheme="minorBidi"/>
        </w:rPr>
      </w:pPr>
      <w:hyperlink w:anchor="_Toc5025661" w:history="1">
        <w:r w:rsidR="00B30C47" w:rsidRPr="00156697">
          <w:rPr>
            <w:rStyle w:val="Hyperlink"/>
          </w:rPr>
          <w:t>Class licensing and the spectrum commons</w:t>
        </w:r>
        <w:r w:rsidR="00B30C47">
          <w:rPr>
            <w:webHidden/>
          </w:rPr>
          <w:tab/>
        </w:r>
        <w:r w:rsidR="00B30C47">
          <w:rPr>
            <w:webHidden/>
          </w:rPr>
          <w:fldChar w:fldCharType="begin"/>
        </w:r>
        <w:r w:rsidR="00B30C47">
          <w:rPr>
            <w:webHidden/>
          </w:rPr>
          <w:instrText xml:space="preserve"> PAGEREF _Toc5025661 \h </w:instrText>
        </w:r>
        <w:r w:rsidR="00B30C47">
          <w:rPr>
            <w:webHidden/>
          </w:rPr>
        </w:r>
        <w:r w:rsidR="00B30C47">
          <w:rPr>
            <w:webHidden/>
          </w:rPr>
          <w:fldChar w:fldCharType="separate"/>
        </w:r>
        <w:r w:rsidR="00B30C47">
          <w:rPr>
            <w:webHidden/>
          </w:rPr>
          <w:t>20</w:t>
        </w:r>
        <w:r w:rsidR="00B30C47">
          <w:rPr>
            <w:webHidden/>
          </w:rPr>
          <w:fldChar w:fldCharType="end"/>
        </w:r>
      </w:hyperlink>
    </w:p>
    <w:p w14:paraId="59CACDBC" w14:textId="45DAD470" w:rsidR="00B30C47" w:rsidRDefault="005D06D9">
      <w:pPr>
        <w:pStyle w:val="TOC3"/>
        <w:rPr>
          <w:rFonts w:asciiTheme="minorHAnsi" w:eastAsiaTheme="minorEastAsia" w:hAnsiTheme="minorHAnsi" w:cstheme="minorBidi"/>
        </w:rPr>
      </w:pPr>
      <w:hyperlink w:anchor="_Toc5025662" w:history="1">
        <w:r w:rsidR="00B30C47" w:rsidRPr="00156697">
          <w:rPr>
            <w:rStyle w:val="Hyperlink"/>
          </w:rPr>
          <w:t>Amateur radio</w:t>
        </w:r>
        <w:r w:rsidR="00B30C47">
          <w:rPr>
            <w:webHidden/>
          </w:rPr>
          <w:tab/>
        </w:r>
        <w:r w:rsidR="00B30C47">
          <w:rPr>
            <w:webHidden/>
          </w:rPr>
          <w:fldChar w:fldCharType="begin"/>
        </w:r>
        <w:r w:rsidR="00B30C47">
          <w:rPr>
            <w:webHidden/>
          </w:rPr>
          <w:instrText xml:space="preserve"> PAGEREF _Toc5025662 \h </w:instrText>
        </w:r>
        <w:r w:rsidR="00B30C47">
          <w:rPr>
            <w:webHidden/>
          </w:rPr>
        </w:r>
        <w:r w:rsidR="00B30C47">
          <w:rPr>
            <w:webHidden/>
          </w:rPr>
          <w:fldChar w:fldCharType="separate"/>
        </w:r>
        <w:r w:rsidR="00B30C47">
          <w:rPr>
            <w:webHidden/>
          </w:rPr>
          <w:t>22</w:t>
        </w:r>
        <w:r w:rsidR="00B30C47">
          <w:rPr>
            <w:webHidden/>
          </w:rPr>
          <w:fldChar w:fldCharType="end"/>
        </w:r>
      </w:hyperlink>
    </w:p>
    <w:p w14:paraId="54439B75" w14:textId="60BAC4FF" w:rsidR="00B30C47" w:rsidRDefault="005D06D9">
      <w:pPr>
        <w:pStyle w:val="TOC1"/>
        <w:rPr>
          <w:rFonts w:asciiTheme="minorHAnsi" w:eastAsiaTheme="minorEastAsia" w:hAnsiTheme="minorHAnsi" w:cstheme="minorBidi"/>
          <w:b w:val="0"/>
          <w:spacing w:val="0"/>
          <w:sz w:val="22"/>
          <w:szCs w:val="22"/>
        </w:rPr>
      </w:pPr>
      <w:hyperlink w:anchor="_Toc5025663" w:history="1">
        <w:r w:rsidR="00B30C47" w:rsidRPr="00156697">
          <w:rPr>
            <w:rStyle w:val="Hyperlink"/>
            <w:rFonts w:eastAsiaTheme="majorEastAsia"/>
          </w:rPr>
          <w:t>Part 2—Proposed 2019–20 annual spectrum management work program</w:t>
        </w:r>
        <w:r w:rsidR="00B30C47">
          <w:rPr>
            <w:webHidden/>
          </w:rPr>
          <w:tab/>
        </w:r>
        <w:r w:rsidR="00B30C47">
          <w:rPr>
            <w:webHidden/>
          </w:rPr>
          <w:fldChar w:fldCharType="begin"/>
        </w:r>
        <w:r w:rsidR="00B30C47">
          <w:rPr>
            <w:webHidden/>
          </w:rPr>
          <w:instrText xml:space="preserve"> PAGEREF _Toc5025663 \h </w:instrText>
        </w:r>
        <w:r w:rsidR="00B30C47">
          <w:rPr>
            <w:webHidden/>
          </w:rPr>
        </w:r>
        <w:r w:rsidR="00B30C47">
          <w:rPr>
            <w:webHidden/>
          </w:rPr>
          <w:fldChar w:fldCharType="separate"/>
        </w:r>
        <w:r w:rsidR="00B30C47">
          <w:rPr>
            <w:webHidden/>
          </w:rPr>
          <w:t>23</w:t>
        </w:r>
        <w:r w:rsidR="00B30C47">
          <w:rPr>
            <w:webHidden/>
          </w:rPr>
          <w:fldChar w:fldCharType="end"/>
        </w:r>
      </w:hyperlink>
    </w:p>
    <w:p w14:paraId="40AFC280" w14:textId="76E05203" w:rsidR="00B30C47" w:rsidRDefault="005D06D9">
      <w:pPr>
        <w:pStyle w:val="TOC2"/>
        <w:rPr>
          <w:rFonts w:asciiTheme="minorHAnsi" w:eastAsiaTheme="minorEastAsia" w:hAnsiTheme="minorHAnsi" w:cstheme="minorBidi"/>
          <w:spacing w:val="0"/>
          <w:sz w:val="22"/>
          <w:szCs w:val="22"/>
        </w:rPr>
      </w:pPr>
      <w:hyperlink w:anchor="_Toc5025664" w:history="1">
        <w:r w:rsidR="00B30C47" w:rsidRPr="00156697">
          <w:rPr>
            <w:rStyle w:val="Hyperlink"/>
          </w:rPr>
          <w:t>Priorities and resources</w:t>
        </w:r>
        <w:r w:rsidR="00B30C47">
          <w:rPr>
            <w:webHidden/>
          </w:rPr>
          <w:tab/>
        </w:r>
        <w:r w:rsidR="00B30C47">
          <w:rPr>
            <w:webHidden/>
          </w:rPr>
          <w:fldChar w:fldCharType="begin"/>
        </w:r>
        <w:r w:rsidR="00B30C47">
          <w:rPr>
            <w:webHidden/>
          </w:rPr>
          <w:instrText xml:space="preserve"> PAGEREF _Toc5025664 \h </w:instrText>
        </w:r>
        <w:r w:rsidR="00B30C47">
          <w:rPr>
            <w:webHidden/>
          </w:rPr>
        </w:r>
        <w:r w:rsidR="00B30C47">
          <w:rPr>
            <w:webHidden/>
          </w:rPr>
          <w:fldChar w:fldCharType="separate"/>
        </w:r>
        <w:r w:rsidR="00B30C47">
          <w:rPr>
            <w:webHidden/>
          </w:rPr>
          <w:t>23</w:t>
        </w:r>
        <w:r w:rsidR="00B30C47">
          <w:rPr>
            <w:webHidden/>
          </w:rPr>
          <w:fldChar w:fldCharType="end"/>
        </w:r>
      </w:hyperlink>
    </w:p>
    <w:p w14:paraId="31C59107" w14:textId="738D44DE" w:rsidR="00B30C47" w:rsidRDefault="005D06D9">
      <w:pPr>
        <w:pStyle w:val="TOC2"/>
        <w:rPr>
          <w:rFonts w:asciiTheme="minorHAnsi" w:eastAsiaTheme="minorEastAsia" w:hAnsiTheme="minorHAnsi" w:cstheme="minorBidi"/>
          <w:spacing w:val="0"/>
          <w:sz w:val="22"/>
          <w:szCs w:val="22"/>
        </w:rPr>
      </w:pPr>
      <w:hyperlink w:anchor="_Toc5025665" w:history="1">
        <w:r w:rsidR="00B30C47" w:rsidRPr="00156697">
          <w:rPr>
            <w:rStyle w:val="Hyperlink"/>
          </w:rPr>
          <w:t>FYSO 2018–22 progress report</w:t>
        </w:r>
        <w:r w:rsidR="00B30C47">
          <w:rPr>
            <w:webHidden/>
          </w:rPr>
          <w:tab/>
        </w:r>
        <w:r w:rsidR="00B30C47">
          <w:rPr>
            <w:webHidden/>
          </w:rPr>
          <w:fldChar w:fldCharType="begin"/>
        </w:r>
        <w:r w:rsidR="00B30C47">
          <w:rPr>
            <w:webHidden/>
          </w:rPr>
          <w:instrText xml:space="preserve"> PAGEREF _Toc5025665 \h </w:instrText>
        </w:r>
        <w:r w:rsidR="00B30C47">
          <w:rPr>
            <w:webHidden/>
          </w:rPr>
        </w:r>
        <w:r w:rsidR="00B30C47">
          <w:rPr>
            <w:webHidden/>
          </w:rPr>
          <w:fldChar w:fldCharType="separate"/>
        </w:r>
        <w:r w:rsidR="00B30C47">
          <w:rPr>
            <w:webHidden/>
          </w:rPr>
          <w:t>24</w:t>
        </w:r>
        <w:r w:rsidR="00B30C47">
          <w:rPr>
            <w:webHidden/>
          </w:rPr>
          <w:fldChar w:fldCharType="end"/>
        </w:r>
      </w:hyperlink>
    </w:p>
    <w:p w14:paraId="03597BEF" w14:textId="584F5145" w:rsidR="00B30C47" w:rsidRDefault="005D06D9">
      <w:pPr>
        <w:pStyle w:val="TOC1"/>
        <w:rPr>
          <w:rFonts w:asciiTheme="minorHAnsi" w:eastAsiaTheme="minorEastAsia" w:hAnsiTheme="minorHAnsi" w:cstheme="minorBidi"/>
          <w:b w:val="0"/>
          <w:spacing w:val="0"/>
          <w:sz w:val="22"/>
          <w:szCs w:val="22"/>
        </w:rPr>
      </w:pPr>
      <w:hyperlink w:anchor="_Toc5025666" w:history="1">
        <w:r w:rsidR="00B30C47" w:rsidRPr="00156697">
          <w:rPr>
            <w:rStyle w:val="Hyperlink"/>
          </w:rPr>
          <w:t>International engagement</w:t>
        </w:r>
        <w:r w:rsidR="00B30C47">
          <w:rPr>
            <w:webHidden/>
          </w:rPr>
          <w:tab/>
        </w:r>
        <w:r w:rsidR="00B30C47">
          <w:rPr>
            <w:webHidden/>
          </w:rPr>
          <w:fldChar w:fldCharType="begin"/>
        </w:r>
        <w:r w:rsidR="00B30C47">
          <w:rPr>
            <w:webHidden/>
          </w:rPr>
          <w:instrText xml:space="preserve"> PAGEREF _Toc5025666 \h </w:instrText>
        </w:r>
        <w:r w:rsidR="00B30C47">
          <w:rPr>
            <w:webHidden/>
          </w:rPr>
        </w:r>
        <w:r w:rsidR="00B30C47">
          <w:rPr>
            <w:webHidden/>
          </w:rPr>
          <w:fldChar w:fldCharType="separate"/>
        </w:r>
        <w:r w:rsidR="00B30C47">
          <w:rPr>
            <w:webHidden/>
          </w:rPr>
          <w:t>25</w:t>
        </w:r>
        <w:r w:rsidR="00B30C47">
          <w:rPr>
            <w:webHidden/>
          </w:rPr>
          <w:fldChar w:fldCharType="end"/>
        </w:r>
      </w:hyperlink>
    </w:p>
    <w:p w14:paraId="1AF430C1" w14:textId="61AAB267" w:rsidR="00B30C47" w:rsidRDefault="005D06D9">
      <w:pPr>
        <w:pStyle w:val="TOC2"/>
        <w:rPr>
          <w:rFonts w:asciiTheme="minorHAnsi" w:eastAsiaTheme="minorEastAsia" w:hAnsiTheme="minorHAnsi" w:cstheme="minorBidi"/>
          <w:spacing w:val="0"/>
          <w:sz w:val="22"/>
          <w:szCs w:val="22"/>
        </w:rPr>
      </w:pPr>
      <w:hyperlink w:anchor="_Toc5025667" w:history="1">
        <w:r w:rsidR="00B30C47" w:rsidRPr="00156697">
          <w:rPr>
            <w:rStyle w:val="Hyperlink"/>
          </w:rPr>
          <w:t>International meetings 2018–19</w:t>
        </w:r>
        <w:r w:rsidR="00B30C47">
          <w:rPr>
            <w:webHidden/>
          </w:rPr>
          <w:tab/>
        </w:r>
        <w:r w:rsidR="00B30C47">
          <w:rPr>
            <w:webHidden/>
          </w:rPr>
          <w:fldChar w:fldCharType="begin"/>
        </w:r>
        <w:r w:rsidR="00B30C47">
          <w:rPr>
            <w:webHidden/>
          </w:rPr>
          <w:instrText xml:space="preserve"> PAGEREF _Toc5025667 \h </w:instrText>
        </w:r>
        <w:r w:rsidR="00B30C47">
          <w:rPr>
            <w:webHidden/>
          </w:rPr>
        </w:r>
        <w:r w:rsidR="00B30C47">
          <w:rPr>
            <w:webHidden/>
          </w:rPr>
          <w:fldChar w:fldCharType="separate"/>
        </w:r>
        <w:r w:rsidR="00B30C47">
          <w:rPr>
            <w:webHidden/>
          </w:rPr>
          <w:t>25</w:t>
        </w:r>
        <w:r w:rsidR="00B30C47">
          <w:rPr>
            <w:webHidden/>
          </w:rPr>
          <w:fldChar w:fldCharType="end"/>
        </w:r>
      </w:hyperlink>
    </w:p>
    <w:p w14:paraId="24FF270B" w14:textId="70F3D8E0" w:rsidR="00B30C47" w:rsidRDefault="005D06D9">
      <w:pPr>
        <w:pStyle w:val="TOC2"/>
        <w:rPr>
          <w:rFonts w:asciiTheme="minorHAnsi" w:eastAsiaTheme="minorEastAsia" w:hAnsiTheme="minorHAnsi" w:cstheme="minorBidi"/>
          <w:spacing w:val="0"/>
          <w:sz w:val="22"/>
          <w:szCs w:val="22"/>
        </w:rPr>
      </w:pPr>
      <w:hyperlink w:anchor="_Toc5025668" w:history="1">
        <w:r w:rsidR="00B30C47" w:rsidRPr="00156697">
          <w:rPr>
            <w:rStyle w:val="Hyperlink"/>
          </w:rPr>
          <w:t>New and ongoing activities planned for 2019–20</w:t>
        </w:r>
        <w:r w:rsidR="00B30C47">
          <w:rPr>
            <w:webHidden/>
          </w:rPr>
          <w:tab/>
        </w:r>
        <w:r w:rsidR="00B30C47">
          <w:rPr>
            <w:webHidden/>
          </w:rPr>
          <w:fldChar w:fldCharType="begin"/>
        </w:r>
        <w:r w:rsidR="00B30C47">
          <w:rPr>
            <w:webHidden/>
          </w:rPr>
          <w:instrText xml:space="preserve"> PAGEREF _Toc5025668 \h </w:instrText>
        </w:r>
        <w:r w:rsidR="00B30C47">
          <w:rPr>
            <w:webHidden/>
          </w:rPr>
        </w:r>
        <w:r w:rsidR="00B30C47">
          <w:rPr>
            <w:webHidden/>
          </w:rPr>
          <w:fldChar w:fldCharType="separate"/>
        </w:r>
        <w:r w:rsidR="00B30C47">
          <w:rPr>
            <w:webHidden/>
          </w:rPr>
          <w:t>26</w:t>
        </w:r>
        <w:r w:rsidR="00B30C47">
          <w:rPr>
            <w:webHidden/>
          </w:rPr>
          <w:fldChar w:fldCharType="end"/>
        </w:r>
      </w:hyperlink>
    </w:p>
    <w:p w14:paraId="6B899D0C" w14:textId="1A4612DE" w:rsidR="00B30C47" w:rsidRDefault="005D06D9">
      <w:pPr>
        <w:pStyle w:val="TOC1"/>
        <w:rPr>
          <w:rFonts w:asciiTheme="minorHAnsi" w:eastAsiaTheme="minorEastAsia" w:hAnsiTheme="minorHAnsi" w:cstheme="minorBidi"/>
          <w:b w:val="0"/>
          <w:spacing w:val="0"/>
          <w:sz w:val="22"/>
          <w:szCs w:val="22"/>
        </w:rPr>
      </w:pPr>
      <w:hyperlink w:anchor="_Toc5025669" w:history="1">
        <w:r w:rsidR="00B30C47" w:rsidRPr="00156697">
          <w:rPr>
            <w:rStyle w:val="Hyperlink"/>
          </w:rPr>
          <w:t>Planning</w:t>
        </w:r>
        <w:r w:rsidR="00B30C47">
          <w:rPr>
            <w:webHidden/>
          </w:rPr>
          <w:tab/>
        </w:r>
        <w:r w:rsidR="00B30C47">
          <w:rPr>
            <w:webHidden/>
          </w:rPr>
          <w:fldChar w:fldCharType="begin"/>
        </w:r>
        <w:r w:rsidR="00B30C47">
          <w:rPr>
            <w:webHidden/>
          </w:rPr>
          <w:instrText xml:space="preserve"> PAGEREF _Toc5025669 \h </w:instrText>
        </w:r>
        <w:r w:rsidR="00B30C47">
          <w:rPr>
            <w:webHidden/>
          </w:rPr>
        </w:r>
        <w:r w:rsidR="00B30C47">
          <w:rPr>
            <w:webHidden/>
          </w:rPr>
          <w:fldChar w:fldCharType="separate"/>
        </w:r>
        <w:r w:rsidR="00B30C47">
          <w:rPr>
            <w:webHidden/>
          </w:rPr>
          <w:t>27</w:t>
        </w:r>
        <w:r w:rsidR="00B30C47">
          <w:rPr>
            <w:webHidden/>
          </w:rPr>
          <w:fldChar w:fldCharType="end"/>
        </w:r>
      </w:hyperlink>
    </w:p>
    <w:p w14:paraId="195ABD36" w14:textId="0FFD4271" w:rsidR="00B30C47" w:rsidRDefault="005D06D9">
      <w:pPr>
        <w:pStyle w:val="TOC2"/>
        <w:rPr>
          <w:rFonts w:asciiTheme="minorHAnsi" w:eastAsiaTheme="minorEastAsia" w:hAnsiTheme="minorHAnsi" w:cstheme="minorBidi"/>
          <w:spacing w:val="0"/>
          <w:sz w:val="22"/>
          <w:szCs w:val="22"/>
        </w:rPr>
      </w:pPr>
      <w:hyperlink w:anchor="_Toc5025670" w:history="1">
        <w:r w:rsidR="00B30C47" w:rsidRPr="00156697">
          <w:rPr>
            <w:rStyle w:val="Hyperlink"/>
          </w:rPr>
          <w:t>Implementing outcomes of WRC-19</w:t>
        </w:r>
        <w:r w:rsidR="00B30C47">
          <w:rPr>
            <w:webHidden/>
          </w:rPr>
          <w:tab/>
        </w:r>
        <w:r w:rsidR="00B30C47">
          <w:rPr>
            <w:webHidden/>
          </w:rPr>
          <w:fldChar w:fldCharType="begin"/>
        </w:r>
        <w:r w:rsidR="00B30C47">
          <w:rPr>
            <w:webHidden/>
          </w:rPr>
          <w:instrText xml:space="preserve"> PAGEREF _Toc5025670 \h </w:instrText>
        </w:r>
        <w:r w:rsidR="00B30C47">
          <w:rPr>
            <w:webHidden/>
          </w:rPr>
        </w:r>
        <w:r w:rsidR="00B30C47">
          <w:rPr>
            <w:webHidden/>
          </w:rPr>
          <w:fldChar w:fldCharType="separate"/>
        </w:r>
        <w:r w:rsidR="00B30C47">
          <w:rPr>
            <w:webHidden/>
          </w:rPr>
          <w:t>27</w:t>
        </w:r>
        <w:r w:rsidR="00B30C47">
          <w:rPr>
            <w:webHidden/>
          </w:rPr>
          <w:fldChar w:fldCharType="end"/>
        </w:r>
      </w:hyperlink>
    </w:p>
    <w:p w14:paraId="4919912A" w14:textId="0900A347" w:rsidR="00B30C47" w:rsidRDefault="005D06D9">
      <w:pPr>
        <w:pStyle w:val="TOC2"/>
        <w:rPr>
          <w:rFonts w:asciiTheme="minorHAnsi" w:eastAsiaTheme="minorEastAsia" w:hAnsiTheme="minorHAnsi" w:cstheme="minorBidi"/>
          <w:spacing w:val="0"/>
          <w:sz w:val="22"/>
          <w:szCs w:val="22"/>
        </w:rPr>
      </w:pPr>
      <w:hyperlink w:anchor="_Toc5025671" w:history="1">
        <w:r w:rsidR="00B30C47" w:rsidRPr="00156697">
          <w:rPr>
            <w:rStyle w:val="Hyperlink"/>
          </w:rPr>
          <w:t>Major replanning progress achieved since FYSO 2018–22</w:t>
        </w:r>
        <w:r w:rsidR="00B30C47">
          <w:rPr>
            <w:webHidden/>
          </w:rPr>
          <w:tab/>
        </w:r>
        <w:r w:rsidR="00B30C47">
          <w:rPr>
            <w:webHidden/>
          </w:rPr>
          <w:fldChar w:fldCharType="begin"/>
        </w:r>
        <w:r w:rsidR="00B30C47">
          <w:rPr>
            <w:webHidden/>
          </w:rPr>
          <w:instrText xml:space="preserve"> PAGEREF _Toc5025671 \h </w:instrText>
        </w:r>
        <w:r w:rsidR="00B30C47">
          <w:rPr>
            <w:webHidden/>
          </w:rPr>
        </w:r>
        <w:r w:rsidR="00B30C47">
          <w:rPr>
            <w:webHidden/>
          </w:rPr>
          <w:fldChar w:fldCharType="separate"/>
        </w:r>
        <w:r w:rsidR="00B30C47">
          <w:rPr>
            <w:webHidden/>
          </w:rPr>
          <w:t>28</w:t>
        </w:r>
        <w:r w:rsidR="00B30C47">
          <w:rPr>
            <w:webHidden/>
          </w:rPr>
          <w:fldChar w:fldCharType="end"/>
        </w:r>
      </w:hyperlink>
    </w:p>
    <w:p w14:paraId="74E2DC36" w14:textId="2F69960F" w:rsidR="00B30C47" w:rsidRDefault="005D06D9">
      <w:pPr>
        <w:pStyle w:val="TOC2"/>
        <w:rPr>
          <w:rFonts w:asciiTheme="minorHAnsi" w:eastAsiaTheme="minorEastAsia" w:hAnsiTheme="minorHAnsi" w:cstheme="minorBidi"/>
          <w:spacing w:val="0"/>
          <w:sz w:val="22"/>
          <w:szCs w:val="22"/>
        </w:rPr>
      </w:pPr>
      <w:hyperlink w:anchor="_Toc5025672" w:history="1">
        <w:r w:rsidR="00B30C47" w:rsidRPr="00156697">
          <w:rPr>
            <w:rStyle w:val="Hyperlink"/>
          </w:rPr>
          <w:t>Major band planning and replanning activities</w:t>
        </w:r>
        <w:r w:rsidR="00B30C47">
          <w:rPr>
            <w:webHidden/>
          </w:rPr>
          <w:tab/>
        </w:r>
        <w:r w:rsidR="00B30C47">
          <w:rPr>
            <w:webHidden/>
          </w:rPr>
          <w:fldChar w:fldCharType="begin"/>
        </w:r>
        <w:r w:rsidR="00B30C47">
          <w:rPr>
            <w:webHidden/>
          </w:rPr>
          <w:instrText xml:space="preserve"> PAGEREF _Toc5025672 \h </w:instrText>
        </w:r>
        <w:r w:rsidR="00B30C47">
          <w:rPr>
            <w:webHidden/>
          </w:rPr>
        </w:r>
        <w:r w:rsidR="00B30C47">
          <w:rPr>
            <w:webHidden/>
          </w:rPr>
          <w:fldChar w:fldCharType="separate"/>
        </w:r>
        <w:r w:rsidR="00B30C47">
          <w:rPr>
            <w:webHidden/>
          </w:rPr>
          <w:t>28</w:t>
        </w:r>
        <w:r w:rsidR="00B30C47">
          <w:rPr>
            <w:webHidden/>
          </w:rPr>
          <w:fldChar w:fldCharType="end"/>
        </w:r>
      </w:hyperlink>
    </w:p>
    <w:p w14:paraId="3E26E94C" w14:textId="53EEA8A2" w:rsidR="00B30C47" w:rsidRDefault="005D06D9">
      <w:pPr>
        <w:pStyle w:val="TOC2"/>
        <w:rPr>
          <w:rFonts w:asciiTheme="minorHAnsi" w:eastAsiaTheme="minorEastAsia" w:hAnsiTheme="minorHAnsi" w:cstheme="minorBidi"/>
          <w:spacing w:val="0"/>
          <w:sz w:val="22"/>
          <w:szCs w:val="22"/>
        </w:rPr>
      </w:pPr>
      <w:hyperlink w:anchor="_Toc5025673" w:history="1">
        <w:r w:rsidR="00B30C47" w:rsidRPr="00156697">
          <w:rPr>
            <w:rStyle w:val="Hyperlink"/>
          </w:rPr>
          <w:t>Monitoring</w:t>
        </w:r>
        <w:r w:rsidR="00B30C47">
          <w:rPr>
            <w:webHidden/>
          </w:rPr>
          <w:tab/>
        </w:r>
        <w:r w:rsidR="00B30C47">
          <w:rPr>
            <w:webHidden/>
          </w:rPr>
          <w:fldChar w:fldCharType="begin"/>
        </w:r>
        <w:r w:rsidR="00B30C47">
          <w:rPr>
            <w:webHidden/>
          </w:rPr>
          <w:instrText xml:space="preserve"> PAGEREF _Toc5025673 \h </w:instrText>
        </w:r>
        <w:r w:rsidR="00B30C47">
          <w:rPr>
            <w:webHidden/>
          </w:rPr>
        </w:r>
        <w:r w:rsidR="00B30C47">
          <w:rPr>
            <w:webHidden/>
          </w:rPr>
          <w:fldChar w:fldCharType="separate"/>
        </w:r>
        <w:r w:rsidR="00B30C47">
          <w:rPr>
            <w:webHidden/>
          </w:rPr>
          <w:t>29</w:t>
        </w:r>
        <w:r w:rsidR="00B30C47">
          <w:rPr>
            <w:webHidden/>
          </w:rPr>
          <w:fldChar w:fldCharType="end"/>
        </w:r>
      </w:hyperlink>
    </w:p>
    <w:p w14:paraId="75D0CED0" w14:textId="1622A1DD" w:rsidR="00B30C47" w:rsidRDefault="005D06D9">
      <w:pPr>
        <w:pStyle w:val="TOC3"/>
        <w:rPr>
          <w:rFonts w:asciiTheme="minorHAnsi" w:eastAsiaTheme="minorEastAsia" w:hAnsiTheme="minorHAnsi" w:cstheme="minorBidi"/>
        </w:rPr>
      </w:pPr>
      <w:hyperlink w:anchor="_Toc5025674" w:history="1">
        <w:r w:rsidR="00B30C47" w:rsidRPr="00156697">
          <w:rPr>
            <w:rStyle w:val="Hyperlink"/>
          </w:rPr>
          <w:t>600 MHz (617–698 MHz)</w:t>
        </w:r>
        <w:r w:rsidR="00B30C47">
          <w:rPr>
            <w:webHidden/>
          </w:rPr>
          <w:tab/>
        </w:r>
        <w:r w:rsidR="00B30C47">
          <w:rPr>
            <w:webHidden/>
          </w:rPr>
          <w:fldChar w:fldCharType="begin"/>
        </w:r>
        <w:r w:rsidR="00B30C47">
          <w:rPr>
            <w:webHidden/>
          </w:rPr>
          <w:instrText xml:space="preserve"> PAGEREF _Toc5025674 \h </w:instrText>
        </w:r>
        <w:r w:rsidR="00B30C47">
          <w:rPr>
            <w:webHidden/>
          </w:rPr>
        </w:r>
        <w:r w:rsidR="00B30C47">
          <w:rPr>
            <w:webHidden/>
          </w:rPr>
          <w:fldChar w:fldCharType="separate"/>
        </w:r>
        <w:r w:rsidR="00B30C47">
          <w:rPr>
            <w:webHidden/>
          </w:rPr>
          <w:t>29</w:t>
        </w:r>
        <w:r w:rsidR="00B30C47">
          <w:rPr>
            <w:webHidden/>
          </w:rPr>
          <w:fldChar w:fldCharType="end"/>
        </w:r>
      </w:hyperlink>
    </w:p>
    <w:p w14:paraId="669B0955" w14:textId="49C72556" w:rsidR="00B30C47" w:rsidRDefault="005D06D9">
      <w:pPr>
        <w:pStyle w:val="TOC3"/>
        <w:rPr>
          <w:rFonts w:asciiTheme="minorHAnsi" w:eastAsiaTheme="minorEastAsia" w:hAnsiTheme="minorHAnsi" w:cstheme="minorBidi"/>
        </w:rPr>
      </w:pPr>
      <w:hyperlink w:anchor="_Toc5025675" w:history="1">
        <w:r w:rsidR="00B30C47" w:rsidRPr="00156697">
          <w:rPr>
            <w:rStyle w:val="Hyperlink"/>
          </w:rPr>
          <w:t>3.3 GHz (3300–3400 MHz)</w:t>
        </w:r>
        <w:r w:rsidR="00B30C47">
          <w:rPr>
            <w:webHidden/>
          </w:rPr>
          <w:tab/>
        </w:r>
        <w:r w:rsidR="00B30C47">
          <w:rPr>
            <w:webHidden/>
          </w:rPr>
          <w:fldChar w:fldCharType="begin"/>
        </w:r>
        <w:r w:rsidR="00B30C47">
          <w:rPr>
            <w:webHidden/>
          </w:rPr>
          <w:instrText xml:space="preserve"> PAGEREF _Toc5025675 \h </w:instrText>
        </w:r>
        <w:r w:rsidR="00B30C47">
          <w:rPr>
            <w:webHidden/>
          </w:rPr>
        </w:r>
        <w:r w:rsidR="00B30C47">
          <w:rPr>
            <w:webHidden/>
          </w:rPr>
          <w:fldChar w:fldCharType="separate"/>
        </w:r>
        <w:r w:rsidR="00B30C47">
          <w:rPr>
            <w:webHidden/>
          </w:rPr>
          <w:t>30</w:t>
        </w:r>
        <w:r w:rsidR="00B30C47">
          <w:rPr>
            <w:webHidden/>
          </w:rPr>
          <w:fldChar w:fldCharType="end"/>
        </w:r>
      </w:hyperlink>
    </w:p>
    <w:p w14:paraId="64C1E0D0" w14:textId="4B4F54A1" w:rsidR="00B30C47" w:rsidRDefault="005D06D9">
      <w:pPr>
        <w:pStyle w:val="TOC3"/>
        <w:rPr>
          <w:rFonts w:asciiTheme="minorHAnsi" w:eastAsiaTheme="minorEastAsia" w:hAnsiTheme="minorHAnsi" w:cstheme="minorBidi"/>
        </w:rPr>
      </w:pPr>
      <w:hyperlink w:anchor="_Toc5025676" w:history="1">
        <w:r w:rsidR="00B30C47" w:rsidRPr="00156697">
          <w:rPr>
            <w:rStyle w:val="Hyperlink"/>
          </w:rPr>
          <w:t>4.5 GHz (4400–4500 MHz)</w:t>
        </w:r>
        <w:r w:rsidR="00B30C47">
          <w:rPr>
            <w:webHidden/>
          </w:rPr>
          <w:tab/>
        </w:r>
        <w:r w:rsidR="00B30C47">
          <w:rPr>
            <w:webHidden/>
          </w:rPr>
          <w:fldChar w:fldCharType="begin"/>
        </w:r>
        <w:r w:rsidR="00B30C47">
          <w:rPr>
            <w:webHidden/>
          </w:rPr>
          <w:instrText xml:space="preserve"> PAGEREF _Toc5025676 \h </w:instrText>
        </w:r>
        <w:r w:rsidR="00B30C47">
          <w:rPr>
            <w:webHidden/>
          </w:rPr>
        </w:r>
        <w:r w:rsidR="00B30C47">
          <w:rPr>
            <w:webHidden/>
          </w:rPr>
          <w:fldChar w:fldCharType="separate"/>
        </w:r>
        <w:r w:rsidR="00B30C47">
          <w:rPr>
            <w:webHidden/>
          </w:rPr>
          <w:t>30</w:t>
        </w:r>
        <w:r w:rsidR="00B30C47">
          <w:rPr>
            <w:webHidden/>
          </w:rPr>
          <w:fldChar w:fldCharType="end"/>
        </w:r>
      </w:hyperlink>
    </w:p>
    <w:p w14:paraId="7CDA6AB8" w14:textId="3A418227" w:rsidR="00B30C47" w:rsidRDefault="005D06D9">
      <w:pPr>
        <w:pStyle w:val="TOC3"/>
        <w:rPr>
          <w:rFonts w:asciiTheme="minorHAnsi" w:eastAsiaTheme="minorEastAsia" w:hAnsiTheme="minorHAnsi" w:cstheme="minorBidi"/>
        </w:rPr>
      </w:pPr>
      <w:hyperlink w:anchor="_Toc5025677" w:history="1">
        <w:r w:rsidR="00B30C47" w:rsidRPr="00156697">
          <w:rPr>
            <w:rStyle w:val="Hyperlink"/>
          </w:rPr>
          <w:t>4.8 GHz (4800–4990 MHz)</w:t>
        </w:r>
        <w:r w:rsidR="00B30C47">
          <w:rPr>
            <w:webHidden/>
          </w:rPr>
          <w:tab/>
        </w:r>
        <w:r w:rsidR="00B30C47">
          <w:rPr>
            <w:webHidden/>
          </w:rPr>
          <w:fldChar w:fldCharType="begin"/>
        </w:r>
        <w:r w:rsidR="00B30C47">
          <w:rPr>
            <w:webHidden/>
          </w:rPr>
          <w:instrText xml:space="preserve"> PAGEREF _Toc5025677 \h </w:instrText>
        </w:r>
        <w:r w:rsidR="00B30C47">
          <w:rPr>
            <w:webHidden/>
          </w:rPr>
        </w:r>
        <w:r w:rsidR="00B30C47">
          <w:rPr>
            <w:webHidden/>
          </w:rPr>
          <w:fldChar w:fldCharType="separate"/>
        </w:r>
        <w:r w:rsidR="00B30C47">
          <w:rPr>
            <w:webHidden/>
          </w:rPr>
          <w:t>31</w:t>
        </w:r>
        <w:r w:rsidR="00B30C47">
          <w:rPr>
            <w:webHidden/>
          </w:rPr>
          <w:fldChar w:fldCharType="end"/>
        </w:r>
      </w:hyperlink>
    </w:p>
    <w:p w14:paraId="623D08E8" w14:textId="77BC5FDD" w:rsidR="00B30C47" w:rsidRDefault="005D06D9">
      <w:pPr>
        <w:pStyle w:val="TOC3"/>
        <w:rPr>
          <w:rFonts w:asciiTheme="minorHAnsi" w:eastAsiaTheme="minorEastAsia" w:hAnsiTheme="minorHAnsi" w:cstheme="minorBidi"/>
        </w:rPr>
      </w:pPr>
      <w:hyperlink w:anchor="_Toc5025678" w:history="1">
        <w:r w:rsidR="00B30C47" w:rsidRPr="00156697">
          <w:rPr>
            <w:rStyle w:val="Hyperlink"/>
          </w:rPr>
          <w:t>Bands being studied under WRC-19 agenda item 1.16</w:t>
        </w:r>
        <w:r w:rsidR="00B30C47">
          <w:rPr>
            <w:webHidden/>
          </w:rPr>
          <w:tab/>
        </w:r>
        <w:r w:rsidR="00B30C47">
          <w:rPr>
            <w:webHidden/>
          </w:rPr>
          <w:fldChar w:fldCharType="begin"/>
        </w:r>
        <w:r w:rsidR="00B30C47">
          <w:rPr>
            <w:webHidden/>
          </w:rPr>
          <w:instrText xml:space="preserve"> PAGEREF _Toc5025678 \h </w:instrText>
        </w:r>
        <w:r w:rsidR="00B30C47">
          <w:rPr>
            <w:webHidden/>
          </w:rPr>
        </w:r>
        <w:r w:rsidR="00B30C47">
          <w:rPr>
            <w:webHidden/>
          </w:rPr>
          <w:fldChar w:fldCharType="separate"/>
        </w:r>
        <w:r w:rsidR="00B30C47">
          <w:rPr>
            <w:webHidden/>
          </w:rPr>
          <w:t>32</w:t>
        </w:r>
        <w:r w:rsidR="00B30C47">
          <w:rPr>
            <w:webHidden/>
          </w:rPr>
          <w:fldChar w:fldCharType="end"/>
        </w:r>
      </w:hyperlink>
    </w:p>
    <w:p w14:paraId="5A8B940E" w14:textId="3390B9C9" w:rsidR="00B30C47" w:rsidRDefault="005D06D9">
      <w:pPr>
        <w:pStyle w:val="TOC3"/>
        <w:rPr>
          <w:rFonts w:asciiTheme="minorHAnsi" w:eastAsiaTheme="minorEastAsia" w:hAnsiTheme="minorHAnsi" w:cstheme="minorBidi"/>
        </w:rPr>
      </w:pPr>
      <w:hyperlink w:anchor="_Toc5025679" w:history="1">
        <w:r w:rsidR="00B30C47" w:rsidRPr="00156697">
          <w:rPr>
            <w:rStyle w:val="Hyperlink"/>
          </w:rPr>
          <w:t>Bands being studied under WRC-19 agenda item 1.13</w:t>
        </w:r>
        <w:r w:rsidR="00B30C47">
          <w:rPr>
            <w:webHidden/>
          </w:rPr>
          <w:tab/>
        </w:r>
        <w:r w:rsidR="00B30C47">
          <w:rPr>
            <w:webHidden/>
          </w:rPr>
          <w:fldChar w:fldCharType="begin"/>
        </w:r>
        <w:r w:rsidR="00B30C47">
          <w:rPr>
            <w:webHidden/>
          </w:rPr>
          <w:instrText xml:space="preserve"> PAGEREF _Toc5025679 \h </w:instrText>
        </w:r>
        <w:r w:rsidR="00B30C47">
          <w:rPr>
            <w:webHidden/>
          </w:rPr>
        </w:r>
        <w:r w:rsidR="00B30C47">
          <w:rPr>
            <w:webHidden/>
          </w:rPr>
          <w:fldChar w:fldCharType="separate"/>
        </w:r>
        <w:r w:rsidR="00B30C47">
          <w:rPr>
            <w:webHidden/>
          </w:rPr>
          <w:t>33</w:t>
        </w:r>
        <w:r w:rsidR="00B30C47">
          <w:rPr>
            <w:webHidden/>
          </w:rPr>
          <w:fldChar w:fldCharType="end"/>
        </w:r>
      </w:hyperlink>
    </w:p>
    <w:p w14:paraId="37BBCCE1" w14:textId="621DD5E0" w:rsidR="00B30C47" w:rsidRDefault="005D06D9">
      <w:pPr>
        <w:pStyle w:val="TOC2"/>
        <w:rPr>
          <w:rFonts w:asciiTheme="minorHAnsi" w:eastAsiaTheme="minorEastAsia" w:hAnsiTheme="minorHAnsi" w:cstheme="minorBidi"/>
          <w:spacing w:val="0"/>
          <w:sz w:val="22"/>
          <w:szCs w:val="22"/>
        </w:rPr>
      </w:pPr>
      <w:hyperlink w:anchor="_Toc5025680" w:history="1">
        <w:r w:rsidR="00B30C47" w:rsidRPr="00156697">
          <w:rPr>
            <w:rStyle w:val="Hyperlink"/>
          </w:rPr>
          <w:t>Initial Investigation</w:t>
        </w:r>
        <w:r w:rsidR="00B30C47">
          <w:rPr>
            <w:webHidden/>
          </w:rPr>
          <w:tab/>
        </w:r>
        <w:r w:rsidR="00B30C47">
          <w:rPr>
            <w:webHidden/>
          </w:rPr>
          <w:fldChar w:fldCharType="begin"/>
        </w:r>
        <w:r w:rsidR="00B30C47">
          <w:rPr>
            <w:webHidden/>
          </w:rPr>
          <w:instrText xml:space="preserve"> PAGEREF _Toc5025680 \h </w:instrText>
        </w:r>
        <w:r w:rsidR="00B30C47">
          <w:rPr>
            <w:webHidden/>
          </w:rPr>
        </w:r>
        <w:r w:rsidR="00B30C47">
          <w:rPr>
            <w:webHidden/>
          </w:rPr>
          <w:fldChar w:fldCharType="separate"/>
        </w:r>
        <w:r w:rsidR="00B30C47">
          <w:rPr>
            <w:webHidden/>
          </w:rPr>
          <w:t>34</w:t>
        </w:r>
        <w:r w:rsidR="00B30C47">
          <w:rPr>
            <w:webHidden/>
          </w:rPr>
          <w:fldChar w:fldCharType="end"/>
        </w:r>
      </w:hyperlink>
    </w:p>
    <w:p w14:paraId="3AAFADE1" w14:textId="3C18DB67" w:rsidR="00B30C47" w:rsidRDefault="005D06D9">
      <w:pPr>
        <w:pStyle w:val="TOC3"/>
        <w:rPr>
          <w:rFonts w:asciiTheme="minorHAnsi" w:eastAsiaTheme="minorEastAsia" w:hAnsiTheme="minorHAnsi" w:cstheme="minorBidi"/>
        </w:rPr>
      </w:pPr>
      <w:hyperlink w:anchor="_Toc5025681" w:history="1">
        <w:r w:rsidR="00B30C47" w:rsidRPr="00156697">
          <w:rPr>
            <w:rStyle w:val="Hyperlink"/>
          </w:rPr>
          <w:t>‘Extended MSS L-band’ (1518–1525 MHz and 1668–1675 MHz)</w:t>
        </w:r>
        <w:r w:rsidR="00B30C47">
          <w:rPr>
            <w:webHidden/>
          </w:rPr>
          <w:tab/>
        </w:r>
        <w:r w:rsidR="00B30C47">
          <w:rPr>
            <w:webHidden/>
          </w:rPr>
          <w:fldChar w:fldCharType="begin"/>
        </w:r>
        <w:r w:rsidR="00B30C47">
          <w:rPr>
            <w:webHidden/>
          </w:rPr>
          <w:instrText xml:space="preserve"> PAGEREF _Toc5025681 \h </w:instrText>
        </w:r>
        <w:r w:rsidR="00B30C47">
          <w:rPr>
            <w:webHidden/>
          </w:rPr>
        </w:r>
        <w:r w:rsidR="00B30C47">
          <w:rPr>
            <w:webHidden/>
          </w:rPr>
          <w:fldChar w:fldCharType="separate"/>
        </w:r>
        <w:r w:rsidR="00B30C47">
          <w:rPr>
            <w:webHidden/>
          </w:rPr>
          <w:t>34</w:t>
        </w:r>
        <w:r w:rsidR="00B30C47">
          <w:rPr>
            <w:webHidden/>
          </w:rPr>
          <w:fldChar w:fldCharType="end"/>
        </w:r>
      </w:hyperlink>
    </w:p>
    <w:p w14:paraId="00AE57ED" w14:textId="3547625B" w:rsidR="00B30C47" w:rsidRDefault="005D06D9">
      <w:pPr>
        <w:pStyle w:val="TOC3"/>
        <w:rPr>
          <w:rFonts w:asciiTheme="minorHAnsi" w:eastAsiaTheme="minorEastAsia" w:hAnsiTheme="minorHAnsi" w:cstheme="minorBidi"/>
        </w:rPr>
      </w:pPr>
      <w:hyperlink w:anchor="_Toc5025682" w:history="1">
        <w:r w:rsidR="00B30C47" w:rsidRPr="00156697">
          <w:rPr>
            <w:rStyle w:val="Hyperlink"/>
          </w:rPr>
          <w:t>2 GHz (1980–2010 MHz and 2170–2200 MHz)</w:t>
        </w:r>
        <w:r w:rsidR="00B30C47">
          <w:rPr>
            <w:webHidden/>
          </w:rPr>
          <w:tab/>
        </w:r>
        <w:r w:rsidR="00B30C47">
          <w:rPr>
            <w:webHidden/>
          </w:rPr>
          <w:fldChar w:fldCharType="begin"/>
        </w:r>
        <w:r w:rsidR="00B30C47">
          <w:rPr>
            <w:webHidden/>
          </w:rPr>
          <w:instrText xml:space="preserve"> PAGEREF _Toc5025682 \h </w:instrText>
        </w:r>
        <w:r w:rsidR="00B30C47">
          <w:rPr>
            <w:webHidden/>
          </w:rPr>
        </w:r>
        <w:r w:rsidR="00B30C47">
          <w:rPr>
            <w:webHidden/>
          </w:rPr>
          <w:fldChar w:fldCharType="separate"/>
        </w:r>
        <w:r w:rsidR="00B30C47">
          <w:rPr>
            <w:webHidden/>
          </w:rPr>
          <w:t>35</w:t>
        </w:r>
        <w:r w:rsidR="00B30C47">
          <w:rPr>
            <w:webHidden/>
          </w:rPr>
          <w:fldChar w:fldCharType="end"/>
        </w:r>
      </w:hyperlink>
    </w:p>
    <w:p w14:paraId="3B6FC1A4" w14:textId="455F2504" w:rsidR="00B30C47" w:rsidRDefault="005D06D9">
      <w:pPr>
        <w:pStyle w:val="TOC3"/>
        <w:rPr>
          <w:rFonts w:asciiTheme="minorHAnsi" w:eastAsiaTheme="minorEastAsia" w:hAnsiTheme="minorHAnsi" w:cstheme="minorBidi"/>
        </w:rPr>
      </w:pPr>
      <w:hyperlink w:anchor="_Toc5025683" w:history="1">
        <w:r w:rsidR="00B30C47" w:rsidRPr="00156697">
          <w:rPr>
            <w:rStyle w:val="Hyperlink"/>
          </w:rPr>
          <w:t>3.8 GHz (3700–4200 MHz)</w:t>
        </w:r>
        <w:r w:rsidR="00B30C47">
          <w:rPr>
            <w:webHidden/>
          </w:rPr>
          <w:tab/>
        </w:r>
        <w:r w:rsidR="00B30C47">
          <w:rPr>
            <w:webHidden/>
          </w:rPr>
          <w:fldChar w:fldCharType="begin"/>
        </w:r>
        <w:r w:rsidR="00B30C47">
          <w:rPr>
            <w:webHidden/>
          </w:rPr>
          <w:instrText xml:space="preserve"> PAGEREF _Toc5025683 \h </w:instrText>
        </w:r>
        <w:r w:rsidR="00B30C47">
          <w:rPr>
            <w:webHidden/>
          </w:rPr>
        </w:r>
        <w:r w:rsidR="00B30C47">
          <w:rPr>
            <w:webHidden/>
          </w:rPr>
          <w:fldChar w:fldCharType="separate"/>
        </w:r>
        <w:r w:rsidR="00B30C47">
          <w:rPr>
            <w:webHidden/>
          </w:rPr>
          <w:t>36</w:t>
        </w:r>
        <w:r w:rsidR="00B30C47">
          <w:rPr>
            <w:webHidden/>
          </w:rPr>
          <w:fldChar w:fldCharType="end"/>
        </w:r>
      </w:hyperlink>
    </w:p>
    <w:p w14:paraId="4964804E" w14:textId="625CA509" w:rsidR="00B30C47" w:rsidRDefault="005D06D9">
      <w:pPr>
        <w:pStyle w:val="TOC2"/>
        <w:rPr>
          <w:rFonts w:asciiTheme="minorHAnsi" w:eastAsiaTheme="minorEastAsia" w:hAnsiTheme="minorHAnsi" w:cstheme="minorBidi"/>
          <w:spacing w:val="0"/>
          <w:sz w:val="22"/>
          <w:szCs w:val="22"/>
        </w:rPr>
      </w:pPr>
      <w:hyperlink w:anchor="_Toc5025684" w:history="1">
        <w:r w:rsidR="00B30C47" w:rsidRPr="00156697">
          <w:rPr>
            <w:rStyle w:val="Hyperlink"/>
          </w:rPr>
          <w:t>Preliminary replanning</w:t>
        </w:r>
        <w:r w:rsidR="00B30C47">
          <w:rPr>
            <w:webHidden/>
          </w:rPr>
          <w:tab/>
        </w:r>
        <w:r w:rsidR="00B30C47">
          <w:rPr>
            <w:webHidden/>
          </w:rPr>
          <w:fldChar w:fldCharType="begin"/>
        </w:r>
        <w:r w:rsidR="00B30C47">
          <w:rPr>
            <w:webHidden/>
          </w:rPr>
          <w:instrText xml:space="preserve"> PAGEREF _Toc5025684 \h </w:instrText>
        </w:r>
        <w:r w:rsidR="00B30C47">
          <w:rPr>
            <w:webHidden/>
          </w:rPr>
        </w:r>
        <w:r w:rsidR="00B30C47">
          <w:rPr>
            <w:webHidden/>
          </w:rPr>
          <w:fldChar w:fldCharType="separate"/>
        </w:r>
        <w:r w:rsidR="00B30C47">
          <w:rPr>
            <w:webHidden/>
          </w:rPr>
          <w:t>37</w:t>
        </w:r>
        <w:r w:rsidR="00B30C47">
          <w:rPr>
            <w:webHidden/>
          </w:rPr>
          <w:fldChar w:fldCharType="end"/>
        </w:r>
      </w:hyperlink>
    </w:p>
    <w:p w14:paraId="2F9AF978" w14:textId="1628017F" w:rsidR="00B30C47" w:rsidRDefault="005D06D9">
      <w:pPr>
        <w:pStyle w:val="TOC3"/>
        <w:rPr>
          <w:rFonts w:asciiTheme="minorHAnsi" w:eastAsiaTheme="minorEastAsia" w:hAnsiTheme="minorHAnsi" w:cstheme="minorBidi"/>
        </w:rPr>
      </w:pPr>
      <w:hyperlink w:anchor="_Toc5025685" w:history="1">
        <w:r w:rsidR="00B30C47" w:rsidRPr="00156697">
          <w:rPr>
            <w:rStyle w:val="Hyperlink"/>
          </w:rPr>
          <w:t>1.5 GHz (1427–1518 MHz)</w:t>
        </w:r>
        <w:r w:rsidR="00B30C47">
          <w:rPr>
            <w:webHidden/>
          </w:rPr>
          <w:tab/>
        </w:r>
        <w:r w:rsidR="00B30C47">
          <w:rPr>
            <w:webHidden/>
          </w:rPr>
          <w:fldChar w:fldCharType="begin"/>
        </w:r>
        <w:r w:rsidR="00B30C47">
          <w:rPr>
            <w:webHidden/>
          </w:rPr>
          <w:instrText xml:space="preserve"> PAGEREF _Toc5025685 \h </w:instrText>
        </w:r>
        <w:r w:rsidR="00B30C47">
          <w:rPr>
            <w:webHidden/>
          </w:rPr>
        </w:r>
        <w:r w:rsidR="00B30C47">
          <w:rPr>
            <w:webHidden/>
          </w:rPr>
          <w:fldChar w:fldCharType="separate"/>
        </w:r>
        <w:r w:rsidR="00B30C47">
          <w:rPr>
            <w:webHidden/>
          </w:rPr>
          <w:t>37</w:t>
        </w:r>
        <w:r w:rsidR="00B30C47">
          <w:rPr>
            <w:webHidden/>
          </w:rPr>
          <w:fldChar w:fldCharType="end"/>
        </w:r>
      </w:hyperlink>
    </w:p>
    <w:p w14:paraId="67612EDB" w14:textId="0FDE5150" w:rsidR="00B30C47" w:rsidRDefault="005D06D9">
      <w:pPr>
        <w:pStyle w:val="TOC3"/>
        <w:rPr>
          <w:rFonts w:asciiTheme="minorHAnsi" w:eastAsiaTheme="minorEastAsia" w:hAnsiTheme="minorHAnsi" w:cstheme="minorBidi"/>
        </w:rPr>
      </w:pPr>
      <w:hyperlink w:anchor="_Toc5025686" w:history="1">
        <w:r w:rsidR="00B30C47" w:rsidRPr="00156697">
          <w:rPr>
            <w:rStyle w:val="Hyperlink"/>
          </w:rPr>
          <w:t>1710–1785 MHz and 1805–1880 MHz (1800 MHz) in remote areas</w:t>
        </w:r>
        <w:r w:rsidR="00B30C47">
          <w:rPr>
            <w:webHidden/>
          </w:rPr>
          <w:tab/>
        </w:r>
        <w:r w:rsidR="00B30C47">
          <w:rPr>
            <w:webHidden/>
          </w:rPr>
          <w:fldChar w:fldCharType="begin"/>
        </w:r>
        <w:r w:rsidR="00B30C47">
          <w:rPr>
            <w:webHidden/>
          </w:rPr>
          <w:instrText xml:space="preserve"> PAGEREF _Toc5025686 \h </w:instrText>
        </w:r>
        <w:r w:rsidR="00B30C47">
          <w:rPr>
            <w:webHidden/>
          </w:rPr>
        </w:r>
        <w:r w:rsidR="00B30C47">
          <w:rPr>
            <w:webHidden/>
          </w:rPr>
          <w:fldChar w:fldCharType="separate"/>
        </w:r>
        <w:r w:rsidR="00B30C47">
          <w:rPr>
            <w:webHidden/>
          </w:rPr>
          <w:t>38</w:t>
        </w:r>
        <w:r w:rsidR="00B30C47">
          <w:rPr>
            <w:webHidden/>
          </w:rPr>
          <w:fldChar w:fldCharType="end"/>
        </w:r>
      </w:hyperlink>
    </w:p>
    <w:p w14:paraId="164F8597" w14:textId="4EDB1ABF" w:rsidR="00B30C47" w:rsidRDefault="005D06D9">
      <w:pPr>
        <w:pStyle w:val="TOC3"/>
        <w:rPr>
          <w:rFonts w:asciiTheme="minorHAnsi" w:eastAsiaTheme="minorEastAsia" w:hAnsiTheme="minorHAnsi" w:cstheme="minorBidi"/>
        </w:rPr>
      </w:pPr>
      <w:hyperlink w:anchor="_Toc5025687" w:history="1">
        <w:r w:rsidR="00B30C47" w:rsidRPr="00156697">
          <w:rPr>
            <w:rStyle w:val="Hyperlink"/>
          </w:rPr>
          <w:t>3.4–3.575 GHz band</w:t>
        </w:r>
        <w:r w:rsidR="00B30C47">
          <w:rPr>
            <w:webHidden/>
          </w:rPr>
          <w:tab/>
        </w:r>
        <w:r w:rsidR="00B30C47">
          <w:rPr>
            <w:webHidden/>
          </w:rPr>
          <w:fldChar w:fldCharType="begin"/>
        </w:r>
        <w:r w:rsidR="00B30C47">
          <w:rPr>
            <w:webHidden/>
          </w:rPr>
          <w:instrText xml:space="preserve"> PAGEREF _Toc5025687 \h </w:instrText>
        </w:r>
        <w:r w:rsidR="00B30C47">
          <w:rPr>
            <w:webHidden/>
          </w:rPr>
        </w:r>
        <w:r w:rsidR="00B30C47">
          <w:rPr>
            <w:webHidden/>
          </w:rPr>
          <w:fldChar w:fldCharType="separate"/>
        </w:r>
        <w:r w:rsidR="00B30C47">
          <w:rPr>
            <w:webHidden/>
          </w:rPr>
          <w:t>38</w:t>
        </w:r>
        <w:r w:rsidR="00B30C47">
          <w:rPr>
            <w:webHidden/>
          </w:rPr>
          <w:fldChar w:fldCharType="end"/>
        </w:r>
      </w:hyperlink>
    </w:p>
    <w:p w14:paraId="03C4B944" w14:textId="738B92A1" w:rsidR="00B30C47" w:rsidRDefault="005D06D9">
      <w:pPr>
        <w:pStyle w:val="TOC3"/>
        <w:rPr>
          <w:rFonts w:asciiTheme="minorHAnsi" w:eastAsiaTheme="minorEastAsia" w:hAnsiTheme="minorHAnsi" w:cstheme="minorBidi"/>
        </w:rPr>
      </w:pPr>
      <w:hyperlink w:anchor="_Toc5025688" w:history="1">
        <w:r w:rsidR="00B30C47" w:rsidRPr="00156697">
          <w:rPr>
            <w:rStyle w:val="Hyperlink"/>
          </w:rPr>
          <w:t>28 GHz (27.5–29.5 GHz)</w:t>
        </w:r>
        <w:r w:rsidR="00B30C47">
          <w:rPr>
            <w:webHidden/>
          </w:rPr>
          <w:tab/>
        </w:r>
        <w:r w:rsidR="00B30C47">
          <w:rPr>
            <w:webHidden/>
          </w:rPr>
          <w:fldChar w:fldCharType="begin"/>
        </w:r>
        <w:r w:rsidR="00B30C47">
          <w:rPr>
            <w:webHidden/>
          </w:rPr>
          <w:instrText xml:space="preserve"> PAGEREF _Toc5025688 \h </w:instrText>
        </w:r>
        <w:r w:rsidR="00B30C47">
          <w:rPr>
            <w:webHidden/>
          </w:rPr>
        </w:r>
        <w:r w:rsidR="00B30C47">
          <w:rPr>
            <w:webHidden/>
          </w:rPr>
          <w:fldChar w:fldCharType="separate"/>
        </w:r>
        <w:r w:rsidR="00B30C47">
          <w:rPr>
            <w:webHidden/>
          </w:rPr>
          <w:t>39</w:t>
        </w:r>
        <w:r w:rsidR="00B30C47">
          <w:rPr>
            <w:webHidden/>
          </w:rPr>
          <w:fldChar w:fldCharType="end"/>
        </w:r>
      </w:hyperlink>
    </w:p>
    <w:p w14:paraId="2D041D27" w14:textId="5C318786" w:rsidR="00B30C47" w:rsidRDefault="005D06D9">
      <w:pPr>
        <w:pStyle w:val="TOC2"/>
        <w:rPr>
          <w:rFonts w:asciiTheme="minorHAnsi" w:eastAsiaTheme="minorEastAsia" w:hAnsiTheme="minorHAnsi" w:cstheme="minorBidi"/>
          <w:spacing w:val="0"/>
          <w:sz w:val="22"/>
          <w:szCs w:val="22"/>
        </w:rPr>
      </w:pPr>
      <w:hyperlink w:anchor="_Toc5025689" w:history="1">
        <w:r w:rsidR="00B30C47" w:rsidRPr="00156697">
          <w:rPr>
            <w:rStyle w:val="Hyperlink"/>
          </w:rPr>
          <w:t>Replanning</w:t>
        </w:r>
        <w:r w:rsidR="00B30C47">
          <w:rPr>
            <w:webHidden/>
          </w:rPr>
          <w:tab/>
        </w:r>
        <w:r w:rsidR="00B30C47">
          <w:rPr>
            <w:webHidden/>
          </w:rPr>
          <w:fldChar w:fldCharType="begin"/>
        </w:r>
        <w:r w:rsidR="00B30C47">
          <w:rPr>
            <w:webHidden/>
          </w:rPr>
          <w:instrText xml:space="preserve"> PAGEREF _Toc5025689 \h </w:instrText>
        </w:r>
        <w:r w:rsidR="00B30C47">
          <w:rPr>
            <w:webHidden/>
          </w:rPr>
        </w:r>
        <w:r w:rsidR="00B30C47">
          <w:rPr>
            <w:webHidden/>
          </w:rPr>
          <w:fldChar w:fldCharType="separate"/>
        </w:r>
        <w:r w:rsidR="00B30C47">
          <w:rPr>
            <w:webHidden/>
          </w:rPr>
          <w:t>39</w:t>
        </w:r>
        <w:r w:rsidR="00B30C47">
          <w:rPr>
            <w:webHidden/>
          </w:rPr>
          <w:fldChar w:fldCharType="end"/>
        </w:r>
      </w:hyperlink>
    </w:p>
    <w:p w14:paraId="11DF2488" w14:textId="32C827F2" w:rsidR="00B30C47" w:rsidRDefault="005D06D9">
      <w:pPr>
        <w:pStyle w:val="TOC3"/>
        <w:rPr>
          <w:rFonts w:asciiTheme="minorHAnsi" w:eastAsiaTheme="minorEastAsia" w:hAnsiTheme="minorHAnsi" w:cstheme="minorBidi"/>
        </w:rPr>
      </w:pPr>
      <w:hyperlink w:anchor="_Toc5025690" w:history="1">
        <w:r w:rsidR="00B30C47" w:rsidRPr="00156697">
          <w:rPr>
            <w:rStyle w:val="Hyperlink"/>
          </w:rPr>
          <w:t>850 MHz expansion band (809–824 MHz and 854–869 MHz)</w:t>
        </w:r>
        <w:r w:rsidR="00B30C47">
          <w:rPr>
            <w:webHidden/>
          </w:rPr>
          <w:tab/>
        </w:r>
        <w:r w:rsidR="00B30C47">
          <w:rPr>
            <w:webHidden/>
          </w:rPr>
          <w:fldChar w:fldCharType="begin"/>
        </w:r>
        <w:r w:rsidR="00B30C47">
          <w:rPr>
            <w:webHidden/>
          </w:rPr>
          <w:instrText xml:space="preserve"> PAGEREF _Toc5025690 \h </w:instrText>
        </w:r>
        <w:r w:rsidR="00B30C47">
          <w:rPr>
            <w:webHidden/>
          </w:rPr>
        </w:r>
        <w:r w:rsidR="00B30C47">
          <w:rPr>
            <w:webHidden/>
          </w:rPr>
          <w:fldChar w:fldCharType="separate"/>
        </w:r>
        <w:r w:rsidR="00B30C47">
          <w:rPr>
            <w:webHidden/>
          </w:rPr>
          <w:t>39</w:t>
        </w:r>
        <w:r w:rsidR="00B30C47">
          <w:rPr>
            <w:webHidden/>
          </w:rPr>
          <w:fldChar w:fldCharType="end"/>
        </w:r>
      </w:hyperlink>
    </w:p>
    <w:p w14:paraId="38893432" w14:textId="5F35CA21" w:rsidR="00B30C47" w:rsidRDefault="005D06D9">
      <w:pPr>
        <w:pStyle w:val="TOC3"/>
        <w:rPr>
          <w:rFonts w:asciiTheme="minorHAnsi" w:eastAsiaTheme="minorEastAsia" w:hAnsiTheme="minorHAnsi" w:cstheme="minorBidi"/>
        </w:rPr>
      </w:pPr>
      <w:hyperlink w:anchor="_Toc5025691" w:history="1">
        <w:r w:rsidR="00B30C47" w:rsidRPr="00156697">
          <w:rPr>
            <w:rStyle w:val="Hyperlink"/>
          </w:rPr>
          <w:t>900 MHz (890–915 MHz and 935–960 MHz)</w:t>
        </w:r>
        <w:r w:rsidR="00B30C47">
          <w:rPr>
            <w:webHidden/>
          </w:rPr>
          <w:tab/>
        </w:r>
        <w:r w:rsidR="00B30C47">
          <w:rPr>
            <w:webHidden/>
          </w:rPr>
          <w:fldChar w:fldCharType="begin"/>
        </w:r>
        <w:r w:rsidR="00B30C47">
          <w:rPr>
            <w:webHidden/>
          </w:rPr>
          <w:instrText xml:space="preserve"> PAGEREF _Toc5025691 \h </w:instrText>
        </w:r>
        <w:r w:rsidR="00B30C47">
          <w:rPr>
            <w:webHidden/>
          </w:rPr>
        </w:r>
        <w:r w:rsidR="00B30C47">
          <w:rPr>
            <w:webHidden/>
          </w:rPr>
          <w:fldChar w:fldCharType="separate"/>
        </w:r>
        <w:r w:rsidR="00B30C47">
          <w:rPr>
            <w:webHidden/>
          </w:rPr>
          <w:t>40</w:t>
        </w:r>
        <w:r w:rsidR="00B30C47">
          <w:rPr>
            <w:webHidden/>
          </w:rPr>
          <w:fldChar w:fldCharType="end"/>
        </w:r>
      </w:hyperlink>
    </w:p>
    <w:p w14:paraId="02A44440" w14:textId="0F605E05" w:rsidR="00B30C47" w:rsidRDefault="005D06D9">
      <w:pPr>
        <w:pStyle w:val="TOC3"/>
        <w:rPr>
          <w:rFonts w:asciiTheme="minorHAnsi" w:eastAsiaTheme="minorEastAsia" w:hAnsiTheme="minorHAnsi" w:cstheme="minorBidi"/>
        </w:rPr>
      </w:pPr>
      <w:hyperlink w:anchor="_Toc5025692" w:history="1">
        <w:r w:rsidR="00B30C47" w:rsidRPr="00156697">
          <w:rPr>
            <w:rStyle w:val="Hyperlink"/>
          </w:rPr>
          <w:t>5.6 GHz (5600–5650 MHz)</w:t>
        </w:r>
        <w:r w:rsidR="00B30C47">
          <w:rPr>
            <w:webHidden/>
          </w:rPr>
          <w:tab/>
        </w:r>
        <w:r w:rsidR="00B30C47">
          <w:rPr>
            <w:webHidden/>
          </w:rPr>
          <w:fldChar w:fldCharType="begin"/>
        </w:r>
        <w:r w:rsidR="00B30C47">
          <w:rPr>
            <w:webHidden/>
          </w:rPr>
          <w:instrText xml:space="preserve"> PAGEREF _Toc5025692 \h </w:instrText>
        </w:r>
        <w:r w:rsidR="00B30C47">
          <w:rPr>
            <w:webHidden/>
          </w:rPr>
        </w:r>
        <w:r w:rsidR="00B30C47">
          <w:rPr>
            <w:webHidden/>
          </w:rPr>
          <w:fldChar w:fldCharType="separate"/>
        </w:r>
        <w:r w:rsidR="00B30C47">
          <w:rPr>
            <w:webHidden/>
          </w:rPr>
          <w:t>41</w:t>
        </w:r>
        <w:r w:rsidR="00B30C47">
          <w:rPr>
            <w:webHidden/>
          </w:rPr>
          <w:fldChar w:fldCharType="end"/>
        </w:r>
      </w:hyperlink>
    </w:p>
    <w:p w14:paraId="72DAF5CE" w14:textId="2BAD0C11" w:rsidR="00B30C47" w:rsidRDefault="005D06D9">
      <w:pPr>
        <w:pStyle w:val="TOC3"/>
        <w:rPr>
          <w:rFonts w:asciiTheme="minorHAnsi" w:eastAsiaTheme="minorEastAsia" w:hAnsiTheme="minorHAnsi" w:cstheme="minorBidi"/>
        </w:rPr>
      </w:pPr>
      <w:hyperlink w:anchor="_Toc5025693" w:history="1">
        <w:r w:rsidR="00B30C47" w:rsidRPr="00156697">
          <w:rPr>
            <w:rStyle w:val="Hyperlink"/>
          </w:rPr>
          <w:t>26 GHz (24.25–27.5 GHz)</w:t>
        </w:r>
        <w:r w:rsidR="00B30C47">
          <w:rPr>
            <w:webHidden/>
          </w:rPr>
          <w:tab/>
        </w:r>
        <w:r w:rsidR="00B30C47">
          <w:rPr>
            <w:webHidden/>
          </w:rPr>
          <w:fldChar w:fldCharType="begin"/>
        </w:r>
        <w:r w:rsidR="00B30C47">
          <w:rPr>
            <w:webHidden/>
          </w:rPr>
          <w:instrText xml:space="preserve"> PAGEREF _Toc5025693 \h </w:instrText>
        </w:r>
        <w:r w:rsidR="00B30C47">
          <w:rPr>
            <w:webHidden/>
          </w:rPr>
        </w:r>
        <w:r w:rsidR="00B30C47">
          <w:rPr>
            <w:webHidden/>
          </w:rPr>
          <w:fldChar w:fldCharType="separate"/>
        </w:r>
        <w:r w:rsidR="00B30C47">
          <w:rPr>
            <w:webHidden/>
          </w:rPr>
          <w:t>41</w:t>
        </w:r>
        <w:r w:rsidR="00B30C47">
          <w:rPr>
            <w:webHidden/>
          </w:rPr>
          <w:fldChar w:fldCharType="end"/>
        </w:r>
      </w:hyperlink>
    </w:p>
    <w:p w14:paraId="5514E6A2" w14:textId="3584B52C" w:rsidR="00B30C47" w:rsidRDefault="005D06D9">
      <w:pPr>
        <w:pStyle w:val="TOC2"/>
        <w:rPr>
          <w:rFonts w:asciiTheme="minorHAnsi" w:eastAsiaTheme="minorEastAsia" w:hAnsiTheme="minorHAnsi" w:cstheme="minorBidi"/>
          <w:spacing w:val="0"/>
          <w:sz w:val="22"/>
          <w:szCs w:val="22"/>
        </w:rPr>
      </w:pPr>
      <w:hyperlink w:anchor="_Toc5025694" w:history="1">
        <w:r w:rsidR="00B30C47" w:rsidRPr="00156697">
          <w:rPr>
            <w:rStyle w:val="Hyperlink"/>
          </w:rPr>
          <w:t>Optimising established planning frameworks</w:t>
        </w:r>
        <w:r w:rsidR="00B30C47">
          <w:rPr>
            <w:webHidden/>
          </w:rPr>
          <w:tab/>
        </w:r>
        <w:r w:rsidR="00B30C47">
          <w:rPr>
            <w:webHidden/>
          </w:rPr>
          <w:fldChar w:fldCharType="begin"/>
        </w:r>
        <w:r w:rsidR="00B30C47">
          <w:rPr>
            <w:webHidden/>
          </w:rPr>
          <w:instrText xml:space="preserve"> PAGEREF _Toc5025694 \h </w:instrText>
        </w:r>
        <w:r w:rsidR="00B30C47">
          <w:rPr>
            <w:webHidden/>
          </w:rPr>
        </w:r>
        <w:r w:rsidR="00B30C47">
          <w:rPr>
            <w:webHidden/>
          </w:rPr>
          <w:fldChar w:fldCharType="separate"/>
        </w:r>
        <w:r w:rsidR="00B30C47">
          <w:rPr>
            <w:webHidden/>
          </w:rPr>
          <w:t>43</w:t>
        </w:r>
        <w:r w:rsidR="00B30C47">
          <w:rPr>
            <w:webHidden/>
          </w:rPr>
          <w:fldChar w:fldCharType="end"/>
        </w:r>
      </w:hyperlink>
    </w:p>
    <w:p w14:paraId="1DE0BCEE" w14:textId="0876F685" w:rsidR="00B30C47" w:rsidRDefault="005D06D9">
      <w:pPr>
        <w:pStyle w:val="TOC3"/>
        <w:rPr>
          <w:rFonts w:asciiTheme="minorHAnsi" w:eastAsiaTheme="minorEastAsia" w:hAnsiTheme="minorHAnsi" w:cstheme="minorBidi"/>
        </w:rPr>
      </w:pPr>
      <w:hyperlink w:anchor="_Toc5025695" w:history="1">
        <w:r w:rsidR="00B30C47" w:rsidRPr="00156697">
          <w:rPr>
            <w:rStyle w:val="Hyperlink"/>
          </w:rPr>
          <w:t>Spectrum management advice and considering of out-of-policy requests</w:t>
        </w:r>
        <w:r w:rsidR="00B30C47">
          <w:rPr>
            <w:webHidden/>
          </w:rPr>
          <w:tab/>
        </w:r>
        <w:r w:rsidR="00B30C47">
          <w:rPr>
            <w:webHidden/>
          </w:rPr>
          <w:fldChar w:fldCharType="begin"/>
        </w:r>
        <w:r w:rsidR="00B30C47">
          <w:rPr>
            <w:webHidden/>
          </w:rPr>
          <w:instrText xml:space="preserve"> PAGEREF _Toc5025695 \h </w:instrText>
        </w:r>
        <w:r w:rsidR="00B30C47">
          <w:rPr>
            <w:webHidden/>
          </w:rPr>
        </w:r>
        <w:r w:rsidR="00B30C47">
          <w:rPr>
            <w:webHidden/>
          </w:rPr>
          <w:fldChar w:fldCharType="separate"/>
        </w:r>
        <w:r w:rsidR="00B30C47">
          <w:rPr>
            <w:webHidden/>
          </w:rPr>
          <w:t>43</w:t>
        </w:r>
        <w:r w:rsidR="00B30C47">
          <w:rPr>
            <w:webHidden/>
          </w:rPr>
          <w:fldChar w:fldCharType="end"/>
        </w:r>
      </w:hyperlink>
    </w:p>
    <w:p w14:paraId="51BCB566" w14:textId="4DB365FF" w:rsidR="00B30C47" w:rsidRDefault="005D06D9">
      <w:pPr>
        <w:pStyle w:val="TOC3"/>
        <w:rPr>
          <w:rFonts w:asciiTheme="minorHAnsi" w:eastAsiaTheme="minorEastAsia" w:hAnsiTheme="minorHAnsi" w:cstheme="minorBidi"/>
        </w:rPr>
      </w:pPr>
      <w:hyperlink w:anchor="_Toc5025696" w:history="1">
        <w:r w:rsidR="00B30C47" w:rsidRPr="00156697">
          <w:rPr>
            <w:rStyle w:val="Hyperlink"/>
          </w:rPr>
          <w:t>Broadcasting</w:t>
        </w:r>
        <w:r w:rsidR="00B30C47">
          <w:rPr>
            <w:webHidden/>
          </w:rPr>
          <w:tab/>
        </w:r>
        <w:r w:rsidR="00B30C47">
          <w:rPr>
            <w:webHidden/>
          </w:rPr>
          <w:fldChar w:fldCharType="begin"/>
        </w:r>
        <w:r w:rsidR="00B30C47">
          <w:rPr>
            <w:webHidden/>
          </w:rPr>
          <w:instrText xml:space="preserve"> PAGEREF _Toc5025696 \h </w:instrText>
        </w:r>
        <w:r w:rsidR="00B30C47">
          <w:rPr>
            <w:webHidden/>
          </w:rPr>
        </w:r>
        <w:r w:rsidR="00B30C47">
          <w:rPr>
            <w:webHidden/>
          </w:rPr>
          <w:fldChar w:fldCharType="separate"/>
        </w:r>
        <w:r w:rsidR="00B30C47">
          <w:rPr>
            <w:webHidden/>
          </w:rPr>
          <w:t>43</w:t>
        </w:r>
        <w:r w:rsidR="00B30C47">
          <w:rPr>
            <w:webHidden/>
          </w:rPr>
          <w:fldChar w:fldCharType="end"/>
        </w:r>
      </w:hyperlink>
    </w:p>
    <w:p w14:paraId="4F87FA12" w14:textId="3D14A41F" w:rsidR="00B30C47" w:rsidRDefault="005D06D9">
      <w:pPr>
        <w:pStyle w:val="TOC3"/>
        <w:rPr>
          <w:rFonts w:asciiTheme="minorHAnsi" w:eastAsiaTheme="minorEastAsia" w:hAnsiTheme="minorHAnsi" w:cstheme="minorBidi"/>
        </w:rPr>
      </w:pPr>
      <w:hyperlink w:anchor="_Toc5025697" w:history="1">
        <w:r w:rsidR="00B30C47" w:rsidRPr="00156697">
          <w:rPr>
            <w:rStyle w:val="Hyperlink"/>
          </w:rPr>
          <w:t>Satellite planning</w:t>
        </w:r>
        <w:r w:rsidR="00B30C47">
          <w:rPr>
            <w:webHidden/>
          </w:rPr>
          <w:tab/>
        </w:r>
        <w:r w:rsidR="00B30C47">
          <w:rPr>
            <w:webHidden/>
          </w:rPr>
          <w:fldChar w:fldCharType="begin"/>
        </w:r>
        <w:r w:rsidR="00B30C47">
          <w:rPr>
            <w:webHidden/>
          </w:rPr>
          <w:instrText xml:space="preserve"> PAGEREF _Toc5025697 \h </w:instrText>
        </w:r>
        <w:r w:rsidR="00B30C47">
          <w:rPr>
            <w:webHidden/>
          </w:rPr>
        </w:r>
        <w:r w:rsidR="00B30C47">
          <w:rPr>
            <w:webHidden/>
          </w:rPr>
          <w:fldChar w:fldCharType="separate"/>
        </w:r>
        <w:r w:rsidR="00B30C47">
          <w:rPr>
            <w:webHidden/>
          </w:rPr>
          <w:t>45</w:t>
        </w:r>
        <w:r w:rsidR="00B30C47">
          <w:rPr>
            <w:webHidden/>
          </w:rPr>
          <w:fldChar w:fldCharType="end"/>
        </w:r>
      </w:hyperlink>
    </w:p>
    <w:p w14:paraId="2E917396" w14:textId="530D2C50" w:rsidR="00B30C47" w:rsidRDefault="005D06D9">
      <w:pPr>
        <w:pStyle w:val="TOC3"/>
        <w:rPr>
          <w:rFonts w:asciiTheme="minorHAnsi" w:eastAsiaTheme="minorEastAsia" w:hAnsiTheme="minorHAnsi" w:cstheme="minorBidi"/>
        </w:rPr>
      </w:pPr>
      <w:hyperlink w:anchor="_Toc5025698" w:history="1">
        <w:r w:rsidR="00B30C47" w:rsidRPr="00156697">
          <w:rPr>
            <w:rStyle w:val="Hyperlink"/>
          </w:rPr>
          <w:t>Low interference potential devices</w:t>
        </w:r>
        <w:r w:rsidR="00B30C47">
          <w:rPr>
            <w:webHidden/>
          </w:rPr>
          <w:tab/>
        </w:r>
        <w:r w:rsidR="00B30C47">
          <w:rPr>
            <w:webHidden/>
          </w:rPr>
          <w:fldChar w:fldCharType="begin"/>
        </w:r>
        <w:r w:rsidR="00B30C47">
          <w:rPr>
            <w:webHidden/>
          </w:rPr>
          <w:instrText xml:space="preserve"> PAGEREF _Toc5025698 \h </w:instrText>
        </w:r>
        <w:r w:rsidR="00B30C47">
          <w:rPr>
            <w:webHidden/>
          </w:rPr>
        </w:r>
        <w:r w:rsidR="00B30C47">
          <w:rPr>
            <w:webHidden/>
          </w:rPr>
          <w:fldChar w:fldCharType="separate"/>
        </w:r>
        <w:r w:rsidR="00B30C47">
          <w:rPr>
            <w:webHidden/>
          </w:rPr>
          <w:t>48</w:t>
        </w:r>
        <w:r w:rsidR="00B30C47">
          <w:rPr>
            <w:webHidden/>
          </w:rPr>
          <w:fldChar w:fldCharType="end"/>
        </w:r>
      </w:hyperlink>
    </w:p>
    <w:p w14:paraId="1D0BFC50" w14:textId="585E3F10" w:rsidR="00B30C47" w:rsidRDefault="005D06D9">
      <w:pPr>
        <w:pStyle w:val="TOC3"/>
        <w:rPr>
          <w:rFonts w:asciiTheme="minorHAnsi" w:eastAsiaTheme="minorEastAsia" w:hAnsiTheme="minorHAnsi" w:cstheme="minorBidi"/>
        </w:rPr>
      </w:pPr>
      <w:hyperlink w:anchor="_Toc5025699" w:history="1">
        <w:r w:rsidR="00B30C47" w:rsidRPr="00156697">
          <w:rPr>
            <w:rStyle w:val="Hyperlink"/>
          </w:rPr>
          <w:t>Amateur radio</w:t>
        </w:r>
        <w:r w:rsidR="00B30C47">
          <w:rPr>
            <w:webHidden/>
          </w:rPr>
          <w:tab/>
        </w:r>
        <w:r w:rsidR="00B30C47">
          <w:rPr>
            <w:webHidden/>
          </w:rPr>
          <w:fldChar w:fldCharType="begin"/>
        </w:r>
        <w:r w:rsidR="00B30C47">
          <w:rPr>
            <w:webHidden/>
          </w:rPr>
          <w:instrText xml:space="preserve"> PAGEREF _Toc5025699 \h </w:instrText>
        </w:r>
        <w:r w:rsidR="00B30C47">
          <w:rPr>
            <w:webHidden/>
          </w:rPr>
        </w:r>
        <w:r w:rsidR="00B30C47">
          <w:rPr>
            <w:webHidden/>
          </w:rPr>
          <w:fldChar w:fldCharType="separate"/>
        </w:r>
        <w:r w:rsidR="00B30C47">
          <w:rPr>
            <w:webHidden/>
          </w:rPr>
          <w:t>49</w:t>
        </w:r>
        <w:r w:rsidR="00B30C47">
          <w:rPr>
            <w:webHidden/>
          </w:rPr>
          <w:fldChar w:fldCharType="end"/>
        </w:r>
      </w:hyperlink>
    </w:p>
    <w:p w14:paraId="6FDB5317" w14:textId="58EDBD93" w:rsidR="00B30C47" w:rsidRDefault="005D06D9">
      <w:pPr>
        <w:pStyle w:val="TOC3"/>
        <w:rPr>
          <w:rFonts w:asciiTheme="minorHAnsi" w:eastAsiaTheme="minorEastAsia" w:hAnsiTheme="minorHAnsi" w:cstheme="minorBidi"/>
        </w:rPr>
      </w:pPr>
      <w:hyperlink w:anchor="_Toc5025700" w:history="1">
        <w:r w:rsidR="00B30C47" w:rsidRPr="00156697">
          <w:rPr>
            <w:rStyle w:val="Hyperlink"/>
          </w:rPr>
          <w:t>Ongoing review of spectrum planning, assignment and coordination requirements</w:t>
        </w:r>
        <w:r w:rsidR="00B30C47">
          <w:rPr>
            <w:webHidden/>
          </w:rPr>
          <w:tab/>
        </w:r>
        <w:r w:rsidR="00B30C47">
          <w:rPr>
            <w:webHidden/>
          </w:rPr>
          <w:fldChar w:fldCharType="begin"/>
        </w:r>
        <w:r w:rsidR="00B30C47">
          <w:rPr>
            <w:webHidden/>
          </w:rPr>
          <w:instrText xml:space="preserve"> PAGEREF _Toc5025700 \h </w:instrText>
        </w:r>
        <w:r w:rsidR="00B30C47">
          <w:rPr>
            <w:webHidden/>
          </w:rPr>
        </w:r>
        <w:r w:rsidR="00B30C47">
          <w:rPr>
            <w:webHidden/>
          </w:rPr>
          <w:fldChar w:fldCharType="separate"/>
        </w:r>
        <w:r w:rsidR="00B30C47">
          <w:rPr>
            <w:webHidden/>
          </w:rPr>
          <w:t>49</w:t>
        </w:r>
        <w:r w:rsidR="00B30C47">
          <w:rPr>
            <w:webHidden/>
          </w:rPr>
          <w:fldChar w:fldCharType="end"/>
        </w:r>
      </w:hyperlink>
    </w:p>
    <w:p w14:paraId="4C0F84E1" w14:textId="0CFF626C" w:rsidR="00B30C47" w:rsidRDefault="005D06D9">
      <w:pPr>
        <w:pStyle w:val="TOC3"/>
        <w:rPr>
          <w:rFonts w:asciiTheme="minorHAnsi" w:eastAsiaTheme="minorEastAsia" w:hAnsiTheme="minorHAnsi" w:cstheme="minorBidi"/>
        </w:rPr>
      </w:pPr>
      <w:hyperlink w:anchor="_Toc5025701" w:history="1">
        <w:r w:rsidR="00B30C47" w:rsidRPr="00156697">
          <w:rPr>
            <w:rStyle w:val="Hyperlink"/>
          </w:rPr>
          <w:t>Marine VHF channel arrangements</w:t>
        </w:r>
        <w:r w:rsidR="00B30C47">
          <w:rPr>
            <w:webHidden/>
          </w:rPr>
          <w:tab/>
        </w:r>
        <w:r w:rsidR="00B30C47">
          <w:rPr>
            <w:webHidden/>
          </w:rPr>
          <w:fldChar w:fldCharType="begin"/>
        </w:r>
        <w:r w:rsidR="00B30C47">
          <w:rPr>
            <w:webHidden/>
          </w:rPr>
          <w:instrText xml:space="preserve"> PAGEREF _Toc5025701 \h </w:instrText>
        </w:r>
        <w:r w:rsidR="00B30C47">
          <w:rPr>
            <w:webHidden/>
          </w:rPr>
        </w:r>
        <w:r w:rsidR="00B30C47">
          <w:rPr>
            <w:webHidden/>
          </w:rPr>
          <w:fldChar w:fldCharType="separate"/>
        </w:r>
        <w:r w:rsidR="00B30C47">
          <w:rPr>
            <w:webHidden/>
          </w:rPr>
          <w:t>50</w:t>
        </w:r>
        <w:r w:rsidR="00B30C47">
          <w:rPr>
            <w:webHidden/>
          </w:rPr>
          <w:fldChar w:fldCharType="end"/>
        </w:r>
      </w:hyperlink>
    </w:p>
    <w:p w14:paraId="0A697865" w14:textId="61F8D36C" w:rsidR="00B30C47" w:rsidRDefault="005D06D9">
      <w:pPr>
        <w:pStyle w:val="TOC3"/>
        <w:rPr>
          <w:rFonts w:asciiTheme="minorHAnsi" w:eastAsiaTheme="minorEastAsia" w:hAnsiTheme="minorHAnsi" w:cstheme="minorBidi"/>
        </w:rPr>
      </w:pPr>
      <w:hyperlink w:anchor="_Toc5025702" w:history="1">
        <w:r w:rsidR="00B30C47" w:rsidRPr="00156697">
          <w:rPr>
            <w:rStyle w:val="Hyperlink"/>
          </w:rPr>
          <w:t>Review of spectrum licence technical frameworks</w:t>
        </w:r>
        <w:r w:rsidR="00B30C47">
          <w:rPr>
            <w:webHidden/>
          </w:rPr>
          <w:tab/>
        </w:r>
        <w:r w:rsidR="00B30C47">
          <w:rPr>
            <w:webHidden/>
          </w:rPr>
          <w:fldChar w:fldCharType="begin"/>
        </w:r>
        <w:r w:rsidR="00B30C47">
          <w:rPr>
            <w:webHidden/>
          </w:rPr>
          <w:instrText xml:space="preserve"> PAGEREF _Toc5025702 \h </w:instrText>
        </w:r>
        <w:r w:rsidR="00B30C47">
          <w:rPr>
            <w:webHidden/>
          </w:rPr>
        </w:r>
        <w:r w:rsidR="00B30C47">
          <w:rPr>
            <w:webHidden/>
          </w:rPr>
          <w:fldChar w:fldCharType="separate"/>
        </w:r>
        <w:r w:rsidR="00B30C47">
          <w:rPr>
            <w:webHidden/>
          </w:rPr>
          <w:t>51</w:t>
        </w:r>
        <w:r w:rsidR="00B30C47">
          <w:rPr>
            <w:webHidden/>
          </w:rPr>
          <w:fldChar w:fldCharType="end"/>
        </w:r>
      </w:hyperlink>
    </w:p>
    <w:p w14:paraId="0B3C6734" w14:textId="34703612" w:rsidR="00B30C47" w:rsidRDefault="005D06D9">
      <w:pPr>
        <w:pStyle w:val="TOC1"/>
        <w:rPr>
          <w:rFonts w:asciiTheme="minorHAnsi" w:eastAsiaTheme="minorEastAsia" w:hAnsiTheme="minorHAnsi" w:cstheme="minorBidi"/>
          <w:b w:val="0"/>
          <w:spacing w:val="0"/>
          <w:sz w:val="22"/>
          <w:szCs w:val="22"/>
        </w:rPr>
      </w:pPr>
      <w:hyperlink w:anchor="_Toc5025703" w:history="1">
        <w:r w:rsidR="00B30C47" w:rsidRPr="00156697">
          <w:rPr>
            <w:rStyle w:val="Hyperlink"/>
          </w:rPr>
          <w:t>The forward allocation work plan</w:t>
        </w:r>
        <w:r w:rsidR="00B30C47">
          <w:rPr>
            <w:webHidden/>
          </w:rPr>
          <w:tab/>
        </w:r>
        <w:r w:rsidR="00B30C47">
          <w:rPr>
            <w:webHidden/>
          </w:rPr>
          <w:fldChar w:fldCharType="begin"/>
        </w:r>
        <w:r w:rsidR="00B30C47">
          <w:rPr>
            <w:webHidden/>
          </w:rPr>
          <w:instrText xml:space="preserve"> PAGEREF _Toc5025703 \h </w:instrText>
        </w:r>
        <w:r w:rsidR="00B30C47">
          <w:rPr>
            <w:webHidden/>
          </w:rPr>
        </w:r>
        <w:r w:rsidR="00B30C47">
          <w:rPr>
            <w:webHidden/>
          </w:rPr>
          <w:fldChar w:fldCharType="separate"/>
        </w:r>
        <w:r w:rsidR="00B30C47">
          <w:rPr>
            <w:webHidden/>
          </w:rPr>
          <w:t>52</w:t>
        </w:r>
        <w:r w:rsidR="00B30C47">
          <w:rPr>
            <w:webHidden/>
          </w:rPr>
          <w:fldChar w:fldCharType="end"/>
        </w:r>
      </w:hyperlink>
    </w:p>
    <w:p w14:paraId="274FE552" w14:textId="4B411E44" w:rsidR="00B30C47" w:rsidRDefault="005D06D9">
      <w:pPr>
        <w:pStyle w:val="TOC2"/>
        <w:rPr>
          <w:rFonts w:asciiTheme="minorHAnsi" w:eastAsiaTheme="minorEastAsia" w:hAnsiTheme="minorHAnsi" w:cstheme="minorBidi"/>
          <w:spacing w:val="0"/>
          <w:sz w:val="22"/>
          <w:szCs w:val="22"/>
        </w:rPr>
      </w:pPr>
      <w:hyperlink w:anchor="_Toc5025704" w:history="1">
        <w:r w:rsidR="00B30C47" w:rsidRPr="00156697">
          <w:rPr>
            <w:rStyle w:val="Hyperlink"/>
            <w:rFonts w:eastAsiaTheme="majorEastAsia"/>
          </w:rPr>
          <w:t>Purpose of the forward allocation work plan</w:t>
        </w:r>
        <w:r w:rsidR="00B30C47">
          <w:rPr>
            <w:webHidden/>
          </w:rPr>
          <w:tab/>
        </w:r>
        <w:r w:rsidR="00B30C47">
          <w:rPr>
            <w:webHidden/>
          </w:rPr>
          <w:fldChar w:fldCharType="begin"/>
        </w:r>
        <w:r w:rsidR="00B30C47">
          <w:rPr>
            <w:webHidden/>
          </w:rPr>
          <w:instrText xml:space="preserve"> PAGEREF _Toc5025704 \h </w:instrText>
        </w:r>
        <w:r w:rsidR="00B30C47">
          <w:rPr>
            <w:webHidden/>
          </w:rPr>
        </w:r>
        <w:r w:rsidR="00B30C47">
          <w:rPr>
            <w:webHidden/>
          </w:rPr>
          <w:fldChar w:fldCharType="separate"/>
        </w:r>
        <w:r w:rsidR="00B30C47">
          <w:rPr>
            <w:webHidden/>
          </w:rPr>
          <w:t>52</w:t>
        </w:r>
        <w:r w:rsidR="00B30C47">
          <w:rPr>
            <w:webHidden/>
          </w:rPr>
          <w:fldChar w:fldCharType="end"/>
        </w:r>
      </w:hyperlink>
    </w:p>
    <w:p w14:paraId="3F1D53CE" w14:textId="0951DDBF" w:rsidR="00B30C47" w:rsidRDefault="005D06D9">
      <w:pPr>
        <w:pStyle w:val="TOC2"/>
        <w:rPr>
          <w:rFonts w:asciiTheme="minorHAnsi" w:eastAsiaTheme="minorEastAsia" w:hAnsiTheme="minorHAnsi" w:cstheme="minorBidi"/>
          <w:spacing w:val="0"/>
          <w:sz w:val="22"/>
          <w:szCs w:val="22"/>
        </w:rPr>
      </w:pPr>
      <w:hyperlink w:anchor="_Toc5025705" w:history="1">
        <w:r w:rsidR="00B30C47" w:rsidRPr="00156697">
          <w:rPr>
            <w:rStyle w:val="Hyperlink"/>
          </w:rPr>
          <w:t>What we’re proposing</w:t>
        </w:r>
        <w:r w:rsidR="00B30C47">
          <w:rPr>
            <w:webHidden/>
          </w:rPr>
          <w:tab/>
        </w:r>
        <w:r w:rsidR="00B30C47">
          <w:rPr>
            <w:webHidden/>
          </w:rPr>
          <w:fldChar w:fldCharType="begin"/>
        </w:r>
        <w:r w:rsidR="00B30C47">
          <w:rPr>
            <w:webHidden/>
          </w:rPr>
          <w:instrText xml:space="preserve"> PAGEREF _Toc5025705 \h </w:instrText>
        </w:r>
        <w:r w:rsidR="00B30C47">
          <w:rPr>
            <w:webHidden/>
          </w:rPr>
        </w:r>
        <w:r w:rsidR="00B30C47">
          <w:rPr>
            <w:webHidden/>
          </w:rPr>
          <w:fldChar w:fldCharType="separate"/>
        </w:r>
        <w:r w:rsidR="00B30C47">
          <w:rPr>
            <w:webHidden/>
          </w:rPr>
          <w:t>53</w:t>
        </w:r>
        <w:r w:rsidR="00B30C47">
          <w:rPr>
            <w:webHidden/>
          </w:rPr>
          <w:fldChar w:fldCharType="end"/>
        </w:r>
      </w:hyperlink>
    </w:p>
    <w:p w14:paraId="6324D795" w14:textId="474C75E0" w:rsidR="00B30C47" w:rsidRDefault="005D06D9">
      <w:pPr>
        <w:pStyle w:val="TOC3"/>
        <w:rPr>
          <w:rFonts w:asciiTheme="minorHAnsi" w:eastAsiaTheme="minorEastAsia" w:hAnsiTheme="minorHAnsi" w:cstheme="minorBidi"/>
        </w:rPr>
      </w:pPr>
      <w:hyperlink w:anchor="_Toc5025706" w:history="1">
        <w:r w:rsidR="00B30C47" w:rsidRPr="00156697">
          <w:rPr>
            <w:rStyle w:val="Hyperlink"/>
          </w:rPr>
          <w:t>850 MHz expansion band</w:t>
        </w:r>
        <w:r w:rsidR="00B30C47">
          <w:rPr>
            <w:webHidden/>
          </w:rPr>
          <w:tab/>
        </w:r>
        <w:r w:rsidR="00B30C47">
          <w:rPr>
            <w:webHidden/>
          </w:rPr>
          <w:fldChar w:fldCharType="begin"/>
        </w:r>
        <w:r w:rsidR="00B30C47">
          <w:rPr>
            <w:webHidden/>
          </w:rPr>
          <w:instrText xml:space="preserve"> PAGEREF _Toc5025706 \h </w:instrText>
        </w:r>
        <w:r w:rsidR="00B30C47">
          <w:rPr>
            <w:webHidden/>
          </w:rPr>
        </w:r>
        <w:r w:rsidR="00B30C47">
          <w:rPr>
            <w:webHidden/>
          </w:rPr>
          <w:fldChar w:fldCharType="separate"/>
        </w:r>
        <w:r w:rsidR="00B30C47">
          <w:rPr>
            <w:webHidden/>
          </w:rPr>
          <w:t>54</w:t>
        </w:r>
        <w:r w:rsidR="00B30C47">
          <w:rPr>
            <w:webHidden/>
          </w:rPr>
          <w:fldChar w:fldCharType="end"/>
        </w:r>
      </w:hyperlink>
    </w:p>
    <w:p w14:paraId="176F4F7D" w14:textId="46AECA79" w:rsidR="00B30C47" w:rsidRDefault="005D06D9">
      <w:pPr>
        <w:pStyle w:val="TOC3"/>
        <w:rPr>
          <w:rFonts w:asciiTheme="minorHAnsi" w:eastAsiaTheme="minorEastAsia" w:hAnsiTheme="minorHAnsi" w:cstheme="minorBidi"/>
        </w:rPr>
      </w:pPr>
      <w:hyperlink w:anchor="_Toc5025707" w:history="1">
        <w:r w:rsidR="00B30C47" w:rsidRPr="00156697">
          <w:rPr>
            <w:rStyle w:val="Hyperlink"/>
          </w:rPr>
          <w:t>900 MHz</w:t>
        </w:r>
        <w:r w:rsidR="00B30C47">
          <w:rPr>
            <w:webHidden/>
          </w:rPr>
          <w:tab/>
        </w:r>
        <w:r w:rsidR="00B30C47">
          <w:rPr>
            <w:webHidden/>
          </w:rPr>
          <w:fldChar w:fldCharType="begin"/>
        </w:r>
        <w:r w:rsidR="00B30C47">
          <w:rPr>
            <w:webHidden/>
          </w:rPr>
          <w:instrText xml:space="preserve"> PAGEREF _Toc5025707 \h </w:instrText>
        </w:r>
        <w:r w:rsidR="00B30C47">
          <w:rPr>
            <w:webHidden/>
          </w:rPr>
        </w:r>
        <w:r w:rsidR="00B30C47">
          <w:rPr>
            <w:webHidden/>
          </w:rPr>
          <w:fldChar w:fldCharType="separate"/>
        </w:r>
        <w:r w:rsidR="00B30C47">
          <w:rPr>
            <w:webHidden/>
          </w:rPr>
          <w:t>54</w:t>
        </w:r>
        <w:r w:rsidR="00B30C47">
          <w:rPr>
            <w:webHidden/>
          </w:rPr>
          <w:fldChar w:fldCharType="end"/>
        </w:r>
      </w:hyperlink>
    </w:p>
    <w:p w14:paraId="24493884" w14:textId="5245940A" w:rsidR="00B30C47" w:rsidRDefault="005D06D9">
      <w:pPr>
        <w:pStyle w:val="TOC3"/>
        <w:rPr>
          <w:rFonts w:asciiTheme="minorHAnsi" w:eastAsiaTheme="minorEastAsia" w:hAnsiTheme="minorHAnsi" w:cstheme="minorBidi"/>
        </w:rPr>
      </w:pPr>
      <w:hyperlink w:anchor="_Toc5025708" w:history="1">
        <w:r w:rsidR="00B30C47" w:rsidRPr="00156697">
          <w:rPr>
            <w:rStyle w:val="Hyperlink"/>
          </w:rPr>
          <w:t>1.5 GHz</w:t>
        </w:r>
        <w:r w:rsidR="00B30C47">
          <w:rPr>
            <w:webHidden/>
          </w:rPr>
          <w:tab/>
        </w:r>
        <w:r w:rsidR="00B30C47">
          <w:rPr>
            <w:webHidden/>
          </w:rPr>
          <w:fldChar w:fldCharType="begin"/>
        </w:r>
        <w:r w:rsidR="00B30C47">
          <w:rPr>
            <w:webHidden/>
          </w:rPr>
          <w:instrText xml:space="preserve"> PAGEREF _Toc5025708 \h </w:instrText>
        </w:r>
        <w:r w:rsidR="00B30C47">
          <w:rPr>
            <w:webHidden/>
          </w:rPr>
        </w:r>
        <w:r w:rsidR="00B30C47">
          <w:rPr>
            <w:webHidden/>
          </w:rPr>
          <w:fldChar w:fldCharType="separate"/>
        </w:r>
        <w:r w:rsidR="00B30C47">
          <w:rPr>
            <w:webHidden/>
          </w:rPr>
          <w:t>55</w:t>
        </w:r>
        <w:r w:rsidR="00B30C47">
          <w:rPr>
            <w:webHidden/>
          </w:rPr>
          <w:fldChar w:fldCharType="end"/>
        </w:r>
      </w:hyperlink>
    </w:p>
    <w:p w14:paraId="2809EC15" w14:textId="6094064E" w:rsidR="00B30C47" w:rsidRDefault="005D06D9">
      <w:pPr>
        <w:pStyle w:val="TOC3"/>
        <w:rPr>
          <w:rFonts w:asciiTheme="minorHAnsi" w:eastAsiaTheme="minorEastAsia" w:hAnsiTheme="minorHAnsi" w:cstheme="minorBidi"/>
        </w:rPr>
      </w:pPr>
      <w:hyperlink w:anchor="_Toc5025709" w:history="1">
        <w:r w:rsidR="00B30C47" w:rsidRPr="00156697">
          <w:rPr>
            <w:rStyle w:val="Hyperlink"/>
          </w:rPr>
          <w:t xml:space="preserve">3.4–3.575 </w:t>
        </w:r>
        <w:r w:rsidR="00B30C47" w:rsidRPr="00156697">
          <w:rPr>
            <w:rStyle w:val="Hyperlink"/>
            <w:rFonts w:eastAsiaTheme="majorEastAsia"/>
          </w:rPr>
          <w:t>GHz</w:t>
        </w:r>
        <w:r w:rsidR="00B30C47">
          <w:rPr>
            <w:webHidden/>
          </w:rPr>
          <w:tab/>
        </w:r>
        <w:r w:rsidR="00B30C47">
          <w:rPr>
            <w:webHidden/>
          </w:rPr>
          <w:fldChar w:fldCharType="begin"/>
        </w:r>
        <w:r w:rsidR="00B30C47">
          <w:rPr>
            <w:webHidden/>
          </w:rPr>
          <w:instrText xml:space="preserve"> PAGEREF _Toc5025709 \h </w:instrText>
        </w:r>
        <w:r w:rsidR="00B30C47">
          <w:rPr>
            <w:webHidden/>
          </w:rPr>
        </w:r>
        <w:r w:rsidR="00B30C47">
          <w:rPr>
            <w:webHidden/>
          </w:rPr>
          <w:fldChar w:fldCharType="separate"/>
        </w:r>
        <w:r w:rsidR="00B30C47">
          <w:rPr>
            <w:webHidden/>
          </w:rPr>
          <w:t>55</w:t>
        </w:r>
        <w:r w:rsidR="00B30C47">
          <w:rPr>
            <w:webHidden/>
          </w:rPr>
          <w:fldChar w:fldCharType="end"/>
        </w:r>
      </w:hyperlink>
    </w:p>
    <w:p w14:paraId="1FB2AA16" w14:textId="4A743483" w:rsidR="00B30C47" w:rsidRDefault="005D06D9">
      <w:pPr>
        <w:pStyle w:val="TOC3"/>
        <w:rPr>
          <w:rFonts w:asciiTheme="minorHAnsi" w:eastAsiaTheme="minorEastAsia" w:hAnsiTheme="minorHAnsi" w:cstheme="minorBidi"/>
        </w:rPr>
      </w:pPr>
      <w:hyperlink w:anchor="_Toc5025710" w:history="1">
        <w:r w:rsidR="00B30C47" w:rsidRPr="00156697">
          <w:rPr>
            <w:rStyle w:val="Hyperlink"/>
          </w:rPr>
          <w:t>26 GHz</w:t>
        </w:r>
        <w:r w:rsidR="00B30C47">
          <w:rPr>
            <w:webHidden/>
          </w:rPr>
          <w:tab/>
        </w:r>
        <w:r w:rsidR="00B30C47">
          <w:rPr>
            <w:webHidden/>
          </w:rPr>
          <w:fldChar w:fldCharType="begin"/>
        </w:r>
        <w:r w:rsidR="00B30C47">
          <w:rPr>
            <w:webHidden/>
          </w:rPr>
          <w:instrText xml:space="preserve"> PAGEREF _Toc5025710 \h </w:instrText>
        </w:r>
        <w:r w:rsidR="00B30C47">
          <w:rPr>
            <w:webHidden/>
          </w:rPr>
        </w:r>
        <w:r w:rsidR="00B30C47">
          <w:rPr>
            <w:webHidden/>
          </w:rPr>
          <w:fldChar w:fldCharType="separate"/>
        </w:r>
        <w:r w:rsidR="00B30C47">
          <w:rPr>
            <w:webHidden/>
          </w:rPr>
          <w:t>55</w:t>
        </w:r>
        <w:r w:rsidR="00B30C47">
          <w:rPr>
            <w:webHidden/>
          </w:rPr>
          <w:fldChar w:fldCharType="end"/>
        </w:r>
      </w:hyperlink>
    </w:p>
    <w:p w14:paraId="2433DA45" w14:textId="6165A222" w:rsidR="00B30C47" w:rsidRDefault="005D06D9">
      <w:pPr>
        <w:pStyle w:val="TOC3"/>
        <w:rPr>
          <w:rFonts w:asciiTheme="minorHAnsi" w:eastAsiaTheme="minorEastAsia" w:hAnsiTheme="minorHAnsi" w:cstheme="minorBidi"/>
        </w:rPr>
      </w:pPr>
      <w:hyperlink w:anchor="_Toc5025711" w:history="1">
        <w:r w:rsidR="00B30C47" w:rsidRPr="00156697">
          <w:rPr>
            <w:rStyle w:val="Hyperlink"/>
          </w:rPr>
          <w:t xml:space="preserve">28 </w:t>
        </w:r>
        <w:r w:rsidR="00B30C47" w:rsidRPr="00156697">
          <w:rPr>
            <w:rStyle w:val="Hyperlink"/>
            <w:rFonts w:eastAsiaTheme="majorEastAsia"/>
          </w:rPr>
          <w:t>GHz</w:t>
        </w:r>
        <w:r w:rsidR="00B30C47">
          <w:rPr>
            <w:webHidden/>
          </w:rPr>
          <w:tab/>
        </w:r>
        <w:r w:rsidR="00B30C47">
          <w:rPr>
            <w:webHidden/>
          </w:rPr>
          <w:fldChar w:fldCharType="begin"/>
        </w:r>
        <w:r w:rsidR="00B30C47">
          <w:rPr>
            <w:webHidden/>
          </w:rPr>
          <w:instrText xml:space="preserve"> PAGEREF _Toc5025711 \h </w:instrText>
        </w:r>
        <w:r w:rsidR="00B30C47">
          <w:rPr>
            <w:webHidden/>
          </w:rPr>
        </w:r>
        <w:r w:rsidR="00B30C47">
          <w:rPr>
            <w:webHidden/>
          </w:rPr>
          <w:fldChar w:fldCharType="separate"/>
        </w:r>
        <w:r w:rsidR="00B30C47">
          <w:rPr>
            <w:webHidden/>
          </w:rPr>
          <w:t>56</w:t>
        </w:r>
        <w:r w:rsidR="00B30C47">
          <w:rPr>
            <w:webHidden/>
          </w:rPr>
          <w:fldChar w:fldCharType="end"/>
        </w:r>
      </w:hyperlink>
    </w:p>
    <w:p w14:paraId="74495F75" w14:textId="27AA50C9" w:rsidR="00B30C47" w:rsidRDefault="005D06D9">
      <w:pPr>
        <w:pStyle w:val="TOC2"/>
        <w:rPr>
          <w:rFonts w:asciiTheme="minorHAnsi" w:eastAsiaTheme="minorEastAsia" w:hAnsiTheme="minorHAnsi" w:cstheme="minorBidi"/>
          <w:spacing w:val="0"/>
          <w:sz w:val="22"/>
          <w:szCs w:val="22"/>
        </w:rPr>
      </w:pPr>
      <w:hyperlink w:anchor="_Toc5025712" w:history="1">
        <w:r w:rsidR="00B30C47" w:rsidRPr="00156697">
          <w:rPr>
            <w:rStyle w:val="Hyperlink"/>
            <w:rFonts w:eastAsiaTheme="majorEastAsia"/>
          </w:rPr>
          <w:t>Allocation priorities and sequencing</w:t>
        </w:r>
        <w:r w:rsidR="00B30C47">
          <w:rPr>
            <w:webHidden/>
          </w:rPr>
          <w:tab/>
        </w:r>
        <w:r w:rsidR="00B30C47">
          <w:rPr>
            <w:webHidden/>
          </w:rPr>
          <w:fldChar w:fldCharType="begin"/>
        </w:r>
        <w:r w:rsidR="00B30C47">
          <w:rPr>
            <w:webHidden/>
          </w:rPr>
          <w:instrText xml:space="preserve"> PAGEREF _Toc5025712 \h </w:instrText>
        </w:r>
        <w:r w:rsidR="00B30C47">
          <w:rPr>
            <w:webHidden/>
          </w:rPr>
        </w:r>
        <w:r w:rsidR="00B30C47">
          <w:rPr>
            <w:webHidden/>
          </w:rPr>
          <w:fldChar w:fldCharType="separate"/>
        </w:r>
        <w:r w:rsidR="00B30C47">
          <w:rPr>
            <w:webHidden/>
          </w:rPr>
          <w:t>56</w:t>
        </w:r>
        <w:r w:rsidR="00B30C47">
          <w:rPr>
            <w:webHidden/>
          </w:rPr>
          <w:fldChar w:fldCharType="end"/>
        </w:r>
      </w:hyperlink>
    </w:p>
    <w:p w14:paraId="3DDFF5E7" w14:textId="3559C38B" w:rsidR="00B30C47" w:rsidRDefault="005D06D9">
      <w:pPr>
        <w:pStyle w:val="TOC3"/>
        <w:rPr>
          <w:rFonts w:asciiTheme="minorHAnsi" w:eastAsiaTheme="minorEastAsia" w:hAnsiTheme="minorHAnsi" w:cstheme="minorBidi"/>
        </w:rPr>
      </w:pPr>
      <w:hyperlink w:anchor="_Toc5025713" w:history="1">
        <w:r w:rsidR="00B30C47" w:rsidRPr="00156697">
          <w:rPr>
            <w:rStyle w:val="Hyperlink"/>
          </w:rPr>
          <w:t>Timing considerations</w:t>
        </w:r>
        <w:r w:rsidR="00B30C47">
          <w:rPr>
            <w:webHidden/>
          </w:rPr>
          <w:tab/>
        </w:r>
        <w:r w:rsidR="00B30C47">
          <w:rPr>
            <w:webHidden/>
          </w:rPr>
          <w:fldChar w:fldCharType="begin"/>
        </w:r>
        <w:r w:rsidR="00B30C47">
          <w:rPr>
            <w:webHidden/>
          </w:rPr>
          <w:instrText xml:space="preserve"> PAGEREF _Toc5025713 \h </w:instrText>
        </w:r>
        <w:r w:rsidR="00B30C47">
          <w:rPr>
            <w:webHidden/>
          </w:rPr>
        </w:r>
        <w:r w:rsidR="00B30C47">
          <w:rPr>
            <w:webHidden/>
          </w:rPr>
          <w:fldChar w:fldCharType="separate"/>
        </w:r>
        <w:r w:rsidR="00B30C47">
          <w:rPr>
            <w:webHidden/>
          </w:rPr>
          <w:t>57</w:t>
        </w:r>
        <w:r w:rsidR="00B30C47">
          <w:rPr>
            <w:webHidden/>
          </w:rPr>
          <w:fldChar w:fldCharType="end"/>
        </w:r>
      </w:hyperlink>
    </w:p>
    <w:p w14:paraId="53E9760F" w14:textId="404772A6" w:rsidR="00B30C47" w:rsidRDefault="005D06D9">
      <w:pPr>
        <w:pStyle w:val="TOC1"/>
        <w:rPr>
          <w:rFonts w:asciiTheme="minorHAnsi" w:eastAsiaTheme="minorEastAsia" w:hAnsiTheme="minorHAnsi" w:cstheme="minorBidi"/>
          <w:b w:val="0"/>
          <w:spacing w:val="0"/>
          <w:sz w:val="22"/>
          <w:szCs w:val="22"/>
        </w:rPr>
      </w:pPr>
      <w:hyperlink w:anchor="_Toc5025714" w:history="1">
        <w:r w:rsidR="00B30C47" w:rsidRPr="00156697">
          <w:rPr>
            <w:rStyle w:val="Hyperlink"/>
          </w:rPr>
          <w:t>Spectrum management practice improvements</w:t>
        </w:r>
        <w:r w:rsidR="00B30C47">
          <w:rPr>
            <w:webHidden/>
          </w:rPr>
          <w:tab/>
        </w:r>
        <w:r w:rsidR="00B30C47">
          <w:rPr>
            <w:webHidden/>
          </w:rPr>
          <w:fldChar w:fldCharType="begin"/>
        </w:r>
        <w:r w:rsidR="00B30C47">
          <w:rPr>
            <w:webHidden/>
          </w:rPr>
          <w:instrText xml:space="preserve"> PAGEREF _Toc5025714 \h </w:instrText>
        </w:r>
        <w:r w:rsidR="00B30C47">
          <w:rPr>
            <w:webHidden/>
          </w:rPr>
        </w:r>
        <w:r w:rsidR="00B30C47">
          <w:rPr>
            <w:webHidden/>
          </w:rPr>
          <w:fldChar w:fldCharType="separate"/>
        </w:r>
        <w:r w:rsidR="00B30C47">
          <w:rPr>
            <w:webHidden/>
          </w:rPr>
          <w:t>59</w:t>
        </w:r>
        <w:r w:rsidR="00B30C47">
          <w:rPr>
            <w:webHidden/>
          </w:rPr>
          <w:fldChar w:fldCharType="end"/>
        </w:r>
      </w:hyperlink>
    </w:p>
    <w:p w14:paraId="3E6300CE" w14:textId="69C95EE6" w:rsidR="00B30C47" w:rsidRDefault="005D06D9">
      <w:pPr>
        <w:pStyle w:val="TOC2"/>
        <w:rPr>
          <w:rFonts w:asciiTheme="minorHAnsi" w:eastAsiaTheme="minorEastAsia" w:hAnsiTheme="minorHAnsi" w:cstheme="minorBidi"/>
          <w:spacing w:val="0"/>
          <w:sz w:val="22"/>
          <w:szCs w:val="22"/>
        </w:rPr>
      </w:pPr>
      <w:hyperlink w:anchor="_Toc5025715" w:history="1">
        <w:r w:rsidR="00B30C47" w:rsidRPr="00156697">
          <w:rPr>
            <w:rStyle w:val="Hyperlink"/>
          </w:rPr>
          <w:t>Spectrum Review and Spectrum Pricing Review</w:t>
        </w:r>
        <w:r w:rsidR="00B30C47">
          <w:rPr>
            <w:webHidden/>
          </w:rPr>
          <w:tab/>
        </w:r>
        <w:r w:rsidR="00B30C47">
          <w:rPr>
            <w:webHidden/>
          </w:rPr>
          <w:fldChar w:fldCharType="begin"/>
        </w:r>
        <w:r w:rsidR="00B30C47">
          <w:rPr>
            <w:webHidden/>
          </w:rPr>
          <w:instrText xml:space="preserve"> PAGEREF _Toc5025715 \h </w:instrText>
        </w:r>
        <w:r w:rsidR="00B30C47">
          <w:rPr>
            <w:webHidden/>
          </w:rPr>
        </w:r>
        <w:r w:rsidR="00B30C47">
          <w:rPr>
            <w:webHidden/>
          </w:rPr>
          <w:fldChar w:fldCharType="separate"/>
        </w:r>
        <w:r w:rsidR="00B30C47">
          <w:rPr>
            <w:webHidden/>
          </w:rPr>
          <w:t>59</w:t>
        </w:r>
        <w:r w:rsidR="00B30C47">
          <w:rPr>
            <w:webHidden/>
          </w:rPr>
          <w:fldChar w:fldCharType="end"/>
        </w:r>
      </w:hyperlink>
    </w:p>
    <w:p w14:paraId="7722B321" w14:textId="3F507491" w:rsidR="00B30C47" w:rsidRDefault="005D06D9">
      <w:pPr>
        <w:pStyle w:val="TOC2"/>
        <w:rPr>
          <w:rFonts w:asciiTheme="minorHAnsi" w:eastAsiaTheme="minorEastAsia" w:hAnsiTheme="minorHAnsi" w:cstheme="minorBidi"/>
          <w:spacing w:val="0"/>
          <w:sz w:val="22"/>
          <w:szCs w:val="22"/>
        </w:rPr>
      </w:pPr>
      <w:hyperlink w:anchor="_Toc5025716" w:history="1">
        <w:r w:rsidR="00B30C47" w:rsidRPr="00156697">
          <w:rPr>
            <w:rStyle w:val="Hyperlink"/>
          </w:rPr>
          <w:t>New/ongoing activities planned for 2019–20</w:t>
        </w:r>
        <w:r w:rsidR="00B30C47">
          <w:rPr>
            <w:webHidden/>
          </w:rPr>
          <w:tab/>
        </w:r>
        <w:r w:rsidR="00B30C47">
          <w:rPr>
            <w:webHidden/>
          </w:rPr>
          <w:fldChar w:fldCharType="begin"/>
        </w:r>
        <w:r w:rsidR="00B30C47">
          <w:rPr>
            <w:webHidden/>
          </w:rPr>
          <w:instrText xml:space="preserve"> PAGEREF _Toc5025716 \h </w:instrText>
        </w:r>
        <w:r w:rsidR="00B30C47">
          <w:rPr>
            <w:webHidden/>
          </w:rPr>
        </w:r>
        <w:r w:rsidR="00B30C47">
          <w:rPr>
            <w:webHidden/>
          </w:rPr>
          <w:fldChar w:fldCharType="separate"/>
        </w:r>
        <w:r w:rsidR="00B30C47">
          <w:rPr>
            <w:webHidden/>
          </w:rPr>
          <w:t>59</w:t>
        </w:r>
        <w:r w:rsidR="00B30C47">
          <w:rPr>
            <w:webHidden/>
          </w:rPr>
          <w:fldChar w:fldCharType="end"/>
        </w:r>
      </w:hyperlink>
    </w:p>
    <w:p w14:paraId="093EE018" w14:textId="1DC388DA" w:rsidR="00B30C47" w:rsidRDefault="005D06D9">
      <w:pPr>
        <w:pStyle w:val="TOC1"/>
        <w:rPr>
          <w:rFonts w:asciiTheme="minorHAnsi" w:eastAsiaTheme="minorEastAsia" w:hAnsiTheme="minorHAnsi" w:cstheme="minorBidi"/>
          <w:b w:val="0"/>
          <w:spacing w:val="0"/>
          <w:sz w:val="22"/>
          <w:szCs w:val="22"/>
        </w:rPr>
      </w:pPr>
      <w:hyperlink w:anchor="_Toc5025717" w:history="1">
        <w:r w:rsidR="00B30C47" w:rsidRPr="00156697">
          <w:rPr>
            <w:rStyle w:val="Hyperlink"/>
          </w:rPr>
          <w:t>Licensing and licensing systems</w:t>
        </w:r>
        <w:r w:rsidR="00B30C47">
          <w:rPr>
            <w:webHidden/>
          </w:rPr>
          <w:tab/>
        </w:r>
        <w:r w:rsidR="00B30C47">
          <w:rPr>
            <w:webHidden/>
          </w:rPr>
          <w:fldChar w:fldCharType="begin"/>
        </w:r>
        <w:r w:rsidR="00B30C47">
          <w:rPr>
            <w:webHidden/>
          </w:rPr>
          <w:instrText xml:space="preserve"> PAGEREF _Toc5025717 \h </w:instrText>
        </w:r>
        <w:r w:rsidR="00B30C47">
          <w:rPr>
            <w:webHidden/>
          </w:rPr>
        </w:r>
        <w:r w:rsidR="00B30C47">
          <w:rPr>
            <w:webHidden/>
          </w:rPr>
          <w:fldChar w:fldCharType="separate"/>
        </w:r>
        <w:r w:rsidR="00B30C47">
          <w:rPr>
            <w:webHidden/>
          </w:rPr>
          <w:t>62</w:t>
        </w:r>
        <w:r w:rsidR="00B30C47">
          <w:rPr>
            <w:webHidden/>
          </w:rPr>
          <w:fldChar w:fldCharType="end"/>
        </w:r>
      </w:hyperlink>
    </w:p>
    <w:p w14:paraId="4C27A9CC" w14:textId="0F94EB7A" w:rsidR="00B30C47" w:rsidRDefault="005D06D9">
      <w:pPr>
        <w:pStyle w:val="TOC2"/>
        <w:rPr>
          <w:rFonts w:asciiTheme="minorHAnsi" w:eastAsiaTheme="minorEastAsia" w:hAnsiTheme="minorHAnsi" w:cstheme="minorBidi"/>
          <w:spacing w:val="0"/>
          <w:sz w:val="22"/>
          <w:szCs w:val="22"/>
        </w:rPr>
      </w:pPr>
      <w:hyperlink w:anchor="_Toc5025718" w:history="1">
        <w:r w:rsidR="00B30C47" w:rsidRPr="00156697">
          <w:rPr>
            <w:rStyle w:val="Hyperlink"/>
          </w:rPr>
          <w:t>Progress achieved</w:t>
        </w:r>
        <w:r w:rsidR="00B30C47">
          <w:rPr>
            <w:webHidden/>
          </w:rPr>
          <w:tab/>
        </w:r>
        <w:r w:rsidR="00B30C47">
          <w:rPr>
            <w:webHidden/>
          </w:rPr>
          <w:fldChar w:fldCharType="begin"/>
        </w:r>
        <w:r w:rsidR="00B30C47">
          <w:rPr>
            <w:webHidden/>
          </w:rPr>
          <w:instrText xml:space="preserve"> PAGEREF _Toc5025718 \h </w:instrText>
        </w:r>
        <w:r w:rsidR="00B30C47">
          <w:rPr>
            <w:webHidden/>
          </w:rPr>
        </w:r>
        <w:r w:rsidR="00B30C47">
          <w:rPr>
            <w:webHidden/>
          </w:rPr>
          <w:fldChar w:fldCharType="separate"/>
        </w:r>
        <w:r w:rsidR="00B30C47">
          <w:rPr>
            <w:webHidden/>
          </w:rPr>
          <w:t>62</w:t>
        </w:r>
        <w:r w:rsidR="00B30C47">
          <w:rPr>
            <w:webHidden/>
          </w:rPr>
          <w:fldChar w:fldCharType="end"/>
        </w:r>
      </w:hyperlink>
    </w:p>
    <w:p w14:paraId="28A9CFFA" w14:textId="7AAC0A95" w:rsidR="00B30C47" w:rsidRDefault="005D06D9">
      <w:pPr>
        <w:pStyle w:val="TOC3"/>
        <w:rPr>
          <w:rFonts w:asciiTheme="minorHAnsi" w:eastAsiaTheme="minorEastAsia" w:hAnsiTheme="minorHAnsi" w:cstheme="minorBidi"/>
        </w:rPr>
      </w:pPr>
      <w:hyperlink w:anchor="_Toc5025719" w:history="1">
        <w:r w:rsidR="00B30C47" w:rsidRPr="00156697">
          <w:rPr>
            <w:rStyle w:val="Hyperlink"/>
          </w:rPr>
          <w:t>Body scanners in airports</w:t>
        </w:r>
        <w:r w:rsidR="00B30C47">
          <w:rPr>
            <w:webHidden/>
          </w:rPr>
          <w:tab/>
        </w:r>
        <w:r w:rsidR="00B30C47">
          <w:rPr>
            <w:webHidden/>
          </w:rPr>
          <w:fldChar w:fldCharType="begin"/>
        </w:r>
        <w:r w:rsidR="00B30C47">
          <w:rPr>
            <w:webHidden/>
          </w:rPr>
          <w:instrText xml:space="preserve"> PAGEREF _Toc5025719 \h </w:instrText>
        </w:r>
        <w:r w:rsidR="00B30C47">
          <w:rPr>
            <w:webHidden/>
          </w:rPr>
        </w:r>
        <w:r w:rsidR="00B30C47">
          <w:rPr>
            <w:webHidden/>
          </w:rPr>
          <w:fldChar w:fldCharType="separate"/>
        </w:r>
        <w:r w:rsidR="00B30C47">
          <w:rPr>
            <w:webHidden/>
          </w:rPr>
          <w:t>62</w:t>
        </w:r>
        <w:r w:rsidR="00B30C47">
          <w:rPr>
            <w:webHidden/>
          </w:rPr>
          <w:fldChar w:fldCharType="end"/>
        </w:r>
      </w:hyperlink>
    </w:p>
    <w:p w14:paraId="159C6DA2" w14:textId="3AB78935" w:rsidR="00B30C47" w:rsidRDefault="005D06D9">
      <w:pPr>
        <w:pStyle w:val="TOC3"/>
        <w:rPr>
          <w:rFonts w:asciiTheme="minorHAnsi" w:eastAsiaTheme="minorEastAsia" w:hAnsiTheme="minorHAnsi" w:cstheme="minorBidi"/>
        </w:rPr>
      </w:pPr>
      <w:hyperlink w:anchor="_Toc5025720" w:history="1">
        <w:r w:rsidR="00B30C47" w:rsidRPr="00156697">
          <w:rPr>
            <w:rStyle w:val="Hyperlink"/>
          </w:rPr>
          <w:t>VHF marine radio channels and their use</w:t>
        </w:r>
        <w:r w:rsidR="00B30C47">
          <w:rPr>
            <w:webHidden/>
          </w:rPr>
          <w:tab/>
        </w:r>
        <w:r w:rsidR="00B30C47">
          <w:rPr>
            <w:webHidden/>
          </w:rPr>
          <w:fldChar w:fldCharType="begin"/>
        </w:r>
        <w:r w:rsidR="00B30C47">
          <w:rPr>
            <w:webHidden/>
          </w:rPr>
          <w:instrText xml:space="preserve"> PAGEREF _Toc5025720 \h </w:instrText>
        </w:r>
        <w:r w:rsidR="00B30C47">
          <w:rPr>
            <w:webHidden/>
          </w:rPr>
        </w:r>
        <w:r w:rsidR="00B30C47">
          <w:rPr>
            <w:webHidden/>
          </w:rPr>
          <w:fldChar w:fldCharType="separate"/>
        </w:r>
        <w:r w:rsidR="00B30C47">
          <w:rPr>
            <w:webHidden/>
          </w:rPr>
          <w:t>62</w:t>
        </w:r>
        <w:r w:rsidR="00B30C47">
          <w:rPr>
            <w:webHidden/>
          </w:rPr>
          <w:fldChar w:fldCharType="end"/>
        </w:r>
      </w:hyperlink>
    </w:p>
    <w:p w14:paraId="2D26A217" w14:textId="0D507748" w:rsidR="00B30C47" w:rsidRDefault="005D06D9">
      <w:pPr>
        <w:pStyle w:val="TOC3"/>
        <w:rPr>
          <w:rFonts w:asciiTheme="minorHAnsi" w:eastAsiaTheme="minorEastAsia" w:hAnsiTheme="minorHAnsi" w:cstheme="minorBidi"/>
        </w:rPr>
      </w:pPr>
      <w:hyperlink w:anchor="_Toc5025721" w:history="1">
        <w:r w:rsidR="00B30C47" w:rsidRPr="00156697">
          <w:rPr>
            <w:rStyle w:val="Hyperlink"/>
          </w:rPr>
          <w:t>Enabling trials of mobile phone jammers in prisons</w:t>
        </w:r>
        <w:r w:rsidR="00B30C47">
          <w:rPr>
            <w:webHidden/>
          </w:rPr>
          <w:tab/>
        </w:r>
        <w:r w:rsidR="00B30C47">
          <w:rPr>
            <w:webHidden/>
          </w:rPr>
          <w:fldChar w:fldCharType="begin"/>
        </w:r>
        <w:r w:rsidR="00B30C47">
          <w:rPr>
            <w:webHidden/>
          </w:rPr>
          <w:instrText xml:space="preserve"> PAGEREF _Toc5025721 \h </w:instrText>
        </w:r>
        <w:r w:rsidR="00B30C47">
          <w:rPr>
            <w:webHidden/>
          </w:rPr>
        </w:r>
        <w:r w:rsidR="00B30C47">
          <w:rPr>
            <w:webHidden/>
          </w:rPr>
          <w:fldChar w:fldCharType="separate"/>
        </w:r>
        <w:r w:rsidR="00B30C47">
          <w:rPr>
            <w:webHidden/>
          </w:rPr>
          <w:t>62</w:t>
        </w:r>
        <w:r w:rsidR="00B30C47">
          <w:rPr>
            <w:webHidden/>
          </w:rPr>
          <w:fldChar w:fldCharType="end"/>
        </w:r>
      </w:hyperlink>
    </w:p>
    <w:p w14:paraId="3E2515B6" w14:textId="47551D47" w:rsidR="00B30C47" w:rsidRDefault="005D06D9">
      <w:pPr>
        <w:pStyle w:val="TOC3"/>
        <w:rPr>
          <w:rFonts w:asciiTheme="minorHAnsi" w:eastAsiaTheme="minorEastAsia" w:hAnsiTheme="minorHAnsi" w:cstheme="minorBidi"/>
        </w:rPr>
      </w:pPr>
      <w:hyperlink w:anchor="_Toc5025722" w:history="1">
        <w:r w:rsidR="00B30C47" w:rsidRPr="00156697">
          <w:rPr>
            <w:rStyle w:val="Hyperlink"/>
          </w:rPr>
          <w:t>Renewed arrangements for amateur certificates of proficiency</w:t>
        </w:r>
        <w:r w:rsidR="00B30C47">
          <w:rPr>
            <w:webHidden/>
          </w:rPr>
          <w:tab/>
        </w:r>
        <w:r w:rsidR="00B30C47">
          <w:rPr>
            <w:webHidden/>
          </w:rPr>
          <w:fldChar w:fldCharType="begin"/>
        </w:r>
        <w:r w:rsidR="00B30C47">
          <w:rPr>
            <w:webHidden/>
          </w:rPr>
          <w:instrText xml:space="preserve"> PAGEREF _Toc5025722 \h </w:instrText>
        </w:r>
        <w:r w:rsidR="00B30C47">
          <w:rPr>
            <w:webHidden/>
          </w:rPr>
        </w:r>
        <w:r w:rsidR="00B30C47">
          <w:rPr>
            <w:webHidden/>
          </w:rPr>
          <w:fldChar w:fldCharType="separate"/>
        </w:r>
        <w:r w:rsidR="00B30C47">
          <w:rPr>
            <w:webHidden/>
          </w:rPr>
          <w:t>62</w:t>
        </w:r>
        <w:r w:rsidR="00B30C47">
          <w:rPr>
            <w:webHidden/>
          </w:rPr>
          <w:fldChar w:fldCharType="end"/>
        </w:r>
      </w:hyperlink>
    </w:p>
    <w:p w14:paraId="2FBEBA4A" w14:textId="788207D9" w:rsidR="00B30C47" w:rsidRDefault="005D06D9">
      <w:pPr>
        <w:pStyle w:val="TOC2"/>
        <w:rPr>
          <w:rFonts w:asciiTheme="minorHAnsi" w:eastAsiaTheme="minorEastAsia" w:hAnsiTheme="minorHAnsi" w:cstheme="minorBidi"/>
          <w:spacing w:val="0"/>
          <w:sz w:val="22"/>
          <w:szCs w:val="22"/>
        </w:rPr>
      </w:pPr>
      <w:hyperlink w:anchor="_Toc5025723" w:history="1">
        <w:r w:rsidR="00B30C47" w:rsidRPr="00156697">
          <w:rPr>
            <w:rStyle w:val="Hyperlink"/>
          </w:rPr>
          <w:t>New/ongoing activities planned for 2019–20</w:t>
        </w:r>
        <w:r w:rsidR="00B30C47">
          <w:rPr>
            <w:webHidden/>
          </w:rPr>
          <w:tab/>
        </w:r>
        <w:r w:rsidR="00B30C47">
          <w:rPr>
            <w:webHidden/>
          </w:rPr>
          <w:fldChar w:fldCharType="begin"/>
        </w:r>
        <w:r w:rsidR="00B30C47">
          <w:rPr>
            <w:webHidden/>
          </w:rPr>
          <w:instrText xml:space="preserve"> PAGEREF _Toc5025723 \h </w:instrText>
        </w:r>
        <w:r w:rsidR="00B30C47">
          <w:rPr>
            <w:webHidden/>
          </w:rPr>
        </w:r>
        <w:r w:rsidR="00B30C47">
          <w:rPr>
            <w:webHidden/>
          </w:rPr>
          <w:fldChar w:fldCharType="separate"/>
        </w:r>
        <w:r w:rsidR="00B30C47">
          <w:rPr>
            <w:webHidden/>
          </w:rPr>
          <w:t>62</w:t>
        </w:r>
        <w:r w:rsidR="00B30C47">
          <w:rPr>
            <w:webHidden/>
          </w:rPr>
          <w:fldChar w:fldCharType="end"/>
        </w:r>
      </w:hyperlink>
    </w:p>
    <w:p w14:paraId="42FD7430" w14:textId="1089861B" w:rsidR="00B30C47" w:rsidRDefault="005D06D9">
      <w:pPr>
        <w:pStyle w:val="TOC3"/>
        <w:rPr>
          <w:rFonts w:asciiTheme="minorHAnsi" w:eastAsiaTheme="minorEastAsia" w:hAnsiTheme="minorHAnsi" w:cstheme="minorBidi"/>
        </w:rPr>
      </w:pPr>
      <w:hyperlink w:anchor="_Toc5025724" w:history="1">
        <w:r w:rsidR="00B30C47" w:rsidRPr="00156697">
          <w:rPr>
            <w:rStyle w:val="Hyperlink"/>
          </w:rPr>
          <w:t>Reforming arrangements for amateur certificates of proficiency</w:t>
        </w:r>
        <w:r w:rsidR="00B30C47">
          <w:rPr>
            <w:webHidden/>
          </w:rPr>
          <w:tab/>
        </w:r>
        <w:r w:rsidR="00B30C47">
          <w:rPr>
            <w:webHidden/>
          </w:rPr>
          <w:fldChar w:fldCharType="begin"/>
        </w:r>
        <w:r w:rsidR="00B30C47">
          <w:rPr>
            <w:webHidden/>
          </w:rPr>
          <w:instrText xml:space="preserve"> PAGEREF _Toc5025724 \h </w:instrText>
        </w:r>
        <w:r w:rsidR="00B30C47">
          <w:rPr>
            <w:webHidden/>
          </w:rPr>
        </w:r>
        <w:r w:rsidR="00B30C47">
          <w:rPr>
            <w:webHidden/>
          </w:rPr>
          <w:fldChar w:fldCharType="separate"/>
        </w:r>
        <w:r w:rsidR="00B30C47">
          <w:rPr>
            <w:webHidden/>
          </w:rPr>
          <w:t>62</w:t>
        </w:r>
        <w:r w:rsidR="00B30C47">
          <w:rPr>
            <w:webHidden/>
          </w:rPr>
          <w:fldChar w:fldCharType="end"/>
        </w:r>
      </w:hyperlink>
    </w:p>
    <w:p w14:paraId="105F1DF9" w14:textId="706D7225" w:rsidR="00B30C47" w:rsidRDefault="005D06D9">
      <w:pPr>
        <w:pStyle w:val="TOC3"/>
        <w:rPr>
          <w:rFonts w:asciiTheme="minorHAnsi" w:eastAsiaTheme="minorEastAsia" w:hAnsiTheme="minorHAnsi" w:cstheme="minorBidi"/>
        </w:rPr>
      </w:pPr>
      <w:hyperlink w:anchor="_Toc5025725" w:history="1">
        <w:r w:rsidR="00B30C47" w:rsidRPr="00156697">
          <w:rPr>
            <w:rStyle w:val="Hyperlink"/>
          </w:rPr>
          <w:t>Consideration of changes to amateur licence conditions</w:t>
        </w:r>
        <w:r w:rsidR="00B30C47">
          <w:rPr>
            <w:webHidden/>
          </w:rPr>
          <w:tab/>
        </w:r>
        <w:r w:rsidR="00B30C47">
          <w:rPr>
            <w:webHidden/>
          </w:rPr>
          <w:fldChar w:fldCharType="begin"/>
        </w:r>
        <w:r w:rsidR="00B30C47">
          <w:rPr>
            <w:webHidden/>
          </w:rPr>
          <w:instrText xml:space="preserve"> PAGEREF _Toc5025725 \h </w:instrText>
        </w:r>
        <w:r w:rsidR="00B30C47">
          <w:rPr>
            <w:webHidden/>
          </w:rPr>
        </w:r>
        <w:r w:rsidR="00B30C47">
          <w:rPr>
            <w:webHidden/>
          </w:rPr>
          <w:fldChar w:fldCharType="separate"/>
        </w:r>
        <w:r w:rsidR="00B30C47">
          <w:rPr>
            <w:webHidden/>
          </w:rPr>
          <w:t>63</w:t>
        </w:r>
        <w:r w:rsidR="00B30C47">
          <w:rPr>
            <w:webHidden/>
          </w:rPr>
          <w:fldChar w:fldCharType="end"/>
        </w:r>
      </w:hyperlink>
    </w:p>
    <w:p w14:paraId="2C0D8657" w14:textId="3839796B" w:rsidR="00B30C47" w:rsidRDefault="005D06D9">
      <w:pPr>
        <w:pStyle w:val="TOC3"/>
        <w:rPr>
          <w:rFonts w:asciiTheme="minorHAnsi" w:eastAsiaTheme="minorEastAsia" w:hAnsiTheme="minorHAnsi" w:cstheme="minorBidi"/>
        </w:rPr>
      </w:pPr>
      <w:hyperlink w:anchor="_Toc5025726" w:history="1">
        <w:r w:rsidR="00B30C47" w:rsidRPr="00156697">
          <w:rPr>
            <w:rStyle w:val="Hyperlink"/>
          </w:rPr>
          <w:t>Enabling trials of mobile phone jammers in prisons</w:t>
        </w:r>
        <w:r w:rsidR="00B30C47">
          <w:rPr>
            <w:webHidden/>
          </w:rPr>
          <w:tab/>
        </w:r>
        <w:r w:rsidR="00B30C47">
          <w:rPr>
            <w:webHidden/>
          </w:rPr>
          <w:fldChar w:fldCharType="begin"/>
        </w:r>
        <w:r w:rsidR="00B30C47">
          <w:rPr>
            <w:webHidden/>
          </w:rPr>
          <w:instrText xml:space="preserve"> PAGEREF _Toc5025726 \h </w:instrText>
        </w:r>
        <w:r w:rsidR="00B30C47">
          <w:rPr>
            <w:webHidden/>
          </w:rPr>
        </w:r>
        <w:r w:rsidR="00B30C47">
          <w:rPr>
            <w:webHidden/>
          </w:rPr>
          <w:fldChar w:fldCharType="separate"/>
        </w:r>
        <w:r w:rsidR="00B30C47">
          <w:rPr>
            <w:webHidden/>
          </w:rPr>
          <w:t>63</w:t>
        </w:r>
        <w:r w:rsidR="00B30C47">
          <w:rPr>
            <w:webHidden/>
          </w:rPr>
          <w:fldChar w:fldCharType="end"/>
        </w:r>
      </w:hyperlink>
    </w:p>
    <w:p w14:paraId="1DE789E1" w14:textId="25DDB341" w:rsidR="00B30C47" w:rsidRDefault="005D06D9">
      <w:pPr>
        <w:pStyle w:val="TOC3"/>
        <w:rPr>
          <w:rFonts w:asciiTheme="minorHAnsi" w:eastAsiaTheme="minorEastAsia" w:hAnsiTheme="minorHAnsi" w:cstheme="minorBidi"/>
        </w:rPr>
      </w:pPr>
      <w:hyperlink w:anchor="_Toc5025727" w:history="1">
        <w:r w:rsidR="00B30C47" w:rsidRPr="00156697">
          <w:rPr>
            <w:rStyle w:val="Hyperlink"/>
          </w:rPr>
          <w:t>Changes to VHF marine radio channels and their use</w:t>
        </w:r>
        <w:r w:rsidR="00B30C47">
          <w:rPr>
            <w:webHidden/>
          </w:rPr>
          <w:tab/>
        </w:r>
        <w:r w:rsidR="00B30C47">
          <w:rPr>
            <w:webHidden/>
          </w:rPr>
          <w:fldChar w:fldCharType="begin"/>
        </w:r>
        <w:r w:rsidR="00B30C47">
          <w:rPr>
            <w:webHidden/>
          </w:rPr>
          <w:instrText xml:space="preserve"> PAGEREF _Toc5025727 \h </w:instrText>
        </w:r>
        <w:r w:rsidR="00B30C47">
          <w:rPr>
            <w:webHidden/>
          </w:rPr>
        </w:r>
        <w:r w:rsidR="00B30C47">
          <w:rPr>
            <w:webHidden/>
          </w:rPr>
          <w:fldChar w:fldCharType="separate"/>
        </w:r>
        <w:r w:rsidR="00B30C47">
          <w:rPr>
            <w:webHidden/>
          </w:rPr>
          <w:t>63</w:t>
        </w:r>
        <w:r w:rsidR="00B30C47">
          <w:rPr>
            <w:webHidden/>
          </w:rPr>
          <w:fldChar w:fldCharType="end"/>
        </w:r>
      </w:hyperlink>
    </w:p>
    <w:p w14:paraId="56A14126" w14:textId="61F6BC9B" w:rsidR="00B30C47" w:rsidRDefault="005D06D9">
      <w:pPr>
        <w:pStyle w:val="TOC3"/>
        <w:rPr>
          <w:rFonts w:asciiTheme="minorHAnsi" w:eastAsiaTheme="minorEastAsia" w:hAnsiTheme="minorHAnsi" w:cstheme="minorBidi"/>
        </w:rPr>
      </w:pPr>
      <w:hyperlink w:anchor="_Toc5025728" w:history="1">
        <w:r w:rsidR="00B30C47" w:rsidRPr="00156697">
          <w:rPr>
            <w:rStyle w:val="Hyperlink"/>
          </w:rPr>
          <w:t>400 MHz band</w:t>
        </w:r>
        <w:r w:rsidR="00B30C47">
          <w:rPr>
            <w:webHidden/>
          </w:rPr>
          <w:tab/>
        </w:r>
        <w:r w:rsidR="00B30C47">
          <w:rPr>
            <w:webHidden/>
          </w:rPr>
          <w:fldChar w:fldCharType="begin"/>
        </w:r>
        <w:r w:rsidR="00B30C47">
          <w:rPr>
            <w:webHidden/>
          </w:rPr>
          <w:instrText xml:space="preserve"> PAGEREF _Toc5025728 \h </w:instrText>
        </w:r>
        <w:r w:rsidR="00B30C47">
          <w:rPr>
            <w:webHidden/>
          </w:rPr>
        </w:r>
        <w:r w:rsidR="00B30C47">
          <w:rPr>
            <w:webHidden/>
          </w:rPr>
          <w:fldChar w:fldCharType="separate"/>
        </w:r>
        <w:r w:rsidR="00B30C47">
          <w:rPr>
            <w:webHidden/>
          </w:rPr>
          <w:t>63</w:t>
        </w:r>
        <w:r w:rsidR="00B30C47">
          <w:rPr>
            <w:webHidden/>
          </w:rPr>
          <w:fldChar w:fldCharType="end"/>
        </w:r>
      </w:hyperlink>
    </w:p>
    <w:p w14:paraId="034D226E" w14:textId="699E1934" w:rsidR="00B30C47" w:rsidRDefault="005D06D9">
      <w:pPr>
        <w:pStyle w:val="TOC3"/>
        <w:rPr>
          <w:rFonts w:asciiTheme="minorHAnsi" w:eastAsiaTheme="minorEastAsia" w:hAnsiTheme="minorHAnsi" w:cstheme="minorBidi"/>
        </w:rPr>
      </w:pPr>
      <w:hyperlink w:anchor="_Toc5025729" w:history="1">
        <w:r w:rsidR="00B30C47" w:rsidRPr="00156697">
          <w:rPr>
            <w:rStyle w:val="Hyperlink"/>
          </w:rPr>
          <w:t>Review of prohibition declarations and exemption determinations</w:t>
        </w:r>
        <w:r w:rsidR="00B30C47">
          <w:rPr>
            <w:webHidden/>
          </w:rPr>
          <w:tab/>
        </w:r>
        <w:r w:rsidR="00B30C47">
          <w:rPr>
            <w:webHidden/>
          </w:rPr>
          <w:fldChar w:fldCharType="begin"/>
        </w:r>
        <w:r w:rsidR="00B30C47">
          <w:rPr>
            <w:webHidden/>
          </w:rPr>
          <w:instrText xml:space="preserve"> PAGEREF _Toc5025729 \h </w:instrText>
        </w:r>
        <w:r w:rsidR="00B30C47">
          <w:rPr>
            <w:webHidden/>
          </w:rPr>
        </w:r>
        <w:r w:rsidR="00B30C47">
          <w:rPr>
            <w:webHidden/>
          </w:rPr>
          <w:fldChar w:fldCharType="separate"/>
        </w:r>
        <w:r w:rsidR="00B30C47">
          <w:rPr>
            <w:webHidden/>
          </w:rPr>
          <w:t>63</w:t>
        </w:r>
        <w:r w:rsidR="00B30C47">
          <w:rPr>
            <w:webHidden/>
          </w:rPr>
          <w:fldChar w:fldCharType="end"/>
        </w:r>
      </w:hyperlink>
    </w:p>
    <w:p w14:paraId="412E7E59" w14:textId="0F76DD00" w:rsidR="00B30C47" w:rsidRDefault="005D06D9">
      <w:pPr>
        <w:pStyle w:val="TOC3"/>
        <w:rPr>
          <w:rFonts w:asciiTheme="minorHAnsi" w:eastAsiaTheme="minorEastAsia" w:hAnsiTheme="minorHAnsi" w:cstheme="minorBidi"/>
        </w:rPr>
      </w:pPr>
      <w:hyperlink w:anchor="_Toc5025730" w:history="1">
        <w:r w:rsidR="00B30C47" w:rsidRPr="00156697">
          <w:rPr>
            <w:rStyle w:val="Hyperlink"/>
          </w:rPr>
          <w:t>Drone regulation</w:t>
        </w:r>
        <w:r w:rsidR="00B30C47">
          <w:rPr>
            <w:webHidden/>
          </w:rPr>
          <w:tab/>
        </w:r>
        <w:r w:rsidR="00B30C47">
          <w:rPr>
            <w:webHidden/>
          </w:rPr>
          <w:fldChar w:fldCharType="begin"/>
        </w:r>
        <w:r w:rsidR="00B30C47">
          <w:rPr>
            <w:webHidden/>
          </w:rPr>
          <w:instrText xml:space="preserve"> PAGEREF _Toc5025730 \h </w:instrText>
        </w:r>
        <w:r w:rsidR="00B30C47">
          <w:rPr>
            <w:webHidden/>
          </w:rPr>
        </w:r>
        <w:r w:rsidR="00B30C47">
          <w:rPr>
            <w:webHidden/>
          </w:rPr>
          <w:fldChar w:fldCharType="separate"/>
        </w:r>
        <w:r w:rsidR="00B30C47">
          <w:rPr>
            <w:webHidden/>
          </w:rPr>
          <w:t>64</w:t>
        </w:r>
        <w:r w:rsidR="00B30C47">
          <w:rPr>
            <w:webHidden/>
          </w:rPr>
          <w:fldChar w:fldCharType="end"/>
        </w:r>
      </w:hyperlink>
    </w:p>
    <w:p w14:paraId="2FB1F281" w14:textId="5EB7AA40" w:rsidR="00B30C47" w:rsidRDefault="005D06D9">
      <w:pPr>
        <w:pStyle w:val="TOC3"/>
        <w:rPr>
          <w:rFonts w:asciiTheme="minorHAnsi" w:eastAsiaTheme="minorEastAsia" w:hAnsiTheme="minorHAnsi" w:cstheme="minorBidi"/>
        </w:rPr>
      </w:pPr>
      <w:hyperlink w:anchor="_Toc5025731" w:history="1">
        <w:r w:rsidR="00B30C47" w:rsidRPr="00156697">
          <w:rPr>
            <w:rStyle w:val="Hyperlink"/>
          </w:rPr>
          <w:t>Exploring the design of a spectrum space apparatus licence</w:t>
        </w:r>
        <w:r w:rsidR="00B30C47">
          <w:rPr>
            <w:webHidden/>
          </w:rPr>
          <w:tab/>
        </w:r>
        <w:r w:rsidR="00B30C47">
          <w:rPr>
            <w:webHidden/>
          </w:rPr>
          <w:fldChar w:fldCharType="begin"/>
        </w:r>
        <w:r w:rsidR="00B30C47">
          <w:rPr>
            <w:webHidden/>
          </w:rPr>
          <w:instrText xml:space="preserve"> PAGEREF _Toc5025731 \h </w:instrText>
        </w:r>
        <w:r w:rsidR="00B30C47">
          <w:rPr>
            <w:webHidden/>
          </w:rPr>
        </w:r>
        <w:r w:rsidR="00B30C47">
          <w:rPr>
            <w:webHidden/>
          </w:rPr>
          <w:fldChar w:fldCharType="separate"/>
        </w:r>
        <w:r w:rsidR="00B30C47">
          <w:rPr>
            <w:webHidden/>
          </w:rPr>
          <w:t>64</w:t>
        </w:r>
        <w:r w:rsidR="00B30C47">
          <w:rPr>
            <w:webHidden/>
          </w:rPr>
          <w:fldChar w:fldCharType="end"/>
        </w:r>
      </w:hyperlink>
    </w:p>
    <w:p w14:paraId="58B104FF" w14:textId="3A774977" w:rsidR="00B30C47" w:rsidRDefault="005D06D9">
      <w:pPr>
        <w:pStyle w:val="TOC3"/>
        <w:rPr>
          <w:rFonts w:asciiTheme="minorHAnsi" w:eastAsiaTheme="minorEastAsia" w:hAnsiTheme="minorHAnsi" w:cstheme="minorBidi"/>
        </w:rPr>
      </w:pPr>
      <w:hyperlink w:anchor="_Toc5025732" w:history="1">
        <w:r w:rsidR="00B30C47" w:rsidRPr="00156697">
          <w:rPr>
            <w:rStyle w:val="Hyperlink"/>
          </w:rPr>
          <w:t>Review of non-assigned amateur and outpost licensing arrangements with a view to reform</w:t>
        </w:r>
        <w:r w:rsidR="00B30C47">
          <w:rPr>
            <w:webHidden/>
          </w:rPr>
          <w:tab/>
        </w:r>
        <w:r w:rsidR="00B30C47">
          <w:rPr>
            <w:webHidden/>
          </w:rPr>
          <w:fldChar w:fldCharType="begin"/>
        </w:r>
        <w:r w:rsidR="00B30C47">
          <w:rPr>
            <w:webHidden/>
          </w:rPr>
          <w:instrText xml:space="preserve"> PAGEREF _Toc5025732 \h </w:instrText>
        </w:r>
        <w:r w:rsidR="00B30C47">
          <w:rPr>
            <w:webHidden/>
          </w:rPr>
        </w:r>
        <w:r w:rsidR="00B30C47">
          <w:rPr>
            <w:webHidden/>
          </w:rPr>
          <w:fldChar w:fldCharType="separate"/>
        </w:r>
        <w:r w:rsidR="00B30C47">
          <w:rPr>
            <w:webHidden/>
          </w:rPr>
          <w:t>64</w:t>
        </w:r>
        <w:r w:rsidR="00B30C47">
          <w:rPr>
            <w:webHidden/>
          </w:rPr>
          <w:fldChar w:fldCharType="end"/>
        </w:r>
      </w:hyperlink>
    </w:p>
    <w:p w14:paraId="1A198514" w14:textId="7DDBA1BE" w:rsidR="00B30C47" w:rsidRDefault="005D06D9">
      <w:pPr>
        <w:pStyle w:val="TOC3"/>
        <w:rPr>
          <w:rFonts w:asciiTheme="minorHAnsi" w:eastAsiaTheme="minorEastAsia" w:hAnsiTheme="minorHAnsi" w:cstheme="minorBidi"/>
        </w:rPr>
      </w:pPr>
      <w:hyperlink w:anchor="_Toc5025733" w:history="1">
        <w:r w:rsidR="00B30C47" w:rsidRPr="00156697">
          <w:rPr>
            <w:rStyle w:val="Hyperlink"/>
            <w:rFonts w:cstheme="minorHAnsi"/>
          </w:rPr>
          <w:t xml:space="preserve">Review of elements of the existing apparatus licensing </w:t>
        </w:r>
        <w:r w:rsidR="00B30C47" w:rsidRPr="00156697">
          <w:rPr>
            <w:rStyle w:val="Hyperlink"/>
          </w:rPr>
          <w:t>framework</w:t>
        </w:r>
        <w:r w:rsidR="00B30C47">
          <w:rPr>
            <w:webHidden/>
          </w:rPr>
          <w:tab/>
        </w:r>
        <w:r w:rsidR="00B30C47">
          <w:rPr>
            <w:webHidden/>
          </w:rPr>
          <w:fldChar w:fldCharType="begin"/>
        </w:r>
        <w:r w:rsidR="00B30C47">
          <w:rPr>
            <w:webHidden/>
          </w:rPr>
          <w:instrText xml:space="preserve"> PAGEREF _Toc5025733 \h </w:instrText>
        </w:r>
        <w:r w:rsidR="00B30C47">
          <w:rPr>
            <w:webHidden/>
          </w:rPr>
        </w:r>
        <w:r w:rsidR="00B30C47">
          <w:rPr>
            <w:webHidden/>
          </w:rPr>
          <w:fldChar w:fldCharType="separate"/>
        </w:r>
        <w:r w:rsidR="00B30C47">
          <w:rPr>
            <w:webHidden/>
          </w:rPr>
          <w:t>65</w:t>
        </w:r>
        <w:r w:rsidR="00B30C47">
          <w:rPr>
            <w:webHidden/>
          </w:rPr>
          <w:fldChar w:fldCharType="end"/>
        </w:r>
      </w:hyperlink>
    </w:p>
    <w:p w14:paraId="60130CF5" w14:textId="3E8205AE" w:rsidR="00B30C47" w:rsidRDefault="005D06D9">
      <w:pPr>
        <w:pStyle w:val="TOC1"/>
        <w:rPr>
          <w:rFonts w:asciiTheme="minorHAnsi" w:eastAsiaTheme="minorEastAsia" w:hAnsiTheme="minorHAnsi" w:cstheme="minorBidi"/>
          <w:b w:val="0"/>
          <w:spacing w:val="0"/>
          <w:sz w:val="22"/>
          <w:szCs w:val="22"/>
        </w:rPr>
      </w:pPr>
      <w:hyperlink w:anchor="_Toc5025734" w:history="1">
        <w:r w:rsidR="00B30C47" w:rsidRPr="00156697">
          <w:rPr>
            <w:rStyle w:val="Hyperlink"/>
          </w:rPr>
          <w:t>Pricing</w:t>
        </w:r>
        <w:r w:rsidR="00B30C47">
          <w:rPr>
            <w:webHidden/>
          </w:rPr>
          <w:tab/>
        </w:r>
        <w:r w:rsidR="00B30C47">
          <w:rPr>
            <w:webHidden/>
          </w:rPr>
          <w:fldChar w:fldCharType="begin"/>
        </w:r>
        <w:r w:rsidR="00B30C47">
          <w:rPr>
            <w:webHidden/>
          </w:rPr>
          <w:instrText xml:space="preserve"> PAGEREF _Toc5025734 \h </w:instrText>
        </w:r>
        <w:r w:rsidR="00B30C47">
          <w:rPr>
            <w:webHidden/>
          </w:rPr>
        </w:r>
        <w:r w:rsidR="00B30C47">
          <w:rPr>
            <w:webHidden/>
          </w:rPr>
          <w:fldChar w:fldCharType="separate"/>
        </w:r>
        <w:r w:rsidR="00B30C47">
          <w:rPr>
            <w:webHidden/>
          </w:rPr>
          <w:t>66</w:t>
        </w:r>
        <w:r w:rsidR="00B30C47">
          <w:rPr>
            <w:webHidden/>
          </w:rPr>
          <w:fldChar w:fldCharType="end"/>
        </w:r>
      </w:hyperlink>
    </w:p>
    <w:p w14:paraId="55E4F1CA" w14:textId="54DF1816" w:rsidR="00B30C47" w:rsidRDefault="005D06D9">
      <w:pPr>
        <w:pStyle w:val="TOC2"/>
        <w:rPr>
          <w:rFonts w:asciiTheme="minorHAnsi" w:eastAsiaTheme="minorEastAsia" w:hAnsiTheme="minorHAnsi" w:cstheme="minorBidi"/>
          <w:spacing w:val="0"/>
          <w:sz w:val="22"/>
          <w:szCs w:val="22"/>
        </w:rPr>
      </w:pPr>
      <w:hyperlink w:anchor="_Toc5025735" w:history="1">
        <w:r w:rsidR="00B30C47" w:rsidRPr="00156697">
          <w:rPr>
            <w:rStyle w:val="Hyperlink"/>
          </w:rPr>
          <w:t>Progress achieved</w:t>
        </w:r>
        <w:r w:rsidR="00B30C47">
          <w:rPr>
            <w:webHidden/>
          </w:rPr>
          <w:tab/>
        </w:r>
        <w:r w:rsidR="00B30C47">
          <w:rPr>
            <w:webHidden/>
          </w:rPr>
          <w:fldChar w:fldCharType="begin"/>
        </w:r>
        <w:r w:rsidR="00B30C47">
          <w:rPr>
            <w:webHidden/>
          </w:rPr>
          <w:instrText xml:space="preserve"> PAGEREF _Toc5025735 \h </w:instrText>
        </w:r>
        <w:r w:rsidR="00B30C47">
          <w:rPr>
            <w:webHidden/>
          </w:rPr>
        </w:r>
        <w:r w:rsidR="00B30C47">
          <w:rPr>
            <w:webHidden/>
          </w:rPr>
          <w:fldChar w:fldCharType="separate"/>
        </w:r>
        <w:r w:rsidR="00B30C47">
          <w:rPr>
            <w:webHidden/>
          </w:rPr>
          <w:t>66</w:t>
        </w:r>
        <w:r w:rsidR="00B30C47">
          <w:rPr>
            <w:webHidden/>
          </w:rPr>
          <w:fldChar w:fldCharType="end"/>
        </w:r>
      </w:hyperlink>
    </w:p>
    <w:p w14:paraId="4B1CA39B" w14:textId="498E45CB" w:rsidR="00B30C47" w:rsidRDefault="005D06D9">
      <w:pPr>
        <w:pStyle w:val="TOC3"/>
        <w:rPr>
          <w:rFonts w:asciiTheme="minorHAnsi" w:eastAsiaTheme="minorEastAsia" w:hAnsiTheme="minorHAnsi" w:cstheme="minorBidi"/>
        </w:rPr>
      </w:pPr>
      <w:hyperlink w:anchor="_Toc5025736" w:history="1">
        <w:r w:rsidR="00B30C47" w:rsidRPr="00156697">
          <w:rPr>
            <w:rStyle w:val="Hyperlink"/>
          </w:rPr>
          <w:t>3.6 GHz band</w:t>
        </w:r>
        <w:r w:rsidR="00B30C47">
          <w:rPr>
            <w:webHidden/>
          </w:rPr>
          <w:tab/>
        </w:r>
        <w:r w:rsidR="00B30C47">
          <w:rPr>
            <w:webHidden/>
          </w:rPr>
          <w:fldChar w:fldCharType="begin"/>
        </w:r>
        <w:r w:rsidR="00B30C47">
          <w:rPr>
            <w:webHidden/>
          </w:rPr>
          <w:instrText xml:space="preserve"> PAGEREF _Toc5025736 \h </w:instrText>
        </w:r>
        <w:r w:rsidR="00B30C47">
          <w:rPr>
            <w:webHidden/>
          </w:rPr>
        </w:r>
        <w:r w:rsidR="00B30C47">
          <w:rPr>
            <w:webHidden/>
          </w:rPr>
          <w:fldChar w:fldCharType="separate"/>
        </w:r>
        <w:r w:rsidR="00B30C47">
          <w:rPr>
            <w:webHidden/>
          </w:rPr>
          <w:t>66</w:t>
        </w:r>
        <w:r w:rsidR="00B30C47">
          <w:rPr>
            <w:webHidden/>
          </w:rPr>
          <w:fldChar w:fldCharType="end"/>
        </w:r>
      </w:hyperlink>
    </w:p>
    <w:p w14:paraId="24BD4741" w14:textId="74A6A1E6" w:rsidR="00B30C47" w:rsidRDefault="005D06D9">
      <w:pPr>
        <w:pStyle w:val="TOC3"/>
        <w:rPr>
          <w:rFonts w:asciiTheme="minorHAnsi" w:eastAsiaTheme="minorEastAsia" w:hAnsiTheme="minorHAnsi" w:cstheme="minorBidi"/>
        </w:rPr>
      </w:pPr>
      <w:hyperlink w:anchor="_Toc5025737" w:history="1">
        <w:r w:rsidR="00B30C47" w:rsidRPr="00156697">
          <w:rPr>
            <w:rStyle w:val="Hyperlink"/>
          </w:rPr>
          <w:t>Apparatus licence taxes</w:t>
        </w:r>
        <w:r w:rsidR="00B30C47">
          <w:rPr>
            <w:webHidden/>
          </w:rPr>
          <w:tab/>
        </w:r>
        <w:r w:rsidR="00B30C47">
          <w:rPr>
            <w:webHidden/>
          </w:rPr>
          <w:fldChar w:fldCharType="begin"/>
        </w:r>
        <w:r w:rsidR="00B30C47">
          <w:rPr>
            <w:webHidden/>
          </w:rPr>
          <w:instrText xml:space="preserve"> PAGEREF _Toc5025737 \h </w:instrText>
        </w:r>
        <w:r w:rsidR="00B30C47">
          <w:rPr>
            <w:webHidden/>
          </w:rPr>
        </w:r>
        <w:r w:rsidR="00B30C47">
          <w:rPr>
            <w:webHidden/>
          </w:rPr>
          <w:fldChar w:fldCharType="separate"/>
        </w:r>
        <w:r w:rsidR="00B30C47">
          <w:rPr>
            <w:webHidden/>
          </w:rPr>
          <w:t>66</w:t>
        </w:r>
        <w:r w:rsidR="00B30C47">
          <w:rPr>
            <w:webHidden/>
          </w:rPr>
          <w:fldChar w:fldCharType="end"/>
        </w:r>
      </w:hyperlink>
    </w:p>
    <w:p w14:paraId="0C634934" w14:textId="5C782759" w:rsidR="00B30C47" w:rsidRDefault="005D06D9">
      <w:pPr>
        <w:pStyle w:val="TOC3"/>
        <w:rPr>
          <w:rFonts w:asciiTheme="minorHAnsi" w:eastAsiaTheme="minorEastAsia" w:hAnsiTheme="minorHAnsi" w:cstheme="minorBidi"/>
        </w:rPr>
      </w:pPr>
      <w:hyperlink w:anchor="_Toc5025738" w:history="1">
        <w:r w:rsidR="00B30C47" w:rsidRPr="00156697">
          <w:rPr>
            <w:rStyle w:val="Hyperlink"/>
          </w:rPr>
          <w:t>Commercial broadcasting taxes</w:t>
        </w:r>
        <w:r w:rsidR="00B30C47">
          <w:rPr>
            <w:webHidden/>
          </w:rPr>
          <w:tab/>
        </w:r>
        <w:r w:rsidR="00B30C47">
          <w:rPr>
            <w:webHidden/>
          </w:rPr>
          <w:fldChar w:fldCharType="begin"/>
        </w:r>
        <w:r w:rsidR="00B30C47">
          <w:rPr>
            <w:webHidden/>
          </w:rPr>
          <w:instrText xml:space="preserve"> PAGEREF _Toc5025738 \h </w:instrText>
        </w:r>
        <w:r w:rsidR="00B30C47">
          <w:rPr>
            <w:webHidden/>
          </w:rPr>
        </w:r>
        <w:r w:rsidR="00B30C47">
          <w:rPr>
            <w:webHidden/>
          </w:rPr>
          <w:fldChar w:fldCharType="separate"/>
        </w:r>
        <w:r w:rsidR="00B30C47">
          <w:rPr>
            <w:webHidden/>
          </w:rPr>
          <w:t>66</w:t>
        </w:r>
        <w:r w:rsidR="00B30C47">
          <w:rPr>
            <w:webHidden/>
          </w:rPr>
          <w:fldChar w:fldCharType="end"/>
        </w:r>
      </w:hyperlink>
    </w:p>
    <w:p w14:paraId="57FC1965" w14:textId="0D1FB36C" w:rsidR="00B30C47" w:rsidRDefault="005D06D9">
      <w:pPr>
        <w:pStyle w:val="TOC2"/>
        <w:rPr>
          <w:rFonts w:asciiTheme="minorHAnsi" w:eastAsiaTheme="minorEastAsia" w:hAnsiTheme="minorHAnsi" w:cstheme="minorBidi"/>
          <w:spacing w:val="0"/>
          <w:sz w:val="22"/>
          <w:szCs w:val="22"/>
        </w:rPr>
      </w:pPr>
      <w:hyperlink w:anchor="_Toc5025739" w:history="1">
        <w:r w:rsidR="00B30C47" w:rsidRPr="00156697">
          <w:rPr>
            <w:rStyle w:val="Hyperlink"/>
          </w:rPr>
          <w:t>New/ongoing activities planned for 2019–20</w:t>
        </w:r>
        <w:r w:rsidR="00B30C47">
          <w:rPr>
            <w:webHidden/>
          </w:rPr>
          <w:tab/>
        </w:r>
        <w:r w:rsidR="00B30C47">
          <w:rPr>
            <w:webHidden/>
          </w:rPr>
          <w:fldChar w:fldCharType="begin"/>
        </w:r>
        <w:r w:rsidR="00B30C47">
          <w:rPr>
            <w:webHidden/>
          </w:rPr>
          <w:instrText xml:space="preserve"> PAGEREF _Toc5025739 \h </w:instrText>
        </w:r>
        <w:r w:rsidR="00B30C47">
          <w:rPr>
            <w:webHidden/>
          </w:rPr>
        </w:r>
        <w:r w:rsidR="00B30C47">
          <w:rPr>
            <w:webHidden/>
          </w:rPr>
          <w:fldChar w:fldCharType="separate"/>
        </w:r>
        <w:r w:rsidR="00B30C47">
          <w:rPr>
            <w:webHidden/>
          </w:rPr>
          <w:t>66</w:t>
        </w:r>
        <w:r w:rsidR="00B30C47">
          <w:rPr>
            <w:webHidden/>
          </w:rPr>
          <w:fldChar w:fldCharType="end"/>
        </w:r>
      </w:hyperlink>
    </w:p>
    <w:p w14:paraId="7D6718CC" w14:textId="1B6AC3BE" w:rsidR="00B30C47" w:rsidRDefault="005D06D9">
      <w:pPr>
        <w:pStyle w:val="TOC3"/>
        <w:rPr>
          <w:rFonts w:asciiTheme="minorHAnsi" w:eastAsiaTheme="minorEastAsia" w:hAnsiTheme="minorHAnsi" w:cstheme="minorBidi"/>
        </w:rPr>
      </w:pPr>
      <w:hyperlink w:anchor="_Toc5025740" w:history="1">
        <w:r w:rsidR="00B30C47" w:rsidRPr="00156697">
          <w:rPr>
            <w:rStyle w:val="Hyperlink"/>
          </w:rPr>
          <w:t>Implementation of the government’s Spectrum Pricing Review</w:t>
        </w:r>
        <w:r w:rsidR="00B30C47">
          <w:rPr>
            <w:webHidden/>
          </w:rPr>
          <w:tab/>
        </w:r>
        <w:r w:rsidR="00B30C47">
          <w:rPr>
            <w:webHidden/>
          </w:rPr>
          <w:fldChar w:fldCharType="begin"/>
        </w:r>
        <w:r w:rsidR="00B30C47">
          <w:rPr>
            <w:webHidden/>
          </w:rPr>
          <w:instrText xml:space="preserve"> PAGEREF _Toc5025740 \h </w:instrText>
        </w:r>
        <w:r w:rsidR="00B30C47">
          <w:rPr>
            <w:webHidden/>
          </w:rPr>
        </w:r>
        <w:r w:rsidR="00B30C47">
          <w:rPr>
            <w:webHidden/>
          </w:rPr>
          <w:fldChar w:fldCharType="separate"/>
        </w:r>
        <w:r w:rsidR="00B30C47">
          <w:rPr>
            <w:webHidden/>
          </w:rPr>
          <w:t>66</w:t>
        </w:r>
        <w:r w:rsidR="00B30C47">
          <w:rPr>
            <w:webHidden/>
          </w:rPr>
          <w:fldChar w:fldCharType="end"/>
        </w:r>
      </w:hyperlink>
    </w:p>
    <w:p w14:paraId="772F3388" w14:textId="116BC687" w:rsidR="00B30C47" w:rsidRDefault="005D06D9">
      <w:pPr>
        <w:pStyle w:val="TOC3"/>
        <w:rPr>
          <w:rFonts w:asciiTheme="minorHAnsi" w:eastAsiaTheme="minorEastAsia" w:hAnsiTheme="minorHAnsi" w:cstheme="minorBidi"/>
        </w:rPr>
      </w:pPr>
      <w:hyperlink w:anchor="_Toc5025741" w:history="1">
        <w:r w:rsidR="00B30C47" w:rsidRPr="00156697">
          <w:rPr>
            <w:rStyle w:val="Hyperlink"/>
          </w:rPr>
          <w:t>Commercial broadcast taxes</w:t>
        </w:r>
        <w:r w:rsidR="00B30C47">
          <w:rPr>
            <w:webHidden/>
          </w:rPr>
          <w:tab/>
        </w:r>
        <w:r w:rsidR="00B30C47">
          <w:rPr>
            <w:webHidden/>
          </w:rPr>
          <w:fldChar w:fldCharType="begin"/>
        </w:r>
        <w:r w:rsidR="00B30C47">
          <w:rPr>
            <w:webHidden/>
          </w:rPr>
          <w:instrText xml:space="preserve"> PAGEREF _Toc5025741 \h </w:instrText>
        </w:r>
        <w:r w:rsidR="00B30C47">
          <w:rPr>
            <w:webHidden/>
          </w:rPr>
        </w:r>
        <w:r w:rsidR="00B30C47">
          <w:rPr>
            <w:webHidden/>
          </w:rPr>
          <w:fldChar w:fldCharType="separate"/>
        </w:r>
        <w:r w:rsidR="00B30C47">
          <w:rPr>
            <w:webHidden/>
          </w:rPr>
          <w:t>67</w:t>
        </w:r>
        <w:r w:rsidR="00B30C47">
          <w:rPr>
            <w:webHidden/>
          </w:rPr>
          <w:fldChar w:fldCharType="end"/>
        </w:r>
      </w:hyperlink>
    </w:p>
    <w:p w14:paraId="68D8D81F" w14:textId="6F9CE241" w:rsidR="00B30C47" w:rsidRDefault="005D06D9">
      <w:pPr>
        <w:pStyle w:val="TOC3"/>
        <w:rPr>
          <w:rFonts w:asciiTheme="minorHAnsi" w:eastAsiaTheme="minorEastAsia" w:hAnsiTheme="minorHAnsi" w:cstheme="minorBidi"/>
        </w:rPr>
      </w:pPr>
      <w:hyperlink w:anchor="_Toc5025742" w:history="1">
        <w:r w:rsidR="00B30C47" w:rsidRPr="00156697">
          <w:rPr>
            <w:rStyle w:val="Hyperlink"/>
          </w:rPr>
          <w:t>Other pricing updates</w:t>
        </w:r>
        <w:r w:rsidR="00B30C47">
          <w:rPr>
            <w:webHidden/>
          </w:rPr>
          <w:tab/>
        </w:r>
        <w:r w:rsidR="00B30C47">
          <w:rPr>
            <w:webHidden/>
          </w:rPr>
          <w:fldChar w:fldCharType="begin"/>
        </w:r>
        <w:r w:rsidR="00B30C47">
          <w:rPr>
            <w:webHidden/>
          </w:rPr>
          <w:instrText xml:space="preserve"> PAGEREF _Toc5025742 \h </w:instrText>
        </w:r>
        <w:r w:rsidR="00B30C47">
          <w:rPr>
            <w:webHidden/>
          </w:rPr>
        </w:r>
        <w:r w:rsidR="00B30C47">
          <w:rPr>
            <w:webHidden/>
          </w:rPr>
          <w:fldChar w:fldCharType="separate"/>
        </w:r>
        <w:r w:rsidR="00B30C47">
          <w:rPr>
            <w:webHidden/>
          </w:rPr>
          <w:t>67</w:t>
        </w:r>
        <w:r w:rsidR="00B30C47">
          <w:rPr>
            <w:webHidden/>
          </w:rPr>
          <w:fldChar w:fldCharType="end"/>
        </w:r>
      </w:hyperlink>
    </w:p>
    <w:p w14:paraId="61E816DE" w14:textId="59150971" w:rsidR="00B30C47" w:rsidRDefault="005D06D9">
      <w:pPr>
        <w:pStyle w:val="TOC1"/>
        <w:rPr>
          <w:rFonts w:asciiTheme="minorHAnsi" w:eastAsiaTheme="minorEastAsia" w:hAnsiTheme="minorHAnsi" w:cstheme="minorBidi"/>
          <w:b w:val="0"/>
          <w:spacing w:val="0"/>
          <w:sz w:val="22"/>
          <w:szCs w:val="22"/>
        </w:rPr>
      </w:pPr>
      <w:hyperlink w:anchor="_Toc5025743" w:history="1">
        <w:r w:rsidR="00B30C47" w:rsidRPr="00156697">
          <w:rPr>
            <w:rStyle w:val="Hyperlink"/>
          </w:rPr>
          <w:t>Compliance and enforcement</w:t>
        </w:r>
        <w:r w:rsidR="00B30C47">
          <w:rPr>
            <w:webHidden/>
          </w:rPr>
          <w:tab/>
        </w:r>
        <w:r w:rsidR="00B30C47">
          <w:rPr>
            <w:webHidden/>
          </w:rPr>
          <w:fldChar w:fldCharType="begin"/>
        </w:r>
        <w:r w:rsidR="00B30C47">
          <w:rPr>
            <w:webHidden/>
          </w:rPr>
          <w:instrText xml:space="preserve"> PAGEREF _Toc5025743 \h </w:instrText>
        </w:r>
        <w:r w:rsidR="00B30C47">
          <w:rPr>
            <w:webHidden/>
          </w:rPr>
        </w:r>
        <w:r w:rsidR="00B30C47">
          <w:rPr>
            <w:webHidden/>
          </w:rPr>
          <w:fldChar w:fldCharType="separate"/>
        </w:r>
        <w:r w:rsidR="00B30C47">
          <w:rPr>
            <w:webHidden/>
          </w:rPr>
          <w:t>68</w:t>
        </w:r>
        <w:r w:rsidR="00B30C47">
          <w:rPr>
            <w:webHidden/>
          </w:rPr>
          <w:fldChar w:fldCharType="end"/>
        </w:r>
      </w:hyperlink>
    </w:p>
    <w:p w14:paraId="1FC23B49" w14:textId="240D7289" w:rsidR="00B30C47" w:rsidRDefault="005D06D9">
      <w:pPr>
        <w:pStyle w:val="TOC2"/>
        <w:rPr>
          <w:rFonts w:asciiTheme="minorHAnsi" w:eastAsiaTheme="minorEastAsia" w:hAnsiTheme="minorHAnsi" w:cstheme="minorBidi"/>
          <w:spacing w:val="0"/>
          <w:sz w:val="22"/>
          <w:szCs w:val="22"/>
        </w:rPr>
      </w:pPr>
      <w:hyperlink w:anchor="_Toc5025744" w:history="1">
        <w:r w:rsidR="00B30C47" w:rsidRPr="00156697">
          <w:rPr>
            <w:rStyle w:val="Hyperlink"/>
          </w:rPr>
          <w:t>Priority compliance areas</w:t>
        </w:r>
        <w:r w:rsidR="00B30C47">
          <w:rPr>
            <w:webHidden/>
          </w:rPr>
          <w:tab/>
        </w:r>
        <w:r w:rsidR="00B30C47">
          <w:rPr>
            <w:webHidden/>
          </w:rPr>
          <w:fldChar w:fldCharType="begin"/>
        </w:r>
        <w:r w:rsidR="00B30C47">
          <w:rPr>
            <w:webHidden/>
          </w:rPr>
          <w:instrText xml:space="preserve"> PAGEREF _Toc5025744 \h </w:instrText>
        </w:r>
        <w:r w:rsidR="00B30C47">
          <w:rPr>
            <w:webHidden/>
          </w:rPr>
        </w:r>
        <w:r w:rsidR="00B30C47">
          <w:rPr>
            <w:webHidden/>
          </w:rPr>
          <w:fldChar w:fldCharType="separate"/>
        </w:r>
        <w:r w:rsidR="00B30C47">
          <w:rPr>
            <w:webHidden/>
          </w:rPr>
          <w:t>68</w:t>
        </w:r>
        <w:r w:rsidR="00B30C47">
          <w:rPr>
            <w:webHidden/>
          </w:rPr>
          <w:fldChar w:fldCharType="end"/>
        </w:r>
      </w:hyperlink>
    </w:p>
    <w:p w14:paraId="796923ED" w14:textId="58EDBEB9" w:rsidR="00B30C47" w:rsidRDefault="005D06D9">
      <w:pPr>
        <w:pStyle w:val="TOC2"/>
        <w:rPr>
          <w:rFonts w:asciiTheme="minorHAnsi" w:eastAsiaTheme="minorEastAsia" w:hAnsiTheme="minorHAnsi" w:cstheme="minorBidi"/>
          <w:spacing w:val="0"/>
          <w:sz w:val="22"/>
          <w:szCs w:val="22"/>
        </w:rPr>
      </w:pPr>
      <w:hyperlink w:anchor="_Toc5025745" w:history="1">
        <w:r w:rsidR="00B30C47" w:rsidRPr="00156697">
          <w:rPr>
            <w:rStyle w:val="Hyperlink"/>
          </w:rPr>
          <w:t>Progress achieved</w:t>
        </w:r>
        <w:r w:rsidR="00B30C47">
          <w:rPr>
            <w:webHidden/>
          </w:rPr>
          <w:tab/>
        </w:r>
        <w:r w:rsidR="00B30C47">
          <w:rPr>
            <w:webHidden/>
          </w:rPr>
          <w:fldChar w:fldCharType="begin"/>
        </w:r>
        <w:r w:rsidR="00B30C47">
          <w:rPr>
            <w:webHidden/>
          </w:rPr>
          <w:instrText xml:space="preserve"> PAGEREF _Toc5025745 \h </w:instrText>
        </w:r>
        <w:r w:rsidR="00B30C47">
          <w:rPr>
            <w:webHidden/>
          </w:rPr>
        </w:r>
        <w:r w:rsidR="00B30C47">
          <w:rPr>
            <w:webHidden/>
          </w:rPr>
          <w:fldChar w:fldCharType="separate"/>
        </w:r>
        <w:r w:rsidR="00B30C47">
          <w:rPr>
            <w:webHidden/>
          </w:rPr>
          <w:t>68</w:t>
        </w:r>
        <w:r w:rsidR="00B30C47">
          <w:rPr>
            <w:webHidden/>
          </w:rPr>
          <w:fldChar w:fldCharType="end"/>
        </w:r>
      </w:hyperlink>
    </w:p>
    <w:p w14:paraId="51943515" w14:textId="3963D9E8" w:rsidR="00B30C47" w:rsidRDefault="005D06D9">
      <w:pPr>
        <w:pStyle w:val="TOC3"/>
        <w:rPr>
          <w:rFonts w:asciiTheme="minorHAnsi" w:eastAsiaTheme="minorEastAsia" w:hAnsiTheme="minorHAnsi" w:cstheme="minorBidi"/>
        </w:rPr>
      </w:pPr>
      <w:hyperlink w:anchor="_Toc5025746" w:history="1">
        <w:r w:rsidR="00B30C47" w:rsidRPr="00156697">
          <w:rPr>
            <w:rStyle w:val="Hyperlink"/>
          </w:rPr>
          <w:t>Licensing integrity</w:t>
        </w:r>
        <w:r w:rsidR="00B30C47">
          <w:rPr>
            <w:webHidden/>
          </w:rPr>
          <w:tab/>
        </w:r>
        <w:r w:rsidR="00B30C47">
          <w:rPr>
            <w:webHidden/>
          </w:rPr>
          <w:fldChar w:fldCharType="begin"/>
        </w:r>
        <w:r w:rsidR="00B30C47">
          <w:rPr>
            <w:webHidden/>
          </w:rPr>
          <w:instrText xml:space="preserve"> PAGEREF _Toc5025746 \h </w:instrText>
        </w:r>
        <w:r w:rsidR="00B30C47">
          <w:rPr>
            <w:webHidden/>
          </w:rPr>
        </w:r>
        <w:r w:rsidR="00B30C47">
          <w:rPr>
            <w:webHidden/>
          </w:rPr>
          <w:fldChar w:fldCharType="separate"/>
        </w:r>
        <w:r w:rsidR="00B30C47">
          <w:rPr>
            <w:webHidden/>
          </w:rPr>
          <w:t>68</w:t>
        </w:r>
        <w:r w:rsidR="00B30C47">
          <w:rPr>
            <w:webHidden/>
          </w:rPr>
          <w:fldChar w:fldCharType="end"/>
        </w:r>
      </w:hyperlink>
    </w:p>
    <w:p w14:paraId="3DC53561" w14:textId="026824FB" w:rsidR="00B30C47" w:rsidRDefault="005D06D9">
      <w:pPr>
        <w:pStyle w:val="TOC3"/>
        <w:rPr>
          <w:rFonts w:asciiTheme="minorHAnsi" w:eastAsiaTheme="minorEastAsia" w:hAnsiTheme="minorHAnsi" w:cstheme="minorBidi"/>
        </w:rPr>
      </w:pPr>
      <w:hyperlink w:anchor="_Toc5025747" w:history="1">
        <w:r w:rsidR="00B30C47" w:rsidRPr="00156697">
          <w:rPr>
            <w:rStyle w:val="Hyperlink"/>
          </w:rPr>
          <w:t>Spectrum Review implementation</w:t>
        </w:r>
        <w:r w:rsidR="00B30C47">
          <w:rPr>
            <w:webHidden/>
          </w:rPr>
          <w:tab/>
        </w:r>
        <w:r w:rsidR="00B30C47">
          <w:rPr>
            <w:webHidden/>
          </w:rPr>
          <w:fldChar w:fldCharType="begin"/>
        </w:r>
        <w:r w:rsidR="00B30C47">
          <w:rPr>
            <w:webHidden/>
          </w:rPr>
          <w:instrText xml:space="preserve"> PAGEREF _Toc5025747 \h </w:instrText>
        </w:r>
        <w:r w:rsidR="00B30C47">
          <w:rPr>
            <w:webHidden/>
          </w:rPr>
        </w:r>
        <w:r w:rsidR="00B30C47">
          <w:rPr>
            <w:webHidden/>
          </w:rPr>
          <w:fldChar w:fldCharType="separate"/>
        </w:r>
        <w:r w:rsidR="00B30C47">
          <w:rPr>
            <w:webHidden/>
          </w:rPr>
          <w:t>68</w:t>
        </w:r>
        <w:r w:rsidR="00B30C47">
          <w:rPr>
            <w:webHidden/>
          </w:rPr>
          <w:fldChar w:fldCharType="end"/>
        </w:r>
      </w:hyperlink>
    </w:p>
    <w:p w14:paraId="519DA068" w14:textId="196CBA1B" w:rsidR="00B30C47" w:rsidRDefault="005D06D9">
      <w:pPr>
        <w:pStyle w:val="TOC3"/>
        <w:rPr>
          <w:rFonts w:asciiTheme="minorHAnsi" w:eastAsiaTheme="minorEastAsia" w:hAnsiTheme="minorHAnsi" w:cstheme="minorBidi"/>
        </w:rPr>
      </w:pPr>
      <w:hyperlink w:anchor="_Toc5025748" w:history="1">
        <w:r w:rsidR="00B30C47" w:rsidRPr="00156697">
          <w:rPr>
            <w:rStyle w:val="Hyperlink"/>
          </w:rPr>
          <w:t>Interference management</w:t>
        </w:r>
        <w:r w:rsidR="00B30C47">
          <w:rPr>
            <w:webHidden/>
          </w:rPr>
          <w:tab/>
        </w:r>
        <w:r w:rsidR="00B30C47">
          <w:rPr>
            <w:webHidden/>
          </w:rPr>
          <w:fldChar w:fldCharType="begin"/>
        </w:r>
        <w:r w:rsidR="00B30C47">
          <w:rPr>
            <w:webHidden/>
          </w:rPr>
          <w:instrText xml:space="preserve"> PAGEREF _Toc5025748 \h </w:instrText>
        </w:r>
        <w:r w:rsidR="00B30C47">
          <w:rPr>
            <w:webHidden/>
          </w:rPr>
        </w:r>
        <w:r w:rsidR="00B30C47">
          <w:rPr>
            <w:webHidden/>
          </w:rPr>
          <w:fldChar w:fldCharType="separate"/>
        </w:r>
        <w:r w:rsidR="00B30C47">
          <w:rPr>
            <w:webHidden/>
          </w:rPr>
          <w:t>68</w:t>
        </w:r>
        <w:r w:rsidR="00B30C47">
          <w:rPr>
            <w:webHidden/>
          </w:rPr>
          <w:fldChar w:fldCharType="end"/>
        </w:r>
      </w:hyperlink>
    </w:p>
    <w:p w14:paraId="271F8B47" w14:textId="7DC0EB99" w:rsidR="00B30C47" w:rsidRDefault="005D06D9">
      <w:pPr>
        <w:pStyle w:val="TOC3"/>
        <w:rPr>
          <w:rFonts w:asciiTheme="minorHAnsi" w:eastAsiaTheme="minorEastAsia" w:hAnsiTheme="minorHAnsi" w:cstheme="minorBidi"/>
        </w:rPr>
      </w:pPr>
      <w:hyperlink w:anchor="_Toc5025749" w:history="1">
        <w:r w:rsidR="00B30C47" w:rsidRPr="00156697">
          <w:rPr>
            <w:rStyle w:val="Hyperlink"/>
          </w:rPr>
          <w:t>Compliance themes</w:t>
        </w:r>
        <w:r w:rsidR="00B30C47">
          <w:rPr>
            <w:webHidden/>
          </w:rPr>
          <w:tab/>
        </w:r>
        <w:r w:rsidR="00B30C47">
          <w:rPr>
            <w:webHidden/>
          </w:rPr>
          <w:fldChar w:fldCharType="begin"/>
        </w:r>
        <w:r w:rsidR="00B30C47">
          <w:rPr>
            <w:webHidden/>
          </w:rPr>
          <w:instrText xml:space="preserve"> PAGEREF _Toc5025749 \h </w:instrText>
        </w:r>
        <w:r w:rsidR="00B30C47">
          <w:rPr>
            <w:webHidden/>
          </w:rPr>
        </w:r>
        <w:r w:rsidR="00B30C47">
          <w:rPr>
            <w:webHidden/>
          </w:rPr>
          <w:fldChar w:fldCharType="separate"/>
        </w:r>
        <w:r w:rsidR="00B30C47">
          <w:rPr>
            <w:webHidden/>
          </w:rPr>
          <w:t>69</w:t>
        </w:r>
        <w:r w:rsidR="00B30C47">
          <w:rPr>
            <w:webHidden/>
          </w:rPr>
          <w:fldChar w:fldCharType="end"/>
        </w:r>
      </w:hyperlink>
    </w:p>
    <w:p w14:paraId="002EDFF0" w14:textId="497E217E" w:rsidR="00B30C47" w:rsidRDefault="005D06D9">
      <w:pPr>
        <w:pStyle w:val="TOC2"/>
        <w:rPr>
          <w:rFonts w:asciiTheme="minorHAnsi" w:eastAsiaTheme="minorEastAsia" w:hAnsiTheme="minorHAnsi" w:cstheme="minorBidi"/>
          <w:spacing w:val="0"/>
          <w:sz w:val="22"/>
          <w:szCs w:val="22"/>
        </w:rPr>
      </w:pPr>
      <w:hyperlink w:anchor="_Toc5025750" w:history="1">
        <w:r w:rsidR="00B30C47" w:rsidRPr="00156697">
          <w:rPr>
            <w:rStyle w:val="Hyperlink"/>
          </w:rPr>
          <w:t>New/ongoing activities planned for 2019–20</w:t>
        </w:r>
        <w:r w:rsidR="00B30C47">
          <w:rPr>
            <w:webHidden/>
          </w:rPr>
          <w:tab/>
        </w:r>
        <w:r w:rsidR="00B30C47">
          <w:rPr>
            <w:webHidden/>
          </w:rPr>
          <w:fldChar w:fldCharType="begin"/>
        </w:r>
        <w:r w:rsidR="00B30C47">
          <w:rPr>
            <w:webHidden/>
          </w:rPr>
          <w:instrText xml:space="preserve"> PAGEREF _Toc5025750 \h </w:instrText>
        </w:r>
        <w:r w:rsidR="00B30C47">
          <w:rPr>
            <w:webHidden/>
          </w:rPr>
        </w:r>
        <w:r w:rsidR="00B30C47">
          <w:rPr>
            <w:webHidden/>
          </w:rPr>
          <w:fldChar w:fldCharType="separate"/>
        </w:r>
        <w:r w:rsidR="00B30C47">
          <w:rPr>
            <w:webHidden/>
          </w:rPr>
          <w:t>69</w:t>
        </w:r>
        <w:r w:rsidR="00B30C47">
          <w:rPr>
            <w:webHidden/>
          </w:rPr>
          <w:fldChar w:fldCharType="end"/>
        </w:r>
      </w:hyperlink>
    </w:p>
    <w:p w14:paraId="2151B60F" w14:textId="4DEE521B" w:rsidR="00B30C47" w:rsidRDefault="005D06D9">
      <w:pPr>
        <w:pStyle w:val="TOC1"/>
        <w:rPr>
          <w:rFonts w:asciiTheme="minorHAnsi" w:eastAsiaTheme="minorEastAsia" w:hAnsiTheme="minorHAnsi" w:cstheme="minorBidi"/>
          <w:b w:val="0"/>
          <w:spacing w:val="0"/>
          <w:sz w:val="22"/>
          <w:szCs w:val="22"/>
        </w:rPr>
      </w:pPr>
      <w:hyperlink w:anchor="_Toc5025751" w:history="1">
        <w:r w:rsidR="00B30C47" w:rsidRPr="00156697">
          <w:rPr>
            <w:rStyle w:val="Hyperlink"/>
          </w:rPr>
          <w:t>Invitation to comment</w:t>
        </w:r>
        <w:r w:rsidR="00B30C47">
          <w:rPr>
            <w:webHidden/>
          </w:rPr>
          <w:tab/>
        </w:r>
        <w:r w:rsidR="00B30C47">
          <w:rPr>
            <w:webHidden/>
          </w:rPr>
          <w:fldChar w:fldCharType="begin"/>
        </w:r>
        <w:r w:rsidR="00B30C47">
          <w:rPr>
            <w:webHidden/>
          </w:rPr>
          <w:instrText xml:space="preserve"> PAGEREF _Toc5025751 \h </w:instrText>
        </w:r>
        <w:r w:rsidR="00B30C47">
          <w:rPr>
            <w:webHidden/>
          </w:rPr>
        </w:r>
        <w:r w:rsidR="00B30C47">
          <w:rPr>
            <w:webHidden/>
          </w:rPr>
          <w:fldChar w:fldCharType="separate"/>
        </w:r>
        <w:r w:rsidR="00B30C47">
          <w:rPr>
            <w:webHidden/>
          </w:rPr>
          <w:t>70</w:t>
        </w:r>
        <w:r w:rsidR="00B30C47">
          <w:rPr>
            <w:webHidden/>
          </w:rPr>
          <w:fldChar w:fldCharType="end"/>
        </w:r>
      </w:hyperlink>
    </w:p>
    <w:p w14:paraId="56C215F2" w14:textId="458BDDEE" w:rsidR="00B30C47" w:rsidRDefault="005D06D9">
      <w:pPr>
        <w:pStyle w:val="TOC2"/>
        <w:rPr>
          <w:rFonts w:asciiTheme="minorHAnsi" w:eastAsiaTheme="minorEastAsia" w:hAnsiTheme="minorHAnsi" w:cstheme="minorBidi"/>
          <w:spacing w:val="0"/>
          <w:sz w:val="22"/>
          <w:szCs w:val="22"/>
        </w:rPr>
      </w:pPr>
      <w:hyperlink w:anchor="_Toc5025752" w:history="1">
        <w:r w:rsidR="00B30C47" w:rsidRPr="00156697">
          <w:rPr>
            <w:rStyle w:val="Hyperlink"/>
          </w:rPr>
          <w:t>Making a submission</w:t>
        </w:r>
        <w:r w:rsidR="00B30C47">
          <w:rPr>
            <w:webHidden/>
          </w:rPr>
          <w:tab/>
        </w:r>
        <w:r w:rsidR="00B30C47">
          <w:rPr>
            <w:webHidden/>
          </w:rPr>
          <w:fldChar w:fldCharType="begin"/>
        </w:r>
        <w:r w:rsidR="00B30C47">
          <w:rPr>
            <w:webHidden/>
          </w:rPr>
          <w:instrText xml:space="preserve"> PAGEREF _Toc5025752 \h </w:instrText>
        </w:r>
        <w:r w:rsidR="00B30C47">
          <w:rPr>
            <w:webHidden/>
          </w:rPr>
        </w:r>
        <w:r w:rsidR="00B30C47">
          <w:rPr>
            <w:webHidden/>
          </w:rPr>
          <w:fldChar w:fldCharType="separate"/>
        </w:r>
        <w:r w:rsidR="00B30C47">
          <w:rPr>
            <w:webHidden/>
          </w:rPr>
          <w:t>70</w:t>
        </w:r>
        <w:r w:rsidR="00B30C47">
          <w:rPr>
            <w:webHidden/>
          </w:rPr>
          <w:fldChar w:fldCharType="end"/>
        </w:r>
      </w:hyperlink>
    </w:p>
    <w:p w14:paraId="6ED0CB7D" w14:textId="191902FF" w:rsidR="00B30C47" w:rsidRDefault="005D06D9">
      <w:pPr>
        <w:pStyle w:val="TOC1"/>
        <w:rPr>
          <w:rFonts w:asciiTheme="minorHAnsi" w:eastAsiaTheme="minorEastAsia" w:hAnsiTheme="minorHAnsi" w:cstheme="minorBidi"/>
          <w:b w:val="0"/>
          <w:spacing w:val="0"/>
          <w:sz w:val="22"/>
          <w:szCs w:val="22"/>
        </w:rPr>
      </w:pPr>
      <w:hyperlink w:anchor="_Toc5025753" w:history="1">
        <w:r w:rsidR="00B30C47" w:rsidRPr="00156697">
          <w:rPr>
            <w:rStyle w:val="Hyperlink"/>
          </w:rPr>
          <w:t>Appendix A—Sunsetting instruments</w:t>
        </w:r>
        <w:r w:rsidR="00B30C47">
          <w:rPr>
            <w:webHidden/>
          </w:rPr>
          <w:tab/>
        </w:r>
        <w:r w:rsidR="00B30C47">
          <w:rPr>
            <w:webHidden/>
          </w:rPr>
          <w:fldChar w:fldCharType="begin"/>
        </w:r>
        <w:r w:rsidR="00B30C47">
          <w:rPr>
            <w:webHidden/>
          </w:rPr>
          <w:instrText xml:space="preserve"> PAGEREF _Toc5025753 \h </w:instrText>
        </w:r>
        <w:r w:rsidR="00B30C47">
          <w:rPr>
            <w:webHidden/>
          </w:rPr>
        </w:r>
        <w:r w:rsidR="00B30C47">
          <w:rPr>
            <w:webHidden/>
          </w:rPr>
          <w:fldChar w:fldCharType="separate"/>
        </w:r>
        <w:r w:rsidR="00B30C47">
          <w:rPr>
            <w:webHidden/>
          </w:rPr>
          <w:t>71</w:t>
        </w:r>
        <w:r w:rsidR="00B30C47">
          <w:rPr>
            <w:webHidden/>
          </w:rPr>
          <w:fldChar w:fldCharType="end"/>
        </w:r>
      </w:hyperlink>
    </w:p>
    <w:p w14:paraId="5B1B6DCC" w14:textId="04227961" w:rsidR="00B30C47" w:rsidRDefault="005D06D9">
      <w:pPr>
        <w:pStyle w:val="TOC2"/>
        <w:rPr>
          <w:rFonts w:asciiTheme="minorHAnsi" w:eastAsiaTheme="minorEastAsia" w:hAnsiTheme="minorHAnsi" w:cstheme="minorBidi"/>
          <w:spacing w:val="0"/>
          <w:sz w:val="22"/>
          <w:szCs w:val="22"/>
        </w:rPr>
      </w:pPr>
      <w:hyperlink w:anchor="_Toc5025754" w:history="1">
        <w:r w:rsidR="00B30C47" w:rsidRPr="00156697">
          <w:rPr>
            <w:rStyle w:val="Hyperlink"/>
          </w:rPr>
          <w:t>Radiocommunications-related instruments due to sunset in 2019–20</w:t>
        </w:r>
        <w:r w:rsidR="00B30C47">
          <w:rPr>
            <w:webHidden/>
          </w:rPr>
          <w:tab/>
        </w:r>
        <w:r w:rsidR="00B30C47">
          <w:rPr>
            <w:webHidden/>
          </w:rPr>
          <w:fldChar w:fldCharType="begin"/>
        </w:r>
        <w:r w:rsidR="00B30C47">
          <w:rPr>
            <w:webHidden/>
          </w:rPr>
          <w:instrText xml:space="preserve"> PAGEREF _Toc5025754 \h </w:instrText>
        </w:r>
        <w:r w:rsidR="00B30C47">
          <w:rPr>
            <w:webHidden/>
          </w:rPr>
        </w:r>
        <w:r w:rsidR="00B30C47">
          <w:rPr>
            <w:webHidden/>
          </w:rPr>
          <w:fldChar w:fldCharType="separate"/>
        </w:r>
        <w:r w:rsidR="00B30C47">
          <w:rPr>
            <w:webHidden/>
          </w:rPr>
          <w:t>71</w:t>
        </w:r>
        <w:r w:rsidR="00B30C47">
          <w:rPr>
            <w:webHidden/>
          </w:rPr>
          <w:fldChar w:fldCharType="end"/>
        </w:r>
      </w:hyperlink>
    </w:p>
    <w:p w14:paraId="41EC3D49" w14:textId="0F277B7F" w:rsidR="005A6EAB" w:rsidRDefault="00E26672">
      <w:pPr>
        <w:rPr>
          <w:rFonts w:cs="Arial"/>
          <w:noProof/>
          <w:spacing w:val="-14"/>
          <w:sz w:val="28"/>
          <w:szCs w:val="26"/>
        </w:rPr>
        <w:sectPr w:rsidR="005A6EAB" w:rsidSect="00E978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6"/>
          <w:szCs w:val="26"/>
        </w:rPr>
        <w:fldChar w:fldCharType="end"/>
      </w:r>
    </w:p>
    <w:p w14:paraId="1EF7E32D" w14:textId="618066AD" w:rsidR="009D6C71" w:rsidRPr="009174F3" w:rsidRDefault="00835321" w:rsidP="00DE694D">
      <w:pPr>
        <w:pStyle w:val="Heading1"/>
      </w:pPr>
      <w:bookmarkStart w:id="0" w:name="_Toc509581790"/>
      <w:bookmarkStart w:id="1" w:name="_Toc509585106"/>
      <w:bookmarkStart w:id="2" w:name="_Toc509585642"/>
      <w:bookmarkStart w:id="3" w:name="_Toc510104922"/>
      <w:bookmarkStart w:id="4" w:name="_Toc510105719"/>
      <w:bookmarkStart w:id="5" w:name="_Toc510795062"/>
      <w:bookmarkStart w:id="6" w:name="_Toc511716263"/>
      <w:bookmarkStart w:id="7" w:name="_Toc511719074"/>
      <w:bookmarkStart w:id="8" w:name="_Toc522794069"/>
      <w:bookmarkStart w:id="9" w:name="_Toc5025649"/>
      <w:r>
        <w:lastRenderedPageBreak/>
        <w:t>Foreword</w:t>
      </w:r>
      <w:bookmarkEnd w:id="0"/>
      <w:bookmarkEnd w:id="1"/>
      <w:bookmarkEnd w:id="2"/>
      <w:bookmarkEnd w:id="3"/>
      <w:bookmarkEnd w:id="4"/>
      <w:bookmarkEnd w:id="5"/>
      <w:bookmarkEnd w:id="6"/>
      <w:bookmarkEnd w:id="7"/>
      <w:bookmarkEnd w:id="8"/>
      <w:bookmarkEnd w:id="9"/>
      <w:r w:rsidR="009D6C71" w:rsidRPr="009174F3">
        <w:t xml:space="preserve"> </w:t>
      </w:r>
    </w:p>
    <w:p w14:paraId="2C5C5199" w14:textId="0572458C" w:rsidR="00E02187" w:rsidRDefault="00F07402" w:rsidP="00BD5B28">
      <w:r>
        <w:t>Spectrum use</w:t>
      </w:r>
      <w:r w:rsidR="00BC79B9">
        <w:t xml:space="preserve"> </w:t>
      </w:r>
      <w:r>
        <w:t>continue</w:t>
      </w:r>
      <w:r w:rsidR="00BC79B9">
        <w:t>s</w:t>
      </w:r>
      <w:r>
        <w:t xml:space="preserve"> to evolve rapidly in Australia. The </w:t>
      </w:r>
      <w:r w:rsidR="00DE2074">
        <w:t>Australian Communications and Media Authority (</w:t>
      </w:r>
      <w:r>
        <w:t>ACMA</w:t>
      </w:r>
      <w:r w:rsidR="00DE2074">
        <w:t>)</w:t>
      </w:r>
      <w:r>
        <w:t xml:space="preserve"> is Australia’s spectrum manager and is responsible for ensuring radiofrequency spectrum is managed in a way that maximises the</w:t>
      </w:r>
      <w:r w:rsidR="00FE15F4">
        <w:t xml:space="preserve"> </w:t>
      </w:r>
      <w:r>
        <w:t>overall public benefit</w:t>
      </w:r>
      <w:r w:rsidR="00A323F5">
        <w:t xml:space="preserve"> </w:t>
      </w:r>
      <w:r>
        <w:t>derived</w:t>
      </w:r>
      <w:r w:rsidR="00003CFD">
        <w:t xml:space="preserve"> from using the spectrum</w:t>
      </w:r>
      <w:r>
        <w:t>.</w:t>
      </w:r>
      <w:r w:rsidR="00EA7FD9">
        <w:t xml:space="preserve"> </w:t>
      </w:r>
    </w:p>
    <w:p w14:paraId="37CFD2FA" w14:textId="1E971ABE" w:rsidR="00F07402" w:rsidRDefault="0033081E" w:rsidP="00BD5B28">
      <w:r>
        <w:t>W</w:t>
      </w:r>
      <w:r w:rsidR="00EA7FD9">
        <w:t xml:space="preserve">e are </w:t>
      </w:r>
      <w:r w:rsidR="000D5AAB">
        <w:t xml:space="preserve">continually </w:t>
      </w:r>
      <w:r w:rsidR="00EA7FD9">
        <w:t xml:space="preserve">monitoring </w:t>
      </w:r>
      <w:r w:rsidR="00FA3993">
        <w:t xml:space="preserve">the </w:t>
      </w:r>
      <w:r w:rsidR="00EA7FD9">
        <w:t>environment to identify opportunities for improvements in spectrum management arrangements</w:t>
      </w:r>
      <w:r w:rsidR="00FA3993">
        <w:t>,</w:t>
      </w:r>
      <w:r w:rsidR="00003CFD">
        <w:t xml:space="preserve"> and</w:t>
      </w:r>
      <w:r w:rsidR="00FA3993">
        <w:t xml:space="preserve"> accommodating new and changed uses of spectrum</w:t>
      </w:r>
      <w:r w:rsidR="00EA7FD9">
        <w:t xml:space="preserve"> while ensuring the continuation of existing uses of spectrum </w:t>
      </w:r>
      <w:r w:rsidR="00750719">
        <w:t xml:space="preserve">that are </w:t>
      </w:r>
      <w:r w:rsidR="00EA7FD9">
        <w:t>of value to the community.</w:t>
      </w:r>
    </w:p>
    <w:p w14:paraId="2F318477" w14:textId="51D99A23" w:rsidR="00E02187" w:rsidRDefault="004E59BE" w:rsidP="00BD5B28">
      <w:r>
        <w:t xml:space="preserve">The year </w:t>
      </w:r>
      <w:r w:rsidR="000F3E26">
        <w:t>2019 is a World Radiocommunication Con</w:t>
      </w:r>
      <w:r w:rsidR="006C3CD8">
        <w:t>ference</w:t>
      </w:r>
      <w:r w:rsidR="000F3E26">
        <w:t xml:space="preserve"> (WRC) year. WRC</w:t>
      </w:r>
      <w:r w:rsidR="008131EB">
        <w:t>s</w:t>
      </w:r>
      <w:r w:rsidR="000D5AAB">
        <w:t xml:space="preserve"> are scheduled every </w:t>
      </w:r>
      <w:r w:rsidR="00C44E73">
        <w:t>three</w:t>
      </w:r>
      <w:r>
        <w:t xml:space="preserve"> to </w:t>
      </w:r>
      <w:r w:rsidR="000F3E26">
        <w:t xml:space="preserve">four years and </w:t>
      </w:r>
      <w:r w:rsidR="00E02187">
        <w:t xml:space="preserve">are </w:t>
      </w:r>
      <w:r w:rsidR="000F3E26">
        <w:t xml:space="preserve">the most important forum for international harmonisation of spectrum use and planning. </w:t>
      </w:r>
    </w:p>
    <w:p w14:paraId="4283A266" w14:textId="75ACB1D4" w:rsidR="000F3E26" w:rsidRDefault="00FA3993" w:rsidP="00BD5B28">
      <w:r>
        <w:t>W</w:t>
      </w:r>
      <w:r w:rsidR="000F3E26">
        <w:t xml:space="preserve">orking with the Department of Communications and the Arts </w:t>
      </w:r>
      <w:r w:rsidR="00DE2074">
        <w:t>(</w:t>
      </w:r>
      <w:proofErr w:type="spellStart"/>
      <w:r w:rsidR="00DE2074">
        <w:t>DoCA</w:t>
      </w:r>
      <w:proofErr w:type="spellEnd"/>
      <w:r w:rsidR="00DE2074">
        <w:t>)</w:t>
      </w:r>
      <w:r w:rsidR="000F3E26">
        <w:t xml:space="preserve"> to ensure Australia’s interests are best represented at the </w:t>
      </w:r>
      <w:r w:rsidR="00037A1C">
        <w:rPr>
          <w:lang w:val="en-US"/>
        </w:rPr>
        <w:t>World Radiocommunication Conference 2019 (WRC-19</w:t>
      </w:r>
      <w:r w:rsidR="00037A1C">
        <w:t>)</w:t>
      </w:r>
      <w:r w:rsidR="000F3E26">
        <w:t xml:space="preserve"> in October</w:t>
      </w:r>
      <w:r w:rsidR="00A16D29">
        <w:t xml:space="preserve"> and </w:t>
      </w:r>
      <w:r w:rsidR="000F3E26">
        <w:t>November</w:t>
      </w:r>
      <w:r w:rsidR="004E59BE">
        <w:t>—</w:t>
      </w:r>
      <w:r w:rsidR="000F3E26">
        <w:t xml:space="preserve">and then </w:t>
      </w:r>
      <w:r w:rsidR="00A16D29">
        <w:t xml:space="preserve">commencing work on the identification and </w:t>
      </w:r>
      <w:r w:rsidR="000F3E26">
        <w:t>implement</w:t>
      </w:r>
      <w:r w:rsidR="00A16D29">
        <w:t>ation of</w:t>
      </w:r>
      <w:r w:rsidR="000F3E26">
        <w:t xml:space="preserve"> relevant outcomes in our domestic planning arrangements</w:t>
      </w:r>
      <w:r w:rsidR="004E59BE">
        <w:t>—</w:t>
      </w:r>
      <w:r w:rsidR="000F3E26">
        <w:t>will be key priorit</w:t>
      </w:r>
      <w:r w:rsidR="00A16D29">
        <w:t>ies</w:t>
      </w:r>
      <w:r w:rsidR="000F3E26">
        <w:t xml:space="preserve"> for the ACMA in 2019</w:t>
      </w:r>
      <w:r w:rsidR="002D7978">
        <w:t>–</w:t>
      </w:r>
      <w:r w:rsidR="000F3E26">
        <w:t>20.</w:t>
      </w:r>
    </w:p>
    <w:p w14:paraId="1489CD95" w14:textId="044EF2C4" w:rsidR="00E309B2" w:rsidRDefault="00E309B2" w:rsidP="00E309B2">
      <w:r>
        <w:t xml:space="preserve">Advances in new technologies are a key driver of changes in spectrum use, along with increasing recognition of the value of wireless, mobile and satellite services across the economy. </w:t>
      </w:r>
    </w:p>
    <w:p w14:paraId="298A321B" w14:textId="78F9ED94" w:rsidR="000F3E26" w:rsidRDefault="000F3E26" w:rsidP="00BD5B28">
      <w:r>
        <w:t xml:space="preserve">The ACMA continues to </w:t>
      </w:r>
      <w:r w:rsidR="00FA3993">
        <w:t>facilitate</w:t>
      </w:r>
      <w:r>
        <w:t xml:space="preserve"> the </w:t>
      </w:r>
      <w:r w:rsidR="00FA3993">
        <w:t>use</w:t>
      </w:r>
      <w:r>
        <w:t xml:space="preserve"> of 5G services by identifying appropriate spectrum bands and putting in place the </w:t>
      </w:r>
      <w:r w:rsidR="004E59BE">
        <w:t xml:space="preserve">consultation </w:t>
      </w:r>
      <w:r>
        <w:t xml:space="preserve">necessary to make </w:t>
      </w:r>
      <w:r w:rsidR="00FA3993">
        <w:t>sound</w:t>
      </w:r>
      <w:r>
        <w:t xml:space="preserve"> decisions that will support</w:t>
      </w:r>
      <w:r w:rsidR="00A16D29">
        <w:t xml:space="preserve"> the development of</w:t>
      </w:r>
      <w:r>
        <w:t xml:space="preserve"> 5G and other evolving wireless technologies</w:t>
      </w:r>
      <w:r w:rsidR="00A16D29">
        <w:t xml:space="preserve"> in Australia</w:t>
      </w:r>
      <w:r>
        <w:t>.</w:t>
      </w:r>
    </w:p>
    <w:p w14:paraId="26D2FE08" w14:textId="61898DE0" w:rsidR="003A06EE" w:rsidRDefault="007D26B6" w:rsidP="00BD5B28">
      <w:r>
        <w:t xml:space="preserve">Managing spectrum efficiently and effectively for the benefit of all Australians is a key priority for </w:t>
      </w:r>
      <w:r w:rsidR="000020A8">
        <w:t>the ACMA</w:t>
      </w:r>
      <w:r w:rsidR="00AA64B0">
        <w:t>,</w:t>
      </w:r>
      <w:r w:rsidR="00910B21">
        <w:t xml:space="preserve"> as outlined in our corporate plan</w:t>
      </w:r>
      <w:r w:rsidR="00365525">
        <w:t>.</w:t>
      </w:r>
      <w:r w:rsidR="00B62FA6">
        <w:rPr>
          <w:rStyle w:val="FootnoteReference"/>
        </w:rPr>
        <w:footnoteReference w:id="2"/>
      </w:r>
      <w:r w:rsidR="00BD5B28" w:rsidRPr="00A30CFC">
        <w:t xml:space="preserve"> </w:t>
      </w:r>
      <w:r w:rsidR="000020A8">
        <w:t xml:space="preserve">The </w:t>
      </w:r>
      <w:r w:rsidR="00B33B81">
        <w:t xml:space="preserve">ACMA needs </w:t>
      </w:r>
      <w:r w:rsidR="00AA1CF5">
        <w:t xml:space="preserve">an accurate </w:t>
      </w:r>
      <w:r w:rsidR="00B33B81">
        <w:t>u</w:t>
      </w:r>
      <w:r w:rsidR="0065583E">
        <w:t xml:space="preserve">nderstanding </w:t>
      </w:r>
      <w:r w:rsidR="00B33B81">
        <w:t xml:space="preserve">of </w:t>
      </w:r>
      <w:r w:rsidR="00AA1CF5">
        <w:t>c</w:t>
      </w:r>
      <w:r w:rsidR="006F2B02">
        <w:t xml:space="preserve">hanges </w:t>
      </w:r>
      <w:r w:rsidR="00B33B81">
        <w:t xml:space="preserve">in </w:t>
      </w:r>
      <w:r w:rsidR="0065583E">
        <w:t>technology and market demand</w:t>
      </w:r>
      <w:r w:rsidR="004E2B83">
        <w:t>—</w:t>
      </w:r>
      <w:r w:rsidR="00AA1CF5">
        <w:t>for new and existing spectrum use</w:t>
      </w:r>
      <w:r w:rsidR="004E2B83">
        <w:t>—</w:t>
      </w:r>
      <w:r w:rsidR="00B33B81">
        <w:t xml:space="preserve">to </w:t>
      </w:r>
      <w:r w:rsidR="0065583E">
        <w:t xml:space="preserve">inform the way </w:t>
      </w:r>
      <w:r w:rsidR="00A140B6">
        <w:t xml:space="preserve">we </w:t>
      </w:r>
      <w:r w:rsidR="00B33B81">
        <w:t>p</w:t>
      </w:r>
      <w:r w:rsidR="0065583E">
        <w:t>lan and make spectrum available.</w:t>
      </w:r>
      <w:r w:rsidR="00AA1CF5">
        <w:t xml:space="preserve"> We rely heavily on spectrum users to keep us informed.</w:t>
      </w:r>
      <w:r w:rsidR="002D1D48">
        <w:t xml:space="preserve"> </w:t>
      </w:r>
      <w:r w:rsidR="00B34BDB">
        <w:t>Our performance in spectrum management is measured in our annual report.</w:t>
      </w:r>
      <w:r w:rsidR="00B62FA6">
        <w:rPr>
          <w:rStyle w:val="FootnoteReference"/>
        </w:rPr>
        <w:footnoteReference w:id="3"/>
      </w:r>
      <w:r w:rsidR="00B34BDB">
        <w:t xml:space="preserve"> </w:t>
      </w:r>
    </w:p>
    <w:p w14:paraId="179FE35E" w14:textId="728E9F0D" w:rsidR="00F07402" w:rsidRDefault="00835321" w:rsidP="00EC5C76">
      <w:r>
        <w:t>The</w:t>
      </w:r>
      <w:r w:rsidR="00E14131">
        <w:t xml:space="preserve"> </w:t>
      </w:r>
      <w:r>
        <w:t>ACMA has co</w:t>
      </w:r>
      <w:r w:rsidR="00B33B81">
        <w:t xml:space="preserve">nsulted annually with industry about </w:t>
      </w:r>
      <w:r>
        <w:t xml:space="preserve">its spectrum management priorities through its </w:t>
      </w:r>
      <w:r w:rsidR="00E14131">
        <w:t>f</w:t>
      </w:r>
      <w:r>
        <w:t>ive</w:t>
      </w:r>
      <w:r w:rsidR="00E14131">
        <w:t>-y</w:t>
      </w:r>
      <w:r>
        <w:t xml:space="preserve">ear </w:t>
      </w:r>
      <w:r w:rsidR="00E14131">
        <w:t>s</w:t>
      </w:r>
      <w:r>
        <w:t xml:space="preserve">pectrum </w:t>
      </w:r>
      <w:r w:rsidR="00E14131">
        <w:t>o</w:t>
      </w:r>
      <w:r>
        <w:t xml:space="preserve">utlook (FYSO) since 2009. </w:t>
      </w:r>
      <w:r w:rsidR="003A06EE">
        <w:t>Last year</w:t>
      </w:r>
      <w:r w:rsidR="00A140B6">
        <w:t>,</w:t>
      </w:r>
      <w:r w:rsidR="003A06EE">
        <w:t xml:space="preserve"> we </w:t>
      </w:r>
      <w:r w:rsidR="00EA7FD9">
        <w:t>refreshed our approach to the FYSO by publishing a draft FYSO for consultation ahead of settling the final FYSO</w:t>
      </w:r>
      <w:r w:rsidR="00DE2074">
        <w:t>.</w:t>
      </w:r>
      <w:r w:rsidR="00EA7FD9">
        <w:t xml:space="preserve"> This</w:t>
      </w:r>
      <w:r w:rsidR="00EA7FD9" w:rsidDel="00322801">
        <w:t xml:space="preserve"> </w:t>
      </w:r>
      <w:r w:rsidR="00EA7FD9">
        <w:t>draft FYSO 2019</w:t>
      </w:r>
      <w:r w:rsidR="00DE2074">
        <w:t>–</w:t>
      </w:r>
      <w:r w:rsidR="00EA7FD9">
        <w:t>23 continues this approach by proposing a draft work program for consultation. Based on feedback and further analysis of key spectrum management priorities, the ACMA will publish a final FYSO 2019</w:t>
      </w:r>
      <w:r w:rsidR="00DE2074">
        <w:t>–</w:t>
      </w:r>
      <w:r w:rsidR="00EA7FD9">
        <w:t xml:space="preserve">23 </w:t>
      </w:r>
      <w:r w:rsidR="00EA7FD9" w:rsidRPr="00E03470">
        <w:t>early in the 2019</w:t>
      </w:r>
      <w:r w:rsidR="00DE2074" w:rsidRPr="00E03470">
        <w:t>–</w:t>
      </w:r>
      <w:r w:rsidR="00EA7FD9" w:rsidRPr="00E03470">
        <w:t>20</w:t>
      </w:r>
      <w:r w:rsidR="00A16D29">
        <w:t xml:space="preserve"> financial</w:t>
      </w:r>
      <w:r w:rsidR="00EA7FD9" w:rsidRPr="00E03470">
        <w:t xml:space="preserve"> year</w:t>
      </w:r>
      <w:r w:rsidR="00EA7FD9">
        <w:t>.</w:t>
      </w:r>
      <w:r w:rsidR="00172EB0" w:rsidRPr="00A30CFC">
        <w:t xml:space="preserve"> </w:t>
      </w:r>
    </w:p>
    <w:p w14:paraId="0E9FFD78" w14:textId="5140C976" w:rsidR="00E53A2F" w:rsidRDefault="00E53A2F" w:rsidP="00DE694D">
      <w:pPr>
        <w:keepNext/>
        <w:keepLines/>
        <w:spacing w:after="120"/>
      </w:pPr>
      <w:r>
        <w:lastRenderedPageBreak/>
        <w:t>The FYSO is set out in three main parts:</w:t>
      </w:r>
    </w:p>
    <w:p w14:paraId="3D7D81A5" w14:textId="10E2BEF8" w:rsidR="00E53A2F" w:rsidRDefault="000D5AAB" w:rsidP="00DE694D">
      <w:pPr>
        <w:pStyle w:val="ListParagraph"/>
        <w:keepNext/>
        <w:keepLines/>
        <w:numPr>
          <w:ilvl w:val="0"/>
          <w:numId w:val="13"/>
        </w:numPr>
      </w:pPr>
      <w:r w:rsidRPr="00EC5C76">
        <w:rPr>
          <w:rStyle w:val="Hyperlink"/>
          <w:color w:val="auto"/>
          <w:u w:val="none"/>
        </w:rPr>
        <w:t>At a glance</w:t>
      </w:r>
      <w:r w:rsidR="00DE2074">
        <w:t>—</w:t>
      </w:r>
      <w:r w:rsidR="001E67A0">
        <w:t>summarises</w:t>
      </w:r>
      <w:r w:rsidR="00E53A2F">
        <w:t xml:space="preserve"> the ACMA’s </w:t>
      </w:r>
      <w:r w:rsidR="00E53A2F" w:rsidRPr="00E53A2F">
        <w:rPr>
          <w:rFonts w:cs="Arial"/>
        </w:rPr>
        <w:t>activities proposed for 2019–20</w:t>
      </w:r>
      <w:r w:rsidR="00DB1B8C">
        <w:rPr>
          <w:rFonts w:cs="Arial"/>
        </w:rPr>
        <w:t>.</w:t>
      </w:r>
    </w:p>
    <w:p w14:paraId="51370FB7" w14:textId="65C4E97D" w:rsidR="00F63016" w:rsidRDefault="000D5AAB" w:rsidP="00DE694D">
      <w:pPr>
        <w:pStyle w:val="ListParagraph"/>
        <w:keepNext/>
        <w:keepLines/>
        <w:numPr>
          <w:ilvl w:val="0"/>
          <w:numId w:val="13"/>
        </w:numPr>
        <w:spacing w:line="240" w:lineRule="auto"/>
      </w:pPr>
      <w:r w:rsidRPr="00EC5C76">
        <w:rPr>
          <w:rStyle w:val="Hyperlink"/>
          <w:color w:val="auto"/>
          <w:u w:val="none"/>
        </w:rPr>
        <w:t>Part 1</w:t>
      </w:r>
      <w:r w:rsidR="00DE2074">
        <w:t>—</w:t>
      </w:r>
      <w:r w:rsidR="00DB1B8C">
        <w:t xml:space="preserve">provides an </w:t>
      </w:r>
      <w:r w:rsidR="00791A35">
        <w:t xml:space="preserve">overview of the technology, market and policy drivers likely to shape the </w:t>
      </w:r>
      <w:r w:rsidR="00791A35" w:rsidDel="006A2512">
        <w:t>demand</w:t>
      </w:r>
      <w:r w:rsidR="006A2512">
        <w:t xml:space="preserve"> of</w:t>
      </w:r>
      <w:r w:rsidR="00791A35" w:rsidDel="006A2512">
        <w:t xml:space="preserve"> </w:t>
      </w:r>
      <w:r w:rsidR="00791A35">
        <w:t>spectrum over the next five years</w:t>
      </w:r>
      <w:r w:rsidR="00DB1B8C">
        <w:t xml:space="preserve">. </w:t>
      </w:r>
    </w:p>
    <w:p w14:paraId="3C07E0FC" w14:textId="0FD6B788" w:rsidR="008446E0" w:rsidRDefault="000D5AAB" w:rsidP="00DE694D">
      <w:pPr>
        <w:pStyle w:val="ListParagraph"/>
        <w:keepNext/>
        <w:keepLines/>
        <w:numPr>
          <w:ilvl w:val="0"/>
          <w:numId w:val="13"/>
        </w:numPr>
        <w:spacing w:after="0" w:line="240" w:lineRule="auto"/>
      </w:pPr>
      <w:r w:rsidRPr="00EC5C76">
        <w:rPr>
          <w:rStyle w:val="Hyperlink"/>
          <w:color w:val="auto"/>
          <w:u w:val="none"/>
        </w:rPr>
        <w:t>Part 2</w:t>
      </w:r>
      <w:r w:rsidR="00DE2074">
        <w:t>—</w:t>
      </w:r>
      <w:r w:rsidR="00DB1B8C">
        <w:t xml:space="preserve">gives </w:t>
      </w:r>
      <w:r w:rsidR="00791A35">
        <w:t xml:space="preserve">detailed information about the ACMA’s planned work priorities </w:t>
      </w:r>
      <w:r w:rsidR="00B74E7A">
        <w:t>for the 2019</w:t>
      </w:r>
      <w:r w:rsidR="00DE2074">
        <w:t>–</w:t>
      </w:r>
      <w:r w:rsidR="00B74E7A">
        <w:t xml:space="preserve">20 year relating </w:t>
      </w:r>
      <w:r w:rsidR="00791A35">
        <w:t>to spectrum planning, forward allocation</w:t>
      </w:r>
      <w:r w:rsidR="00B74E7A">
        <w:t>,</w:t>
      </w:r>
      <w:r w:rsidR="00791A35">
        <w:t xml:space="preserve"> </w:t>
      </w:r>
      <w:r w:rsidR="00446D9B">
        <w:t xml:space="preserve">spectrum management </w:t>
      </w:r>
      <w:r w:rsidR="00173EC1">
        <w:t>improvements</w:t>
      </w:r>
      <w:r w:rsidR="00791A35" w:rsidRPr="00B72C4A">
        <w:t>,</w:t>
      </w:r>
      <w:r w:rsidR="00B74E7A">
        <w:t xml:space="preserve"> licensing, pricing and compliance</w:t>
      </w:r>
      <w:r w:rsidR="00DB1B8C">
        <w:t>,</w:t>
      </w:r>
      <w:r w:rsidR="00B74E7A">
        <w:t xml:space="preserve"> and enforcemen</w:t>
      </w:r>
      <w:r w:rsidR="00DB1B8C">
        <w:t>t—</w:t>
      </w:r>
      <w:r w:rsidR="00B74E7A">
        <w:t>recognising</w:t>
      </w:r>
      <w:r w:rsidR="00B74E7A" w:rsidRPr="00B72C4A">
        <w:t xml:space="preserve"> </w:t>
      </w:r>
      <w:r w:rsidR="00791A35" w:rsidRPr="00B72C4A">
        <w:t xml:space="preserve">that these work streams </w:t>
      </w:r>
      <w:r w:rsidR="00B74E7A">
        <w:t xml:space="preserve">sometimes include </w:t>
      </w:r>
      <w:r w:rsidR="00791A35" w:rsidRPr="00B72C4A">
        <w:t>multi-year activities.</w:t>
      </w:r>
    </w:p>
    <w:p w14:paraId="76E272B2" w14:textId="51926A57" w:rsidR="008446E0" w:rsidRDefault="008446E0" w:rsidP="008446E0">
      <w:pPr>
        <w:pStyle w:val="Heading1"/>
      </w:pPr>
      <w:bookmarkStart w:id="10" w:name="_Toc514156759"/>
      <w:bookmarkStart w:id="11" w:name="_Toc5025650"/>
      <w:r>
        <w:lastRenderedPageBreak/>
        <w:t>I</w:t>
      </w:r>
      <w:r w:rsidR="00ED201B">
        <w:t>ssues for comment</w:t>
      </w:r>
      <w:bookmarkEnd w:id="10"/>
      <w:bookmarkEnd w:id="11"/>
    </w:p>
    <w:p w14:paraId="6856FE23" w14:textId="6DD33419" w:rsidR="008446E0" w:rsidRDefault="008446E0" w:rsidP="008446E0">
      <w:pPr>
        <w:spacing w:after="80"/>
      </w:pPr>
      <w:r w:rsidRPr="005E7226">
        <w:t xml:space="preserve">The ACMA invites comments on the issues set out </w:t>
      </w:r>
      <w:r>
        <w:t>i</w:t>
      </w:r>
      <w:r w:rsidRPr="00A30CFC">
        <w:t xml:space="preserve">n </w:t>
      </w:r>
      <w:r>
        <w:t xml:space="preserve">this draft FYSO </w:t>
      </w:r>
      <w:r w:rsidR="00ED201B">
        <w:t>2019–23</w:t>
      </w:r>
      <w:r>
        <w:t xml:space="preserve">. </w:t>
      </w:r>
      <w:r w:rsidR="003350FD">
        <w:t>S</w:t>
      </w:r>
      <w:r>
        <w:t xml:space="preserve">pecific questions </w:t>
      </w:r>
      <w:r w:rsidR="00ED67AC">
        <w:t xml:space="preserve">are set out </w:t>
      </w:r>
      <w:r>
        <w:t>throughout the paper</w:t>
      </w:r>
      <w:r w:rsidR="00ED67AC">
        <w:t xml:space="preserve"> </w:t>
      </w:r>
      <w:r w:rsidR="002E0B37">
        <w:t xml:space="preserve">and are </w:t>
      </w:r>
      <w:r>
        <w:t>collated below:</w:t>
      </w:r>
    </w:p>
    <w:p w14:paraId="74AFEC24" w14:textId="39DFD0C2" w:rsidR="008446E0" w:rsidRPr="00DE694D" w:rsidRDefault="00B60BFA" w:rsidP="00D7755E">
      <w:pPr>
        <w:pStyle w:val="ListNumber"/>
        <w:shd w:val="clear" w:color="auto" w:fill="auto"/>
        <w:ind w:left="357" w:hanging="357"/>
        <w:rPr>
          <w:rFonts w:eastAsiaTheme="majorEastAsia"/>
          <w:b w:val="0"/>
        </w:rPr>
      </w:pPr>
      <w:r w:rsidRPr="00DE694D">
        <w:rPr>
          <w:b w:val="0"/>
        </w:rPr>
        <w:t xml:space="preserve">What </w:t>
      </w:r>
      <w:r w:rsidR="008446E0" w:rsidRPr="00DE694D">
        <w:rPr>
          <w:b w:val="0"/>
        </w:rPr>
        <w:t xml:space="preserve">further improvements to the FYSO </w:t>
      </w:r>
      <w:r w:rsidRPr="00DE694D">
        <w:rPr>
          <w:b w:val="0"/>
        </w:rPr>
        <w:t xml:space="preserve">would </w:t>
      </w:r>
      <w:r w:rsidR="008446E0" w:rsidRPr="00DE694D">
        <w:rPr>
          <w:b w:val="0"/>
        </w:rPr>
        <w:t>make it easier for stakeholders to engage with the ACMA on its spectrum</w:t>
      </w:r>
      <w:r w:rsidR="00151518">
        <w:rPr>
          <w:b w:val="0"/>
        </w:rPr>
        <w:t xml:space="preserve"> management</w:t>
      </w:r>
      <w:r w:rsidR="008446E0" w:rsidRPr="00DE694D">
        <w:rPr>
          <w:b w:val="0"/>
        </w:rPr>
        <w:t xml:space="preserve"> work program? </w:t>
      </w:r>
    </w:p>
    <w:p w14:paraId="4CF7C721" w14:textId="58181E7D" w:rsidR="008446E0" w:rsidRPr="00DE694D" w:rsidRDefault="008446E0" w:rsidP="008446E0">
      <w:pPr>
        <w:pStyle w:val="ListNumber"/>
        <w:shd w:val="clear" w:color="auto" w:fill="auto"/>
        <w:ind w:left="284" w:hanging="284"/>
        <w:rPr>
          <w:rFonts w:eastAsiaTheme="majorEastAsia"/>
          <w:b w:val="0"/>
        </w:rPr>
      </w:pPr>
      <w:r w:rsidRPr="00DE694D">
        <w:rPr>
          <w:b w:val="0"/>
        </w:rPr>
        <w:t>Are there other technology developments or sources of spectrum demand</w:t>
      </w:r>
      <w:r w:rsidR="00E5686D" w:rsidRPr="00DE694D" w:rsidDel="009D6C54">
        <w:rPr>
          <w:b w:val="0"/>
        </w:rPr>
        <w:t xml:space="preserve"> </w:t>
      </w:r>
      <w:r w:rsidR="00E5686D" w:rsidRPr="00DE694D">
        <w:rPr>
          <w:b w:val="0"/>
        </w:rPr>
        <w:t>that</w:t>
      </w:r>
      <w:r w:rsidRPr="00DE694D">
        <w:rPr>
          <w:b w:val="0"/>
        </w:rPr>
        <w:t xml:space="preserve"> the ACMA should be aware of in considering spectrum management over the next five years?</w:t>
      </w:r>
    </w:p>
    <w:p w14:paraId="7919EC86" w14:textId="16711154" w:rsidR="00976AD3" w:rsidRPr="00DE694D" w:rsidRDefault="00976AD3" w:rsidP="008446E0">
      <w:pPr>
        <w:pStyle w:val="ListNumber"/>
        <w:shd w:val="clear" w:color="auto" w:fill="auto"/>
        <w:ind w:left="284" w:hanging="284"/>
        <w:rPr>
          <w:rFonts w:eastAsiaTheme="majorEastAsia"/>
          <w:b w:val="0"/>
        </w:rPr>
      </w:pPr>
      <w:r w:rsidRPr="00DE694D">
        <w:rPr>
          <w:b w:val="0"/>
        </w:rPr>
        <w:t>Do you have any comments about the ACMA’s planned international engagement activities?</w:t>
      </w:r>
    </w:p>
    <w:p w14:paraId="589F24EA" w14:textId="77777777" w:rsidR="008446E0" w:rsidRPr="00DE694D" w:rsidRDefault="008446E0" w:rsidP="008446E0">
      <w:pPr>
        <w:pStyle w:val="ListNumber"/>
        <w:shd w:val="clear" w:color="auto" w:fill="auto"/>
        <w:ind w:left="284" w:hanging="284"/>
        <w:rPr>
          <w:rFonts w:eastAsiaTheme="majorEastAsia"/>
          <w:b w:val="0"/>
        </w:rPr>
      </w:pPr>
      <w:r w:rsidRPr="00DE694D">
        <w:rPr>
          <w:b w:val="0"/>
        </w:rPr>
        <w:t xml:space="preserve">Do you have any feedback on the ACMA’s plans for monitoring, initial investigation, preliminary replanning or re-farming of bands? </w:t>
      </w:r>
    </w:p>
    <w:p w14:paraId="6C57FC5F" w14:textId="027F0695" w:rsidR="008446E0" w:rsidRPr="00DE694D" w:rsidRDefault="008446E0" w:rsidP="008446E0">
      <w:pPr>
        <w:pStyle w:val="ListNumber"/>
        <w:shd w:val="clear" w:color="auto" w:fill="auto"/>
        <w:ind w:left="284" w:hanging="284"/>
        <w:rPr>
          <w:rFonts w:eastAsiaTheme="majorEastAsia"/>
          <w:b w:val="0"/>
        </w:rPr>
      </w:pPr>
      <w:r w:rsidRPr="00DE694D">
        <w:rPr>
          <w:b w:val="0"/>
        </w:rPr>
        <w:t xml:space="preserve">Do you have any feedback on optimising established planning frameworks? </w:t>
      </w:r>
    </w:p>
    <w:p w14:paraId="0679C0C7" w14:textId="5FB76000" w:rsidR="008446E0" w:rsidRPr="00DE694D" w:rsidRDefault="008446E0" w:rsidP="008446E0">
      <w:pPr>
        <w:pStyle w:val="ListNumber"/>
        <w:shd w:val="clear" w:color="auto" w:fill="auto"/>
        <w:ind w:left="284" w:hanging="284"/>
        <w:rPr>
          <w:rFonts w:eastAsiaTheme="majorEastAsia"/>
          <w:b w:val="0"/>
        </w:rPr>
      </w:pPr>
      <w:bookmarkStart w:id="12" w:name="_Hlk3366033"/>
      <w:r w:rsidRPr="00DE694D">
        <w:rPr>
          <w:b w:val="0"/>
        </w:rPr>
        <w:t>Do you have any comments about the ACMA</w:t>
      </w:r>
      <w:r w:rsidR="00674062">
        <w:rPr>
          <w:b w:val="0"/>
        </w:rPr>
        <w:t>’s</w:t>
      </w:r>
      <w:r w:rsidRPr="00DE694D">
        <w:rPr>
          <w:b w:val="0"/>
        </w:rPr>
        <w:t xml:space="preserve"> approach to the forward allocations, or the </w:t>
      </w:r>
      <w:r w:rsidR="003D4443" w:rsidRPr="00DE694D">
        <w:rPr>
          <w:b w:val="0"/>
        </w:rPr>
        <w:t xml:space="preserve">prioritisation and </w:t>
      </w:r>
      <w:r w:rsidR="00652C1E" w:rsidRPr="00DE694D">
        <w:rPr>
          <w:b w:val="0"/>
        </w:rPr>
        <w:t>timing of allocations</w:t>
      </w:r>
      <w:r w:rsidRPr="00DE694D">
        <w:rPr>
          <w:b w:val="0"/>
        </w:rPr>
        <w:t>?</w:t>
      </w:r>
    </w:p>
    <w:bookmarkEnd w:id="12"/>
    <w:p w14:paraId="61B66A6E" w14:textId="305FB437" w:rsidR="009E7F80" w:rsidRPr="00DE694D" w:rsidRDefault="009E7F80" w:rsidP="00DE694D">
      <w:pPr>
        <w:pStyle w:val="ListNumber"/>
        <w:shd w:val="clear" w:color="auto" w:fill="auto"/>
        <w:ind w:left="284" w:hanging="284"/>
        <w:rPr>
          <w:b w:val="0"/>
        </w:rPr>
      </w:pPr>
      <w:r w:rsidRPr="00DE694D">
        <w:rPr>
          <w:b w:val="0"/>
        </w:rPr>
        <w:t xml:space="preserve">Do you have any feedback on the ACMA’s approach to </w:t>
      </w:r>
      <w:r w:rsidR="00292191" w:rsidRPr="00DE694D">
        <w:rPr>
          <w:b w:val="0"/>
        </w:rPr>
        <w:t xml:space="preserve">improving </w:t>
      </w:r>
      <w:r w:rsidRPr="00DE694D">
        <w:rPr>
          <w:b w:val="0"/>
        </w:rPr>
        <w:t xml:space="preserve">how we manage spectrum? </w:t>
      </w:r>
    </w:p>
    <w:p w14:paraId="7F064704" w14:textId="45E43788" w:rsidR="008446E0" w:rsidRPr="00DE694D" w:rsidRDefault="008446E0" w:rsidP="008446E0">
      <w:pPr>
        <w:pStyle w:val="ListNumber"/>
        <w:shd w:val="clear" w:color="auto" w:fill="auto"/>
        <w:spacing w:after="240"/>
        <w:ind w:left="284" w:hanging="284"/>
        <w:rPr>
          <w:rFonts w:eastAsiaTheme="majorEastAsia"/>
          <w:b w:val="0"/>
        </w:rPr>
      </w:pPr>
      <w:r w:rsidRPr="00DE694D">
        <w:rPr>
          <w:b w:val="0"/>
        </w:rPr>
        <w:t xml:space="preserve">Do you have any comments about the ACMA’s planned activities for licensing and licensing systems, pricing, </w:t>
      </w:r>
      <w:r w:rsidR="00556EE5" w:rsidRPr="00DE694D">
        <w:rPr>
          <w:b w:val="0"/>
        </w:rPr>
        <w:t xml:space="preserve">and </w:t>
      </w:r>
      <w:r w:rsidRPr="00DE694D">
        <w:rPr>
          <w:b w:val="0"/>
        </w:rPr>
        <w:t xml:space="preserve">compliance and enforcement? </w:t>
      </w:r>
    </w:p>
    <w:p w14:paraId="7104F9B8" w14:textId="467D1E92" w:rsidR="009116B7" w:rsidRPr="006D46E5" w:rsidRDefault="003F692F" w:rsidP="00DE694D">
      <w:pPr>
        <w:pStyle w:val="Heading1"/>
      </w:pPr>
      <w:bookmarkStart w:id="13" w:name="_Toc348105635"/>
      <w:bookmarkStart w:id="14" w:name="_Toc442879668"/>
      <w:bookmarkStart w:id="15" w:name="_Toc510795063"/>
      <w:bookmarkStart w:id="16" w:name="_Toc511716264"/>
      <w:bookmarkStart w:id="17" w:name="_Toc511719075"/>
      <w:bookmarkStart w:id="18" w:name="_Toc522794072"/>
      <w:bookmarkStart w:id="19" w:name="_Toc5025651"/>
      <w:r>
        <w:lastRenderedPageBreak/>
        <w:t>At a glance</w:t>
      </w:r>
      <w:r w:rsidR="001801F4" w:rsidRPr="005759E7">
        <w:t>—</w:t>
      </w:r>
      <w:r w:rsidR="00D02159">
        <w:t>2019</w:t>
      </w:r>
      <w:r w:rsidR="001801F4">
        <w:t>–</w:t>
      </w:r>
      <w:r w:rsidR="00D02159">
        <w:t>20</w:t>
      </w:r>
      <w:r w:rsidR="009116B7">
        <w:t xml:space="preserve"> </w:t>
      </w:r>
      <w:r w:rsidR="001801F4">
        <w:t>w</w:t>
      </w:r>
      <w:r w:rsidR="009116B7">
        <w:t xml:space="preserve">ork </w:t>
      </w:r>
      <w:r w:rsidR="009116B7" w:rsidRPr="00775B4A">
        <w:t>program</w:t>
      </w:r>
      <w:bookmarkEnd w:id="13"/>
      <w:bookmarkEnd w:id="14"/>
      <w:bookmarkEnd w:id="15"/>
      <w:bookmarkEnd w:id="16"/>
      <w:bookmarkEnd w:id="17"/>
      <w:bookmarkEnd w:id="18"/>
      <w:bookmarkEnd w:id="19"/>
    </w:p>
    <w:p w14:paraId="7B173B23" w14:textId="39B856C4" w:rsidR="00B80555" w:rsidRDefault="00A57D79" w:rsidP="00DE694D">
      <w:r>
        <w:t>The tables below provide a summary of the ACMA</w:t>
      </w:r>
      <w:r w:rsidR="00B80555">
        <w:t>’s</w:t>
      </w:r>
      <w:r>
        <w:t xml:space="preserve"> </w:t>
      </w:r>
      <w:r w:rsidR="00B80555">
        <w:t xml:space="preserve">proposed </w:t>
      </w:r>
      <w:r>
        <w:t xml:space="preserve">key </w:t>
      </w:r>
      <w:r w:rsidR="00B80555">
        <w:t xml:space="preserve">spectrum management </w:t>
      </w:r>
      <w:r>
        <w:t>activities for 2019</w:t>
      </w:r>
      <w:r w:rsidR="00AE2ABA">
        <w:t>–</w:t>
      </w:r>
      <w:r>
        <w:t xml:space="preserve">20. </w:t>
      </w:r>
    </w:p>
    <w:p w14:paraId="6DEAC7A9" w14:textId="1D2577B7" w:rsidR="00A57D79" w:rsidRDefault="00B80555" w:rsidP="00DE694D">
      <w:pPr>
        <w:spacing w:after="80"/>
      </w:pPr>
      <w:r>
        <w:t xml:space="preserve">The ‘proposed </w:t>
      </w:r>
      <w:proofErr w:type="spellStart"/>
      <w:r>
        <w:t>timelines’</w:t>
      </w:r>
      <w:proofErr w:type="spellEnd"/>
      <w:r>
        <w:t xml:space="preserve"> column</w:t>
      </w:r>
      <w:r w:rsidRPr="00B80555">
        <w:t xml:space="preserve"> </w:t>
      </w:r>
      <w:r>
        <w:t>details</w:t>
      </w:r>
      <w:r w:rsidR="00A57D79">
        <w:t>:</w:t>
      </w:r>
    </w:p>
    <w:p w14:paraId="3EDC4439" w14:textId="232DFE04" w:rsidR="00A57D79" w:rsidRPr="00B80555" w:rsidRDefault="00A57D79" w:rsidP="00DE694D">
      <w:pPr>
        <w:pStyle w:val="ListBullet"/>
      </w:pPr>
      <w:r w:rsidRPr="007A1AA8">
        <w:t>t</w:t>
      </w:r>
      <w:r w:rsidR="007D4950" w:rsidRPr="00E12E45">
        <w:t>iming</w:t>
      </w:r>
      <w:r w:rsidR="001A3F7F" w:rsidRPr="007A1AA8">
        <w:t xml:space="preserve"> for </w:t>
      </w:r>
      <w:r w:rsidR="009116B7">
        <w:t xml:space="preserve">activities </w:t>
      </w:r>
      <w:r w:rsidR="00B80555">
        <w:t>(</w:t>
      </w:r>
      <w:r>
        <w:t>these</w:t>
      </w:r>
      <w:r w:rsidR="007D4950">
        <w:t xml:space="preserve"> may be affected by </w:t>
      </w:r>
      <w:r w:rsidR="001A3F7F">
        <w:t xml:space="preserve">the </w:t>
      </w:r>
      <w:r w:rsidR="007D4950">
        <w:t>progression o</w:t>
      </w:r>
      <w:r w:rsidR="001A3F7F">
        <w:t>f</w:t>
      </w:r>
      <w:r w:rsidR="007D4950">
        <w:t xml:space="preserve"> other projects</w:t>
      </w:r>
      <w:r w:rsidR="00B80555">
        <w:t>)</w:t>
      </w:r>
    </w:p>
    <w:p w14:paraId="24FEF1DF" w14:textId="33803895" w:rsidR="00A57D79" w:rsidRDefault="001A3F7F" w:rsidP="00DE694D">
      <w:pPr>
        <w:pStyle w:val="ListBulletLast"/>
      </w:pPr>
      <w:r>
        <w:t>o</w:t>
      </w:r>
      <w:r w:rsidR="009116B7">
        <w:t>pportunities for consultation and engagement</w:t>
      </w:r>
      <w:r w:rsidR="009354DF">
        <w:t xml:space="preserve">. </w:t>
      </w:r>
      <w:r w:rsidR="009116B7">
        <w:t xml:space="preserve"> </w:t>
      </w:r>
    </w:p>
    <w:p w14:paraId="2A415563" w14:textId="71138EC0" w:rsidR="00CC0240" w:rsidRDefault="001A3F7F" w:rsidP="00DE694D">
      <w:pPr>
        <w:spacing w:after="80"/>
      </w:pPr>
      <w:r>
        <w:t>T</w:t>
      </w:r>
      <w:r w:rsidR="00CC0240">
        <w:t xml:space="preserve">he </w:t>
      </w:r>
      <w:r w:rsidR="00CC0240" w:rsidRPr="00125FC9">
        <w:t>following abbreviations</w:t>
      </w:r>
      <w:r w:rsidR="00CC0240">
        <w:t xml:space="preserve"> are used throughout:</w:t>
      </w:r>
    </w:p>
    <w:p w14:paraId="27757FF2" w14:textId="17171AA4" w:rsidR="00CC0240" w:rsidRPr="00CC0240" w:rsidRDefault="009354DF" w:rsidP="00DE694D">
      <w:pPr>
        <w:pStyle w:val="ListBullet"/>
        <w:tabs>
          <w:tab w:val="clear" w:pos="-261"/>
          <w:tab w:val="num" w:pos="-249"/>
        </w:tabs>
      </w:pPr>
      <w:r>
        <w:t>q</w:t>
      </w:r>
      <w:r w:rsidR="00CC0240">
        <w:t>uarter 1 (</w:t>
      </w:r>
      <w:r w:rsidR="00CC0240" w:rsidRPr="00CC0240">
        <w:t>Q1): 1 July–30 September</w:t>
      </w:r>
    </w:p>
    <w:p w14:paraId="61BA3D9B" w14:textId="6A0267E0" w:rsidR="00CC0240" w:rsidRPr="00CC0240" w:rsidRDefault="009354DF" w:rsidP="00DE694D">
      <w:pPr>
        <w:pStyle w:val="ListBullet"/>
      </w:pPr>
      <w:r>
        <w:t>q</w:t>
      </w:r>
      <w:r w:rsidR="00CC0240" w:rsidRPr="00CC0240">
        <w:t>uarter 2 (Q2): 1 October–31 December</w:t>
      </w:r>
    </w:p>
    <w:p w14:paraId="40DA4338" w14:textId="23A97887" w:rsidR="00CC0240" w:rsidRPr="00CC0240" w:rsidRDefault="009354DF" w:rsidP="00DE694D">
      <w:pPr>
        <w:pStyle w:val="ListBullet"/>
      </w:pPr>
      <w:r>
        <w:t>q</w:t>
      </w:r>
      <w:r w:rsidR="00CC0240" w:rsidRPr="00CC0240">
        <w:t>uarter 3 (Q3): 1 January–31 March</w:t>
      </w:r>
    </w:p>
    <w:p w14:paraId="10518201" w14:textId="376B540D" w:rsidR="00CC0240" w:rsidRPr="00CC0240" w:rsidRDefault="009354DF" w:rsidP="00DE694D">
      <w:pPr>
        <w:pStyle w:val="ListBulletLast"/>
      </w:pPr>
      <w:r>
        <w:t>q</w:t>
      </w:r>
      <w:r w:rsidR="00CC0240">
        <w:t>uarter 4 (Q4): 1 April–30 June.</w:t>
      </w:r>
    </w:p>
    <w:p w14:paraId="25056808" w14:textId="77777777" w:rsidR="001438A9" w:rsidRDefault="001438A9" w:rsidP="001438A9">
      <w:pPr>
        <w:pStyle w:val="ACMATableHeader"/>
        <w:keepNext/>
        <w:keepLines/>
      </w:pPr>
      <w:r>
        <w:t xml:space="preserve">International </w:t>
      </w:r>
      <w:r w:rsidRPr="007538FB">
        <w:t>engagement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1438A9" w:rsidRPr="006D46E5" w14:paraId="6FBAFCDD" w14:textId="77777777" w:rsidTr="00BC0C4A">
        <w:trPr>
          <w:tblHeader/>
        </w:trPr>
        <w:tc>
          <w:tcPr>
            <w:tcW w:w="2310" w:type="pct"/>
            <w:shd w:val="clear" w:color="auto" w:fill="404040" w:themeFill="text1" w:themeFillTint="BF"/>
          </w:tcPr>
          <w:p w14:paraId="5B74B067" w14:textId="77777777" w:rsidR="001438A9" w:rsidRPr="006D46E5" w:rsidRDefault="001438A9" w:rsidP="00BC0C4A">
            <w:pPr>
              <w:pStyle w:val="TableHeading"/>
            </w:pPr>
            <w:r>
              <w:t>Project priorities</w:t>
            </w:r>
          </w:p>
        </w:tc>
        <w:tc>
          <w:tcPr>
            <w:tcW w:w="2690" w:type="pct"/>
            <w:shd w:val="clear" w:color="auto" w:fill="404040" w:themeFill="text1" w:themeFillTint="BF"/>
          </w:tcPr>
          <w:p w14:paraId="26A053C9" w14:textId="77777777" w:rsidR="001438A9" w:rsidRPr="006D46E5" w:rsidRDefault="001438A9" w:rsidP="00BC0C4A">
            <w:pPr>
              <w:pStyle w:val="TableHeading"/>
            </w:pPr>
            <w:r>
              <w:t>Proposed timelines</w:t>
            </w:r>
          </w:p>
        </w:tc>
      </w:tr>
      <w:tr w:rsidR="001438A9" w:rsidRPr="006D46E5" w14:paraId="43D94C27" w14:textId="77777777" w:rsidTr="00BC0C4A">
        <w:tc>
          <w:tcPr>
            <w:tcW w:w="2310" w:type="pct"/>
            <w:shd w:val="clear" w:color="auto" w:fill="auto"/>
          </w:tcPr>
          <w:p w14:paraId="7383A8FC"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ITU-R Study Group 4 block meetings</w:t>
            </w:r>
          </w:p>
        </w:tc>
        <w:tc>
          <w:tcPr>
            <w:tcW w:w="2690" w:type="pct"/>
            <w:shd w:val="clear" w:color="auto" w:fill="auto"/>
          </w:tcPr>
          <w:p w14:paraId="1CF6D1BF"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Q1 2019–20 (19 June–4 July 2019)</w:t>
            </w:r>
          </w:p>
        </w:tc>
      </w:tr>
      <w:tr w:rsidR="001438A9" w:rsidRPr="006D46E5" w14:paraId="4E8D6CA4" w14:textId="77777777" w:rsidTr="00BC0C4A">
        <w:tc>
          <w:tcPr>
            <w:tcW w:w="2310" w:type="pct"/>
            <w:shd w:val="clear" w:color="auto" w:fill="auto"/>
          </w:tcPr>
          <w:p w14:paraId="024B3DC0" w14:textId="77777777" w:rsidR="001438A9"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25</w:t>
            </w:r>
            <w:r w:rsidRPr="002F072F">
              <w:rPr>
                <w:rFonts w:cs="Arial"/>
                <w:szCs w:val="20"/>
              </w:rPr>
              <w:t>th</w:t>
            </w:r>
            <w:r>
              <w:rPr>
                <w:rFonts w:cs="Arial"/>
                <w:szCs w:val="20"/>
              </w:rPr>
              <w:t xml:space="preserve"> meeting of the APT Wireless Group (AWG-25)</w:t>
            </w:r>
          </w:p>
          <w:p w14:paraId="1B8CB077" w14:textId="77777777" w:rsidR="001438A9"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(attendance under consideration)</w:t>
            </w:r>
          </w:p>
        </w:tc>
        <w:tc>
          <w:tcPr>
            <w:tcW w:w="2690" w:type="pct"/>
            <w:shd w:val="clear" w:color="auto" w:fill="auto"/>
          </w:tcPr>
          <w:p w14:paraId="7F5A842B" w14:textId="77777777" w:rsidR="001438A9"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Q1 2019–20 (1–5 July 2019)</w:t>
            </w:r>
          </w:p>
        </w:tc>
      </w:tr>
      <w:tr w:rsidR="001438A9" w:rsidRPr="006D46E5" w14:paraId="301366F5" w14:textId="77777777" w:rsidTr="00BC0C4A">
        <w:tc>
          <w:tcPr>
            <w:tcW w:w="2310" w:type="pct"/>
            <w:shd w:val="clear" w:color="auto" w:fill="auto"/>
          </w:tcPr>
          <w:p w14:paraId="228DB5B5"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sidRPr="005759E7">
              <w:rPr>
                <w:rFonts w:cs="Arial"/>
                <w:szCs w:val="20"/>
              </w:rPr>
              <w:t>F</w:t>
            </w:r>
            <w:r>
              <w:rPr>
                <w:rFonts w:cs="Arial"/>
                <w:szCs w:val="20"/>
              </w:rPr>
              <w:t>ifth</w:t>
            </w:r>
            <w:r w:rsidRPr="005759E7">
              <w:rPr>
                <w:rFonts w:cs="Arial"/>
                <w:szCs w:val="20"/>
              </w:rPr>
              <w:t xml:space="preserve"> </w:t>
            </w:r>
            <w:r>
              <w:rPr>
                <w:rFonts w:cs="Arial"/>
                <w:szCs w:val="20"/>
              </w:rPr>
              <w:t>meeting of the APT Conference Preparatory Group (Asia Pacific) for WRC-19</w:t>
            </w:r>
            <w:r w:rsidRPr="005759E7">
              <w:rPr>
                <w:rFonts w:cs="Arial"/>
                <w:szCs w:val="20"/>
              </w:rPr>
              <w:t xml:space="preserve"> (APG 19-</w:t>
            </w:r>
            <w:r>
              <w:rPr>
                <w:rFonts w:cs="Arial"/>
                <w:szCs w:val="20"/>
              </w:rPr>
              <w:t>5</w:t>
            </w:r>
            <w:r w:rsidRPr="005759E7">
              <w:rPr>
                <w:rFonts w:cs="Arial"/>
                <w:szCs w:val="20"/>
              </w:rPr>
              <w:t>)</w:t>
            </w:r>
          </w:p>
        </w:tc>
        <w:tc>
          <w:tcPr>
            <w:tcW w:w="2690" w:type="pct"/>
            <w:shd w:val="clear" w:color="auto" w:fill="auto"/>
          </w:tcPr>
          <w:p w14:paraId="3180AA56"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sidRPr="005759E7">
              <w:rPr>
                <w:rFonts w:cs="Arial"/>
                <w:szCs w:val="20"/>
              </w:rPr>
              <w:t>Q</w:t>
            </w:r>
            <w:r>
              <w:rPr>
                <w:rFonts w:cs="Arial"/>
                <w:szCs w:val="20"/>
              </w:rPr>
              <w:t>1</w:t>
            </w:r>
            <w:r w:rsidRPr="005759E7">
              <w:rPr>
                <w:rFonts w:cs="Arial"/>
                <w:szCs w:val="20"/>
              </w:rPr>
              <w:t xml:space="preserve"> </w:t>
            </w:r>
            <w:r>
              <w:rPr>
                <w:rFonts w:cs="Arial"/>
                <w:szCs w:val="20"/>
              </w:rPr>
              <w:t>2019–20</w:t>
            </w:r>
            <w:r w:rsidRPr="005759E7">
              <w:rPr>
                <w:rFonts w:cs="Arial"/>
                <w:szCs w:val="20"/>
              </w:rPr>
              <w:t xml:space="preserve"> (</w:t>
            </w:r>
            <w:r>
              <w:rPr>
                <w:rFonts w:cs="Arial"/>
                <w:szCs w:val="20"/>
              </w:rPr>
              <w:t>31 July–6 August 2019</w:t>
            </w:r>
            <w:r w:rsidRPr="005759E7">
              <w:rPr>
                <w:rFonts w:cs="Arial"/>
                <w:szCs w:val="20"/>
              </w:rPr>
              <w:t>)</w:t>
            </w:r>
          </w:p>
        </w:tc>
      </w:tr>
      <w:tr w:rsidR="001438A9" w:rsidRPr="006D46E5" w14:paraId="16293DCC" w14:textId="77777777" w:rsidTr="00BC0C4A">
        <w:tc>
          <w:tcPr>
            <w:tcW w:w="2310" w:type="pct"/>
            <w:shd w:val="clear" w:color="auto" w:fill="auto"/>
          </w:tcPr>
          <w:p w14:paraId="736183F1"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ITU Radiocommunications Assembly 2019</w:t>
            </w:r>
          </w:p>
        </w:tc>
        <w:tc>
          <w:tcPr>
            <w:tcW w:w="2690" w:type="pct"/>
            <w:shd w:val="clear" w:color="auto" w:fill="auto"/>
          </w:tcPr>
          <w:p w14:paraId="7F0FA491"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sidRPr="005759E7">
              <w:rPr>
                <w:rFonts w:cs="Arial"/>
                <w:szCs w:val="20"/>
              </w:rPr>
              <w:t>Q</w:t>
            </w:r>
            <w:r>
              <w:rPr>
                <w:rFonts w:cs="Arial"/>
                <w:szCs w:val="20"/>
              </w:rPr>
              <w:t>2</w:t>
            </w:r>
            <w:r w:rsidRPr="005759E7">
              <w:rPr>
                <w:rFonts w:cs="Arial"/>
                <w:szCs w:val="20"/>
              </w:rPr>
              <w:t xml:space="preserve"> </w:t>
            </w:r>
            <w:r>
              <w:rPr>
                <w:rFonts w:cs="Arial"/>
                <w:szCs w:val="20"/>
              </w:rPr>
              <w:t>2019–20</w:t>
            </w:r>
            <w:r w:rsidRPr="005759E7">
              <w:rPr>
                <w:rFonts w:cs="Arial"/>
                <w:szCs w:val="20"/>
              </w:rPr>
              <w:t xml:space="preserve"> (</w:t>
            </w:r>
            <w:r>
              <w:rPr>
                <w:rFonts w:cs="Arial"/>
                <w:szCs w:val="20"/>
              </w:rPr>
              <w:t>21–25 October</w:t>
            </w:r>
            <w:r w:rsidRPr="005759E7">
              <w:rPr>
                <w:rFonts w:cs="Arial"/>
                <w:szCs w:val="20"/>
              </w:rPr>
              <w:t xml:space="preserve"> 2019)</w:t>
            </w:r>
          </w:p>
        </w:tc>
      </w:tr>
      <w:tr w:rsidR="001438A9" w:rsidRPr="006D46E5" w14:paraId="185D89A8" w14:textId="77777777" w:rsidTr="00BC0C4A">
        <w:tc>
          <w:tcPr>
            <w:tcW w:w="2310" w:type="pct"/>
            <w:shd w:val="clear" w:color="auto" w:fill="auto"/>
          </w:tcPr>
          <w:p w14:paraId="47347CF9" w14:textId="77777777" w:rsidR="001438A9"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World Radiocommunication Conference 2019</w:t>
            </w:r>
          </w:p>
        </w:tc>
        <w:tc>
          <w:tcPr>
            <w:tcW w:w="2690" w:type="pct"/>
            <w:shd w:val="clear" w:color="auto" w:fill="auto"/>
          </w:tcPr>
          <w:p w14:paraId="43AB2955"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sidRPr="005759E7">
              <w:rPr>
                <w:rFonts w:cs="Arial"/>
                <w:szCs w:val="20"/>
              </w:rPr>
              <w:t>Q</w:t>
            </w:r>
            <w:r>
              <w:rPr>
                <w:rFonts w:cs="Arial"/>
                <w:szCs w:val="20"/>
              </w:rPr>
              <w:t>2 2019–20</w:t>
            </w:r>
            <w:r w:rsidRPr="005759E7">
              <w:rPr>
                <w:rFonts w:cs="Arial"/>
                <w:szCs w:val="20"/>
              </w:rPr>
              <w:t xml:space="preserve"> </w:t>
            </w:r>
            <w:r>
              <w:rPr>
                <w:rFonts w:cs="Arial"/>
                <w:szCs w:val="20"/>
              </w:rPr>
              <w:t>(28 October–22 November 2019)</w:t>
            </w:r>
          </w:p>
        </w:tc>
      </w:tr>
      <w:tr w:rsidR="001438A9" w:rsidRPr="006D46E5" w14:paraId="56C2ABE8" w14:textId="77777777" w:rsidTr="00BC0C4A">
        <w:tc>
          <w:tcPr>
            <w:tcW w:w="2310" w:type="pct"/>
            <w:shd w:val="clear" w:color="auto" w:fill="auto"/>
          </w:tcPr>
          <w:p w14:paraId="5776BB76" w14:textId="77777777" w:rsidR="001438A9" w:rsidRDefault="001438A9" w:rsidP="00BC0C4A">
            <w:pPr>
              <w:pStyle w:val="TableBody"/>
              <w:spacing w:before="100" w:beforeAutospacing="1" w:after="100" w:afterAutospacing="1" w:line="240" w:lineRule="atLeast"/>
              <w:contextualSpacing/>
              <w:mirrorIndents/>
              <w:rPr>
                <w:rFonts w:cs="Arial"/>
                <w:szCs w:val="20"/>
              </w:rPr>
            </w:pPr>
            <w:r>
              <w:rPr>
                <w:rFonts w:cs="Arial"/>
                <w:szCs w:val="20"/>
              </w:rPr>
              <w:t>First Conference Preparatory Meeting for WRC-23</w:t>
            </w:r>
          </w:p>
        </w:tc>
        <w:tc>
          <w:tcPr>
            <w:tcW w:w="2690" w:type="pct"/>
            <w:shd w:val="clear" w:color="auto" w:fill="auto"/>
          </w:tcPr>
          <w:p w14:paraId="01027803" w14:textId="77777777" w:rsidR="001438A9" w:rsidRPr="005759E7" w:rsidRDefault="001438A9" w:rsidP="00BC0C4A">
            <w:pPr>
              <w:pStyle w:val="TableBody"/>
              <w:spacing w:before="100" w:beforeAutospacing="1" w:after="100" w:afterAutospacing="1" w:line="240" w:lineRule="atLeast"/>
              <w:contextualSpacing/>
              <w:mirrorIndents/>
              <w:rPr>
                <w:rFonts w:cs="Arial"/>
                <w:szCs w:val="20"/>
              </w:rPr>
            </w:pPr>
            <w:r w:rsidRPr="005759E7">
              <w:rPr>
                <w:rFonts w:cs="Arial"/>
                <w:szCs w:val="20"/>
              </w:rPr>
              <w:t>Q</w:t>
            </w:r>
            <w:r>
              <w:rPr>
                <w:rFonts w:cs="Arial"/>
                <w:szCs w:val="20"/>
              </w:rPr>
              <w:t>2 2019–20</w:t>
            </w:r>
            <w:r w:rsidRPr="005759E7">
              <w:rPr>
                <w:rFonts w:cs="Arial"/>
                <w:szCs w:val="20"/>
              </w:rPr>
              <w:t xml:space="preserve"> </w:t>
            </w:r>
            <w:r>
              <w:rPr>
                <w:rFonts w:cs="Arial"/>
                <w:szCs w:val="20"/>
              </w:rPr>
              <w:t>(25–26 November 2019)</w:t>
            </w:r>
          </w:p>
        </w:tc>
      </w:tr>
    </w:tbl>
    <w:p w14:paraId="0549D28E" w14:textId="77777777" w:rsidR="001438A9" w:rsidRPr="007538FB" w:rsidRDefault="001438A9" w:rsidP="001438A9">
      <w:pPr>
        <w:pStyle w:val="ACMASpaceaftertable"/>
      </w:pPr>
    </w:p>
    <w:p w14:paraId="21F51EDB" w14:textId="2C6C3CC9" w:rsidR="009116B7" w:rsidRPr="00F57787" w:rsidRDefault="009116B7" w:rsidP="00DE694D">
      <w:pPr>
        <w:pStyle w:val="ACMATableHeader"/>
        <w:keepNext/>
      </w:pPr>
      <w:r w:rsidRPr="000D38C1">
        <w:t>Planning</w:t>
      </w:r>
      <w:r w:rsidR="001801F4" w:rsidRPr="00F57787">
        <w:t>—</w:t>
      </w:r>
      <w:r w:rsidR="00F01663">
        <w:t>major band planning and replanning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686"/>
        <w:gridCol w:w="2704"/>
        <w:gridCol w:w="3271"/>
      </w:tblGrid>
      <w:tr w:rsidR="009116B7" w:rsidRPr="006D46E5" w14:paraId="5120AD78" w14:textId="77777777" w:rsidTr="00DE694D">
        <w:trPr>
          <w:cantSplit/>
          <w:tblHeader/>
        </w:trPr>
        <w:tc>
          <w:tcPr>
            <w:tcW w:w="1100" w:type="pct"/>
            <w:shd w:val="clear" w:color="auto" w:fill="404040" w:themeFill="text1" w:themeFillTint="BF"/>
          </w:tcPr>
          <w:p w14:paraId="53AD7DC4" w14:textId="77777777" w:rsidR="009116B7" w:rsidRDefault="009116B7" w:rsidP="00B747E1">
            <w:pPr>
              <w:pStyle w:val="TableHeading"/>
            </w:pPr>
            <w:r>
              <w:t>Planning stage</w:t>
            </w:r>
          </w:p>
        </w:tc>
        <w:tc>
          <w:tcPr>
            <w:tcW w:w="1765" w:type="pct"/>
            <w:shd w:val="clear" w:color="auto" w:fill="404040" w:themeFill="text1" w:themeFillTint="BF"/>
          </w:tcPr>
          <w:p w14:paraId="41BEA99C" w14:textId="77777777" w:rsidR="009116B7" w:rsidRPr="006D46E5" w:rsidRDefault="009116B7" w:rsidP="00B747E1">
            <w:pPr>
              <w:pStyle w:val="TableHeading"/>
            </w:pPr>
            <w:r>
              <w:t>Project priorities</w:t>
            </w:r>
          </w:p>
        </w:tc>
        <w:tc>
          <w:tcPr>
            <w:tcW w:w="2135" w:type="pct"/>
            <w:shd w:val="clear" w:color="auto" w:fill="404040" w:themeFill="text1" w:themeFillTint="BF"/>
          </w:tcPr>
          <w:p w14:paraId="4A7DA49B" w14:textId="77777777" w:rsidR="009116B7" w:rsidRPr="006D46E5" w:rsidRDefault="009116B7" w:rsidP="00B747E1">
            <w:pPr>
              <w:pStyle w:val="TableHeading"/>
            </w:pPr>
            <w:r>
              <w:t>Proposed timelines</w:t>
            </w:r>
          </w:p>
        </w:tc>
      </w:tr>
      <w:tr w:rsidR="009116B7" w:rsidRPr="006D46E5" w14:paraId="0E14C2F5" w14:textId="77777777" w:rsidTr="00DE694D">
        <w:trPr>
          <w:trHeight w:val="477"/>
        </w:trPr>
        <w:tc>
          <w:tcPr>
            <w:tcW w:w="1100" w:type="pct"/>
            <w:shd w:val="clear" w:color="auto" w:fill="auto"/>
          </w:tcPr>
          <w:p w14:paraId="6DABA24B"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Monitoring</w:t>
            </w:r>
          </w:p>
        </w:tc>
        <w:tc>
          <w:tcPr>
            <w:tcW w:w="1765" w:type="pct"/>
            <w:shd w:val="clear" w:color="auto" w:fill="auto"/>
          </w:tcPr>
          <w:p w14:paraId="6C7DFEF2" w14:textId="74C3FB95" w:rsidR="00D87E10" w:rsidRPr="005759E7" w:rsidRDefault="009116B7" w:rsidP="001C517F">
            <w:pPr>
              <w:pStyle w:val="TableBody"/>
              <w:spacing w:after="120" w:line="240" w:lineRule="atLeast"/>
              <w:mirrorIndents/>
              <w:rPr>
                <w:rFonts w:cs="Arial"/>
                <w:szCs w:val="20"/>
              </w:rPr>
            </w:pPr>
            <w:r w:rsidRPr="005759E7">
              <w:rPr>
                <w:rFonts w:cs="Arial"/>
                <w:szCs w:val="20"/>
              </w:rPr>
              <w:t>600 MHz (617</w:t>
            </w:r>
            <w:r w:rsidR="00C94652" w:rsidRPr="005759E7">
              <w:rPr>
                <w:rFonts w:cs="Arial"/>
                <w:szCs w:val="20"/>
              </w:rPr>
              <w:t>–</w:t>
            </w:r>
            <w:r w:rsidRPr="005759E7">
              <w:rPr>
                <w:rFonts w:cs="Arial"/>
                <w:szCs w:val="20"/>
              </w:rPr>
              <w:t>698</w:t>
            </w:r>
            <w:r w:rsidR="00457EAA">
              <w:rPr>
                <w:rFonts w:cs="Arial"/>
                <w:szCs w:val="20"/>
              </w:rPr>
              <w:t xml:space="preserve"> MHz</w:t>
            </w:r>
            <w:r w:rsidRPr="005759E7">
              <w:rPr>
                <w:rFonts w:cs="Arial"/>
                <w:szCs w:val="20"/>
              </w:rPr>
              <w:t>)</w:t>
            </w:r>
          </w:p>
          <w:p w14:paraId="38AA72BD" w14:textId="3404777D" w:rsidR="00D87E10" w:rsidRPr="005759E7" w:rsidRDefault="009116B7" w:rsidP="001C517F">
            <w:pPr>
              <w:pStyle w:val="TableBody"/>
              <w:spacing w:after="120" w:line="240" w:lineRule="atLeast"/>
              <w:mirrorIndents/>
              <w:rPr>
                <w:rFonts w:cs="Arial"/>
                <w:szCs w:val="20"/>
              </w:rPr>
            </w:pPr>
            <w:r w:rsidRPr="005759E7">
              <w:rPr>
                <w:rFonts w:cs="Arial"/>
                <w:szCs w:val="20"/>
              </w:rPr>
              <w:t>3.3 GHz (</w:t>
            </w:r>
            <w:r w:rsidRPr="00457EAA">
              <w:rPr>
                <w:rFonts w:cs="Arial"/>
                <w:szCs w:val="20"/>
              </w:rPr>
              <w:t>3300</w:t>
            </w:r>
            <w:r w:rsidR="00C94652" w:rsidRPr="00457EAA">
              <w:rPr>
                <w:rFonts w:cs="Arial"/>
                <w:szCs w:val="20"/>
              </w:rPr>
              <w:t>–</w:t>
            </w:r>
            <w:r w:rsidRPr="00457EAA">
              <w:rPr>
                <w:rFonts w:cs="Arial"/>
                <w:szCs w:val="20"/>
              </w:rPr>
              <w:t>3400</w:t>
            </w:r>
            <w:r w:rsidR="00457EAA">
              <w:rPr>
                <w:rFonts w:cs="Arial"/>
                <w:szCs w:val="20"/>
              </w:rPr>
              <w:t xml:space="preserve"> MHz</w:t>
            </w:r>
            <w:r w:rsidRPr="005759E7">
              <w:rPr>
                <w:rFonts w:cs="Arial"/>
                <w:szCs w:val="20"/>
              </w:rPr>
              <w:t>)</w:t>
            </w:r>
          </w:p>
          <w:p w14:paraId="7E009AFE" w14:textId="0387D943" w:rsidR="00D87E10" w:rsidRPr="005759E7" w:rsidRDefault="009116B7" w:rsidP="001C517F">
            <w:pPr>
              <w:pStyle w:val="TableBody"/>
              <w:spacing w:after="120" w:line="240" w:lineRule="atLeast"/>
              <w:mirrorIndents/>
              <w:rPr>
                <w:rFonts w:cs="Arial"/>
                <w:szCs w:val="20"/>
              </w:rPr>
            </w:pPr>
            <w:r w:rsidRPr="005759E7">
              <w:rPr>
                <w:rFonts w:cs="Arial"/>
                <w:szCs w:val="20"/>
              </w:rPr>
              <w:t>4.5 G</w:t>
            </w:r>
            <w:r w:rsidR="00786A4A">
              <w:rPr>
                <w:rFonts w:cs="Arial"/>
                <w:szCs w:val="20"/>
              </w:rPr>
              <w:t>H</w:t>
            </w:r>
            <w:r w:rsidRPr="005759E7">
              <w:rPr>
                <w:rFonts w:cs="Arial"/>
                <w:szCs w:val="20"/>
              </w:rPr>
              <w:t>z (4400</w:t>
            </w:r>
            <w:r w:rsidR="00C94652" w:rsidRPr="005759E7">
              <w:rPr>
                <w:rFonts w:cs="Arial"/>
                <w:szCs w:val="20"/>
              </w:rPr>
              <w:t>–</w:t>
            </w:r>
            <w:r w:rsidRPr="005759E7">
              <w:rPr>
                <w:rFonts w:cs="Arial"/>
                <w:szCs w:val="20"/>
              </w:rPr>
              <w:t>4500</w:t>
            </w:r>
            <w:r w:rsidR="00457EAA">
              <w:rPr>
                <w:rFonts w:cs="Arial"/>
                <w:szCs w:val="20"/>
              </w:rPr>
              <w:t xml:space="preserve"> MHz</w:t>
            </w:r>
            <w:r w:rsidRPr="005759E7">
              <w:rPr>
                <w:rFonts w:cs="Arial"/>
                <w:szCs w:val="20"/>
              </w:rPr>
              <w:t>)</w:t>
            </w:r>
          </w:p>
          <w:p w14:paraId="7846F669" w14:textId="01AAA9BE" w:rsidR="00D87E10" w:rsidRDefault="009116B7" w:rsidP="001C517F">
            <w:pPr>
              <w:pStyle w:val="TableBody"/>
              <w:spacing w:after="120" w:line="240" w:lineRule="atLeast"/>
              <w:mirrorIndents/>
              <w:rPr>
                <w:rFonts w:cs="Arial"/>
                <w:szCs w:val="20"/>
              </w:rPr>
            </w:pPr>
            <w:r w:rsidRPr="005759E7">
              <w:rPr>
                <w:rFonts w:cs="Arial"/>
                <w:szCs w:val="20"/>
              </w:rPr>
              <w:t>4.8 GHz (4800</w:t>
            </w:r>
            <w:r w:rsidR="00C94652" w:rsidRPr="005759E7">
              <w:rPr>
                <w:rFonts w:cs="Arial"/>
                <w:szCs w:val="20"/>
              </w:rPr>
              <w:t>–</w:t>
            </w:r>
            <w:r w:rsidRPr="005759E7">
              <w:rPr>
                <w:rFonts w:cs="Arial"/>
                <w:szCs w:val="20"/>
              </w:rPr>
              <w:t>4990</w:t>
            </w:r>
            <w:r w:rsidR="00457EAA">
              <w:rPr>
                <w:rFonts w:cs="Arial"/>
                <w:szCs w:val="20"/>
              </w:rPr>
              <w:t xml:space="preserve"> MHz</w:t>
            </w:r>
            <w:r w:rsidRPr="005759E7">
              <w:rPr>
                <w:rFonts w:cs="Arial"/>
                <w:szCs w:val="20"/>
              </w:rPr>
              <w:t>)</w:t>
            </w:r>
            <w:r w:rsidR="00D87E10">
              <w:rPr>
                <w:rFonts w:cs="Arial"/>
                <w:szCs w:val="20"/>
              </w:rPr>
              <w:t xml:space="preserve"> </w:t>
            </w:r>
          </w:p>
          <w:p w14:paraId="294D265C" w14:textId="5B6F143E" w:rsidR="004D61EB" w:rsidRDefault="009116B7" w:rsidP="001C517F">
            <w:pPr>
              <w:pStyle w:val="TableBody"/>
              <w:spacing w:after="120" w:line="240" w:lineRule="atLeast"/>
              <w:mirrorIndents/>
              <w:rPr>
                <w:rFonts w:cs="Arial"/>
                <w:szCs w:val="20"/>
              </w:rPr>
            </w:pPr>
            <w:r w:rsidRPr="005759E7">
              <w:rPr>
                <w:rFonts w:cs="Arial"/>
                <w:szCs w:val="20"/>
              </w:rPr>
              <w:t xml:space="preserve">Bands </w:t>
            </w:r>
            <w:r w:rsidR="00197E92">
              <w:rPr>
                <w:rFonts w:cs="Arial"/>
                <w:szCs w:val="20"/>
              </w:rPr>
              <w:t>being studied under</w:t>
            </w:r>
            <w:r w:rsidRPr="005759E7">
              <w:rPr>
                <w:rFonts w:cs="Arial"/>
                <w:szCs w:val="20"/>
              </w:rPr>
              <w:t xml:space="preserve"> WRC-19 agenda item</w:t>
            </w:r>
            <w:r w:rsidR="004D61EB">
              <w:rPr>
                <w:rFonts w:cs="Arial"/>
                <w:szCs w:val="20"/>
              </w:rPr>
              <w:t xml:space="preserve"> 1.1</w:t>
            </w:r>
            <w:r w:rsidR="008B5BEB">
              <w:rPr>
                <w:rFonts w:cs="Arial"/>
                <w:szCs w:val="20"/>
              </w:rPr>
              <w:t>6</w:t>
            </w:r>
          </w:p>
          <w:p w14:paraId="359EDAFE" w14:textId="2A53E5C2" w:rsidR="002F643C" w:rsidRPr="005759E7" w:rsidRDefault="004D61EB" w:rsidP="00DE694D">
            <w:pPr>
              <w:pStyle w:val="TableBody"/>
              <w:spacing w:after="120" w:line="240" w:lineRule="atLeast"/>
              <w:mirrorIndents/>
              <w:rPr>
                <w:rFonts w:cs="Arial"/>
                <w:szCs w:val="20"/>
              </w:rPr>
            </w:pPr>
            <w:r>
              <w:rPr>
                <w:rFonts w:cs="Arial"/>
                <w:szCs w:val="20"/>
              </w:rPr>
              <w:lastRenderedPageBreak/>
              <w:t>Bands being studied under WRC-19 agenda item 1.13</w:t>
            </w:r>
          </w:p>
        </w:tc>
        <w:tc>
          <w:tcPr>
            <w:tcW w:w="2135" w:type="pct"/>
            <w:shd w:val="clear" w:color="auto" w:fill="auto"/>
          </w:tcPr>
          <w:p w14:paraId="2A440230" w14:textId="77777777" w:rsidR="009116B7" w:rsidRPr="005759E7" w:rsidRDefault="00F57787" w:rsidP="00D87E10">
            <w:pPr>
              <w:pStyle w:val="TableBody"/>
              <w:spacing w:before="100" w:beforeAutospacing="1" w:after="100" w:afterAutospacing="1" w:line="240" w:lineRule="atLeast"/>
              <w:contextualSpacing/>
              <w:mirrorIndents/>
              <w:rPr>
                <w:rFonts w:cs="Arial"/>
                <w:szCs w:val="20"/>
              </w:rPr>
            </w:pPr>
            <w:r w:rsidRPr="005759E7">
              <w:rPr>
                <w:rFonts w:cs="Arial"/>
                <w:szCs w:val="20"/>
              </w:rPr>
              <w:lastRenderedPageBreak/>
              <w:t>Continue to</w:t>
            </w:r>
            <w:r w:rsidR="009116B7" w:rsidRPr="005759E7">
              <w:rPr>
                <w:rFonts w:cs="Arial"/>
                <w:szCs w:val="20"/>
              </w:rPr>
              <w:t xml:space="preserve"> monitor domestic and international developments in these bands to identify usage trends</w:t>
            </w:r>
          </w:p>
        </w:tc>
      </w:tr>
      <w:tr w:rsidR="00C76383" w:rsidRPr="006D46E5" w14:paraId="5BA1AEA9" w14:textId="77777777" w:rsidTr="00E77F3C">
        <w:trPr>
          <w:trHeight w:val="614"/>
        </w:trPr>
        <w:tc>
          <w:tcPr>
            <w:tcW w:w="1100" w:type="pct"/>
            <w:vMerge w:val="restart"/>
            <w:shd w:val="clear" w:color="auto" w:fill="auto"/>
          </w:tcPr>
          <w:p w14:paraId="50DB52C6" w14:textId="49E3CFA9" w:rsidR="00C76383" w:rsidRPr="005759E7" w:rsidRDefault="00C76383" w:rsidP="00C76383">
            <w:pPr>
              <w:pStyle w:val="TableBody"/>
              <w:spacing w:before="100" w:beforeAutospacing="1" w:after="100" w:afterAutospacing="1" w:line="240" w:lineRule="atLeast"/>
              <w:contextualSpacing/>
              <w:mirrorIndents/>
              <w:rPr>
                <w:rFonts w:cs="Arial"/>
                <w:szCs w:val="20"/>
              </w:rPr>
            </w:pPr>
            <w:r w:rsidRPr="005759E7">
              <w:rPr>
                <w:rFonts w:cs="Arial"/>
                <w:szCs w:val="20"/>
              </w:rPr>
              <w:t>Initial investigation</w:t>
            </w:r>
          </w:p>
        </w:tc>
        <w:tc>
          <w:tcPr>
            <w:tcW w:w="1765" w:type="pct"/>
            <w:shd w:val="clear" w:color="auto" w:fill="auto"/>
          </w:tcPr>
          <w:p w14:paraId="0903547E" w14:textId="7A003A54" w:rsidR="00C76383" w:rsidRPr="005759E7" w:rsidRDefault="00C76383" w:rsidP="00C76383">
            <w:pPr>
              <w:pStyle w:val="TableBody"/>
              <w:spacing w:after="120" w:line="240" w:lineRule="atLeast"/>
              <w:mirrorIndents/>
              <w:rPr>
                <w:rFonts w:cs="Arial"/>
                <w:szCs w:val="20"/>
              </w:rPr>
            </w:pPr>
            <w:r w:rsidRPr="005759E7">
              <w:rPr>
                <w:szCs w:val="20"/>
              </w:rPr>
              <w:t>Extended MSS L</w:t>
            </w:r>
            <w:r>
              <w:rPr>
                <w:szCs w:val="20"/>
              </w:rPr>
              <w:t>-</w:t>
            </w:r>
            <w:r w:rsidRPr="005759E7">
              <w:rPr>
                <w:szCs w:val="20"/>
              </w:rPr>
              <w:t>band</w:t>
            </w:r>
            <w:r>
              <w:rPr>
                <w:szCs w:val="20"/>
              </w:rPr>
              <w:t xml:space="preserve"> </w:t>
            </w:r>
            <w:r w:rsidRPr="005759E7">
              <w:rPr>
                <w:szCs w:val="20"/>
              </w:rPr>
              <w:t xml:space="preserve">(1518–1525 </w:t>
            </w:r>
            <w:r w:rsidR="00F01663">
              <w:rPr>
                <w:szCs w:val="20"/>
              </w:rPr>
              <w:t>MHz</w:t>
            </w:r>
            <w:r w:rsidRPr="005759E7">
              <w:rPr>
                <w:szCs w:val="20"/>
              </w:rPr>
              <w:t xml:space="preserve"> and </w:t>
            </w:r>
            <w:r>
              <w:rPr>
                <w:szCs w:val="20"/>
              </w:rPr>
              <w:br/>
            </w:r>
            <w:r w:rsidRPr="005759E7">
              <w:rPr>
                <w:szCs w:val="20"/>
              </w:rPr>
              <w:t>1668–1675 MHz)</w:t>
            </w:r>
          </w:p>
        </w:tc>
        <w:tc>
          <w:tcPr>
            <w:tcW w:w="2135" w:type="pct"/>
            <w:shd w:val="clear" w:color="auto" w:fill="auto"/>
          </w:tcPr>
          <w:p w14:paraId="5FCD2217" w14:textId="064EE553" w:rsidR="00C76383" w:rsidRDefault="00C76383" w:rsidP="00C76383">
            <w:pPr>
              <w:pStyle w:val="TableBody"/>
              <w:spacing w:after="120" w:line="240" w:lineRule="atLeast"/>
              <w:mirrorIndents/>
              <w:rPr>
                <w:rFonts w:cs="Arial"/>
                <w:szCs w:val="20"/>
              </w:rPr>
            </w:pPr>
            <w:r>
              <w:rPr>
                <w:rFonts w:cs="Arial"/>
                <w:szCs w:val="20"/>
              </w:rPr>
              <w:t>Q3/4 2019–20: Options paper</w:t>
            </w:r>
          </w:p>
        </w:tc>
      </w:tr>
      <w:tr w:rsidR="00C76383" w:rsidRPr="006D46E5" w14:paraId="19930C05" w14:textId="77777777" w:rsidTr="000301A7">
        <w:trPr>
          <w:trHeight w:val="614"/>
        </w:trPr>
        <w:tc>
          <w:tcPr>
            <w:tcW w:w="1100" w:type="pct"/>
            <w:vMerge/>
            <w:shd w:val="clear" w:color="auto" w:fill="auto"/>
          </w:tcPr>
          <w:p w14:paraId="4D87EA79" w14:textId="1D1CDAEC" w:rsidR="00C76383" w:rsidRPr="005759E7" w:rsidRDefault="00C76383" w:rsidP="00D10280">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00598183" w14:textId="5C367065" w:rsidR="00C76383" w:rsidRPr="005759E7" w:rsidRDefault="00C76383" w:rsidP="001C517F">
            <w:pPr>
              <w:pStyle w:val="TableBody"/>
              <w:spacing w:after="120" w:line="240" w:lineRule="atLeast"/>
              <w:mirrorIndents/>
              <w:rPr>
                <w:rFonts w:cs="Arial"/>
                <w:szCs w:val="20"/>
              </w:rPr>
            </w:pPr>
            <w:r w:rsidRPr="005759E7">
              <w:rPr>
                <w:rFonts w:cs="Arial"/>
                <w:szCs w:val="20"/>
              </w:rPr>
              <w:t>2</w:t>
            </w:r>
            <w:r>
              <w:rPr>
                <w:rFonts w:cs="Arial"/>
                <w:szCs w:val="20"/>
              </w:rPr>
              <w:t xml:space="preserve"> </w:t>
            </w:r>
            <w:r w:rsidRPr="005759E7">
              <w:rPr>
                <w:rFonts w:cs="Arial"/>
                <w:szCs w:val="20"/>
              </w:rPr>
              <w:t xml:space="preserve">GHz (1980–2010 </w:t>
            </w:r>
            <w:r w:rsidR="00F01663">
              <w:rPr>
                <w:rFonts w:cs="Arial"/>
                <w:szCs w:val="20"/>
              </w:rPr>
              <w:t>MHz</w:t>
            </w:r>
            <w:r w:rsidRPr="005759E7">
              <w:rPr>
                <w:rFonts w:cs="Arial"/>
                <w:szCs w:val="20"/>
              </w:rPr>
              <w:t xml:space="preserve"> and 2170–2200 MHz)</w:t>
            </w:r>
          </w:p>
        </w:tc>
        <w:tc>
          <w:tcPr>
            <w:tcW w:w="2135" w:type="pct"/>
            <w:shd w:val="clear" w:color="auto" w:fill="auto"/>
          </w:tcPr>
          <w:p w14:paraId="14A1ADBE" w14:textId="6FA20EED" w:rsidR="00C76383" w:rsidRPr="005759E7" w:rsidRDefault="00C76383" w:rsidP="00DE694D">
            <w:pPr>
              <w:pStyle w:val="TableBody"/>
              <w:spacing w:after="120" w:line="240" w:lineRule="atLeast"/>
              <w:mirrorIndents/>
              <w:rPr>
                <w:rFonts w:cs="Arial"/>
                <w:szCs w:val="20"/>
              </w:rPr>
            </w:pPr>
            <w:r>
              <w:rPr>
                <w:rFonts w:cs="Arial"/>
                <w:szCs w:val="20"/>
              </w:rPr>
              <w:t>Q4 2018–19: Discussion paper on planning issues Q3/4 2019–20: Possible options paper, dependent on outcomes of discussion paper</w:t>
            </w:r>
          </w:p>
        </w:tc>
      </w:tr>
      <w:tr w:rsidR="00C76383" w:rsidRPr="006D46E5" w14:paraId="2784BBD8" w14:textId="77777777" w:rsidTr="00DE694D">
        <w:trPr>
          <w:trHeight w:val="424"/>
        </w:trPr>
        <w:tc>
          <w:tcPr>
            <w:tcW w:w="1100" w:type="pct"/>
            <w:vMerge/>
            <w:shd w:val="clear" w:color="auto" w:fill="auto"/>
          </w:tcPr>
          <w:p w14:paraId="20E47F87" w14:textId="77777777" w:rsidR="00C76383" w:rsidRPr="005759E7" w:rsidRDefault="00C76383" w:rsidP="00D10280">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78FD34E2" w14:textId="694A0AB5" w:rsidR="00C76383" w:rsidRPr="005759E7" w:rsidRDefault="00C76383" w:rsidP="00DE694D">
            <w:pPr>
              <w:pStyle w:val="TableBody"/>
              <w:spacing w:after="120" w:line="240" w:lineRule="atLeast"/>
              <w:mirrorIndents/>
              <w:rPr>
                <w:rFonts w:cs="Arial"/>
                <w:szCs w:val="20"/>
              </w:rPr>
            </w:pPr>
            <w:r w:rsidRPr="005270FE">
              <w:rPr>
                <w:rFonts w:cs="Arial"/>
                <w:szCs w:val="20"/>
              </w:rPr>
              <w:t xml:space="preserve">3.8 GHz </w:t>
            </w:r>
            <w:r>
              <w:rPr>
                <w:rFonts w:cs="Arial"/>
                <w:szCs w:val="20"/>
              </w:rPr>
              <w:br/>
            </w:r>
            <w:r w:rsidRPr="005270FE">
              <w:rPr>
                <w:rFonts w:cs="Arial"/>
                <w:szCs w:val="20"/>
              </w:rPr>
              <w:t>(3700–4200</w:t>
            </w:r>
            <w:r>
              <w:rPr>
                <w:rFonts w:cs="Arial"/>
                <w:szCs w:val="20"/>
              </w:rPr>
              <w:t xml:space="preserve"> MHz</w:t>
            </w:r>
            <w:r w:rsidRPr="005270FE">
              <w:rPr>
                <w:rFonts w:cs="Arial"/>
                <w:szCs w:val="20"/>
              </w:rPr>
              <w:t>)</w:t>
            </w:r>
          </w:p>
        </w:tc>
        <w:tc>
          <w:tcPr>
            <w:tcW w:w="2135" w:type="pct"/>
            <w:shd w:val="clear" w:color="auto" w:fill="auto"/>
          </w:tcPr>
          <w:p w14:paraId="24E2AFF3" w14:textId="11E36AC2" w:rsidR="00C76383" w:rsidRDefault="00C76383" w:rsidP="001C517F">
            <w:pPr>
              <w:pStyle w:val="TableBody"/>
              <w:spacing w:after="120" w:line="240" w:lineRule="atLeast"/>
              <w:mirrorIndents/>
              <w:rPr>
                <w:rFonts w:cs="Arial"/>
                <w:szCs w:val="20"/>
              </w:rPr>
            </w:pPr>
            <w:r w:rsidRPr="005759E7">
              <w:rPr>
                <w:szCs w:val="20"/>
              </w:rPr>
              <w:t>Q4</w:t>
            </w:r>
            <w:r>
              <w:rPr>
                <w:szCs w:val="20"/>
              </w:rPr>
              <w:t xml:space="preserve"> 2018–19: </w:t>
            </w:r>
            <w:r>
              <w:rPr>
                <w:rFonts w:cs="Arial"/>
                <w:szCs w:val="20"/>
              </w:rPr>
              <w:t xml:space="preserve">Discussion paper on planning issues </w:t>
            </w:r>
          </w:p>
        </w:tc>
      </w:tr>
      <w:tr w:rsidR="00DE694D" w:rsidRPr="006D46E5" w14:paraId="4F33DF2F" w14:textId="77777777" w:rsidTr="00DE694D">
        <w:trPr>
          <w:trHeight w:val="374"/>
        </w:trPr>
        <w:tc>
          <w:tcPr>
            <w:tcW w:w="1100" w:type="pct"/>
            <w:vMerge w:val="restart"/>
            <w:shd w:val="clear" w:color="auto" w:fill="auto"/>
          </w:tcPr>
          <w:p w14:paraId="3940E5EC" w14:textId="77777777" w:rsidR="00DE694D" w:rsidRPr="005759E7" w:rsidRDefault="00DE694D" w:rsidP="00D87E10">
            <w:pPr>
              <w:pStyle w:val="TableBody"/>
              <w:spacing w:before="100" w:beforeAutospacing="1" w:after="100" w:afterAutospacing="1" w:line="240" w:lineRule="atLeast"/>
              <w:contextualSpacing/>
              <w:mirrorIndents/>
              <w:rPr>
                <w:rFonts w:cs="Arial"/>
                <w:szCs w:val="20"/>
              </w:rPr>
            </w:pPr>
            <w:r w:rsidRPr="005759E7">
              <w:rPr>
                <w:rFonts w:cs="Arial"/>
                <w:szCs w:val="20"/>
              </w:rPr>
              <w:t>Preliminary replanning</w:t>
            </w:r>
          </w:p>
        </w:tc>
        <w:tc>
          <w:tcPr>
            <w:tcW w:w="1765" w:type="pct"/>
            <w:shd w:val="clear" w:color="auto" w:fill="auto"/>
          </w:tcPr>
          <w:p w14:paraId="59C798BD" w14:textId="40C997D5" w:rsidR="00DE694D" w:rsidRPr="00775B4A" w:rsidRDefault="00DE694D" w:rsidP="00DE694D">
            <w:pPr>
              <w:pStyle w:val="TableBody"/>
            </w:pPr>
            <w:r w:rsidRPr="00E26672">
              <w:t xml:space="preserve">1.5 GHz </w:t>
            </w:r>
            <w:r w:rsidRPr="00E26672">
              <w:br/>
            </w:r>
            <w:r w:rsidRPr="00775B4A">
              <w:t>(1427–1518 MHz)</w:t>
            </w:r>
          </w:p>
        </w:tc>
        <w:tc>
          <w:tcPr>
            <w:tcW w:w="2135" w:type="pct"/>
            <w:shd w:val="clear" w:color="auto" w:fill="auto"/>
          </w:tcPr>
          <w:p w14:paraId="5A42C95D" w14:textId="67D040E3" w:rsidR="00DE694D" w:rsidRPr="00775B4A" w:rsidRDefault="00DE694D" w:rsidP="00DE694D">
            <w:pPr>
              <w:pStyle w:val="TableBody"/>
            </w:pPr>
            <w:r w:rsidRPr="00916C98">
              <w:t>Q3/4 2019–20: Options paper</w:t>
            </w:r>
          </w:p>
        </w:tc>
      </w:tr>
      <w:tr w:rsidR="00C76383" w:rsidRPr="006D46E5" w14:paraId="7A2D5617" w14:textId="77777777" w:rsidTr="000301A7">
        <w:trPr>
          <w:trHeight w:val="679"/>
        </w:trPr>
        <w:tc>
          <w:tcPr>
            <w:tcW w:w="1100" w:type="pct"/>
            <w:vMerge/>
            <w:shd w:val="clear" w:color="auto" w:fill="auto"/>
          </w:tcPr>
          <w:p w14:paraId="66A5A1F0" w14:textId="77777777" w:rsidR="00C76383" w:rsidRPr="005759E7" w:rsidRDefault="00C76383" w:rsidP="00D87E10">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7B4259DD" w14:textId="5BAD15CB" w:rsidR="00C76383" w:rsidRPr="00775B4A" w:rsidRDefault="00C76383" w:rsidP="00DE694D">
            <w:pPr>
              <w:pStyle w:val="TableBody"/>
            </w:pPr>
            <w:r w:rsidRPr="00E26672">
              <w:t xml:space="preserve">1710–1785 </w:t>
            </w:r>
            <w:r w:rsidR="00F01663">
              <w:t>MHz</w:t>
            </w:r>
            <w:r w:rsidRPr="00E26672">
              <w:t xml:space="preserve"> and1805–1880 MHz (1800 MHz) </w:t>
            </w:r>
            <w:r w:rsidRPr="00E77F3C">
              <w:t>in remote areas</w:t>
            </w:r>
          </w:p>
        </w:tc>
        <w:tc>
          <w:tcPr>
            <w:tcW w:w="2135" w:type="pct"/>
            <w:shd w:val="clear" w:color="auto" w:fill="auto"/>
          </w:tcPr>
          <w:p w14:paraId="3B7E5FC8" w14:textId="1B955C38" w:rsidR="00C76383" w:rsidRPr="00916C98" w:rsidRDefault="00C76383" w:rsidP="00DE694D">
            <w:pPr>
              <w:pStyle w:val="TableBody"/>
            </w:pPr>
            <w:r w:rsidRPr="00916C98">
              <w:t xml:space="preserve">Q4 2018–19: Discussion paper on planning issues </w:t>
            </w:r>
          </w:p>
        </w:tc>
      </w:tr>
      <w:tr w:rsidR="00C76383" w:rsidRPr="006D46E5" w14:paraId="05B0C345" w14:textId="77777777" w:rsidTr="000301A7">
        <w:trPr>
          <w:trHeight w:val="294"/>
        </w:trPr>
        <w:tc>
          <w:tcPr>
            <w:tcW w:w="1100" w:type="pct"/>
            <w:vMerge/>
            <w:shd w:val="clear" w:color="auto" w:fill="auto"/>
          </w:tcPr>
          <w:p w14:paraId="384CB9C6" w14:textId="77777777" w:rsidR="00C76383" w:rsidRPr="005759E7" w:rsidRDefault="00C76383" w:rsidP="00D87E10">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727FBFDC" w14:textId="4BFF9E92" w:rsidR="00C76383" w:rsidRPr="00E26672" w:rsidRDefault="00C76383" w:rsidP="00DE694D">
            <w:pPr>
              <w:pStyle w:val="TableBody"/>
            </w:pPr>
            <w:r w:rsidRPr="00E26672">
              <w:t>3.4–3.575 GHz</w:t>
            </w:r>
          </w:p>
        </w:tc>
        <w:tc>
          <w:tcPr>
            <w:tcW w:w="2135" w:type="pct"/>
            <w:shd w:val="clear" w:color="auto" w:fill="auto"/>
          </w:tcPr>
          <w:p w14:paraId="29F06072" w14:textId="5E8A1025" w:rsidR="00C76383" w:rsidRPr="00775B4A" w:rsidRDefault="00C76383" w:rsidP="00DE694D">
            <w:pPr>
              <w:pStyle w:val="TableBody"/>
            </w:pPr>
            <w:r w:rsidRPr="00E77F3C">
              <w:t>Q4 2018–19: Reconfiguration options paper</w:t>
            </w:r>
          </w:p>
        </w:tc>
      </w:tr>
      <w:tr w:rsidR="00C76383" w:rsidRPr="006D46E5" w14:paraId="23E88AF1" w14:textId="77777777" w:rsidTr="00E77F3C">
        <w:trPr>
          <w:trHeight w:val="294"/>
        </w:trPr>
        <w:tc>
          <w:tcPr>
            <w:tcW w:w="1100" w:type="pct"/>
            <w:vMerge/>
            <w:shd w:val="clear" w:color="auto" w:fill="auto"/>
          </w:tcPr>
          <w:p w14:paraId="0B84572D" w14:textId="77777777" w:rsidR="00C76383" w:rsidRPr="005759E7" w:rsidRDefault="00C76383" w:rsidP="00C76383">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6F110939" w14:textId="61BFDB3D" w:rsidR="00C76383" w:rsidRPr="00E26672" w:rsidRDefault="00531E5D" w:rsidP="00C76383">
            <w:pPr>
              <w:pStyle w:val="TableBody"/>
            </w:pPr>
            <w:r w:rsidRPr="001C517F">
              <w:rPr>
                <w:rFonts w:cs="Arial"/>
                <w:szCs w:val="20"/>
              </w:rPr>
              <w:t xml:space="preserve">28 GHz </w:t>
            </w:r>
            <w:r w:rsidRPr="001C517F">
              <w:rPr>
                <w:rFonts w:cs="Arial"/>
                <w:szCs w:val="20"/>
              </w:rPr>
              <w:br/>
              <w:t>(27.5–29.5 GHz)</w:t>
            </w:r>
          </w:p>
        </w:tc>
        <w:tc>
          <w:tcPr>
            <w:tcW w:w="2135" w:type="pct"/>
            <w:shd w:val="clear" w:color="auto" w:fill="auto"/>
          </w:tcPr>
          <w:p w14:paraId="67F64578" w14:textId="77777777" w:rsidR="00531E5D" w:rsidRDefault="00531E5D" w:rsidP="00531E5D">
            <w:pPr>
              <w:pStyle w:val="TableBody"/>
              <w:spacing w:after="120" w:line="240" w:lineRule="atLeast"/>
              <w:mirrorIndents/>
              <w:rPr>
                <w:rFonts w:cs="Arial"/>
                <w:szCs w:val="20"/>
              </w:rPr>
            </w:pPr>
            <w:r w:rsidRPr="005759E7">
              <w:rPr>
                <w:rFonts w:cs="Arial"/>
                <w:szCs w:val="20"/>
              </w:rPr>
              <w:t>Q</w:t>
            </w:r>
            <w:r>
              <w:rPr>
                <w:rFonts w:cs="Arial"/>
                <w:szCs w:val="20"/>
              </w:rPr>
              <w:t>4 2018–19:</w:t>
            </w:r>
            <w:r w:rsidDel="00ED4005">
              <w:rPr>
                <w:rFonts w:cs="Arial"/>
                <w:szCs w:val="20"/>
              </w:rPr>
              <w:t xml:space="preserve"> </w:t>
            </w:r>
            <w:r>
              <w:rPr>
                <w:rFonts w:cs="Arial"/>
                <w:szCs w:val="20"/>
              </w:rPr>
              <w:t>Options paper on planning arrangements in the band</w:t>
            </w:r>
            <w:r w:rsidRPr="005759E7">
              <w:rPr>
                <w:rFonts w:cs="Arial"/>
                <w:szCs w:val="20"/>
              </w:rPr>
              <w:t xml:space="preserve"> </w:t>
            </w:r>
          </w:p>
          <w:p w14:paraId="7B9BD287" w14:textId="0D4D50EF" w:rsidR="00C76383" w:rsidRPr="00E77F3C" w:rsidRDefault="00531E5D" w:rsidP="00C76383">
            <w:pPr>
              <w:pStyle w:val="TableBody"/>
            </w:pPr>
            <w:r>
              <w:rPr>
                <w:szCs w:val="20"/>
              </w:rPr>
              <w:t xml:space="preserve">Q1 2019-20: </w:t>
            </w:r>
            <w:r w:rsidR="00500D12">
              <w:rPr>
                <w:szCs w:val="20"/>
              </w:rPr>
              <w:t>Planning d</w:t>
            </w:r>
            <w:r>
              <w:rPr>
                <w:szCs w:val="20"/>
              </w:rPr>
              <w:t xml:space="preserve">ecision </w:t>
            </w:r>
          </w:p>
        </w:tc>
      </w:tr>
      <w:tr w:rsidR="00DE694D" w:rsidRPr="006D46E5" w14:paraId="703A14CD" w14:textId="77777777" w:rsidTr="00DE694D">
        <w:trPr>
          <w:trHeight w:val="981"/>
        </w:trPr>
        <w:tc>
          <w:tcPr>
            <w:tcW w:w="1100" w:type="pct"/>
            <w:vMerge w:val="restart"/>
            <w:shd w:val="clear" w:color="auto" w:fill="auto"/>
          </w:tcPr>
          <w:p w14:paraId="1405E538" w14:textId="39849B98" w:rsidR="00DE694D" w:rsidRPr="005759E7" w:rsidRDefault="00DE694D" w:rsidP="00D87E10">
            <w:pPr>
              <w:pStyle w:val="TableBody"/>
              <w:spacing w:before="100" w:beforeAutospacing="1" w:after="100" w:afterAutospacing="1" w:line="240" w:lineRule="atLeast"/>
              <w:contextualSpacing/>
              <w:mirrorIndents/>
              <w:rPr>
                <w:rFonts w:cs="Arial"/>
                <w:szCs w:val="20"/>
              </w:rPr>
            </w:pPr>
            <w:r w:rsidRPr="005759E7">
              <w:rPr>
                <w:rFonts w:cs="Arial"/>
                <w:szCs w:val="20"/>
              </w:rPr>
              <w:t>Re</w:t>
            </w:r>
            <w:r>
              <w:rPr>
                <w:rFonts w:cs="Arial"/>
                <w:szCs w:val="20"/>
              </w:rPr>
              <w:t>planning</w:t>
            </w:r>
          </w:p>
        </w:tc>
        <w:tc>
          <w:tcPr>
            <w:tcW w:w="1765" w:type="pct"/>
            <w:shd w:val="clear" w:color="auto" w:fill="auto"/>
          </w:tcPr>
          <w:p w14:paraId="7E9C4BDE" w14:textId="4E09C4CE" w:rsidR="00DE694D" w:rsidRPr="00E02187" w:rsidRDefault="00DE694D" w:rsidP="00DE694D">
            <w:pPr>
              <w:pStyle w:val="TableBody"/>
            </w:pPr>
            <w:r w:rsidRPr="00E26672">
              <w:t>850 MHz expansion band (809–</w:t>
            </w:r>
            <w:r w:rsidRPr="00BB06BC">
              <w:t>824 MHz and 854</w:t>
            </w:r>
            <w:r w:rsidRPr="00775B4A">
              <w:t>–869 MHz)</w:t>
            </w:r>
          </w:p>
        </w:tc>
        <w:tc>
          <w:tcPr>
            <w:tcW w:w="2135" w:type="pct"/>
            <w:shd w:val="clear" w:color="auto" w:fill="auto"/>
          </w:tcPr>
          <w:p w14:paraId="15EE40D6" w14:textId="09043B4C" w:rsidR="00DE694D" w:rsidRPr="00037A1C" w:rsidRDefault="00DE694D" w:rsidP="00DE694D">
            <w:pPr>
              <w:pStyle w:val="TableBody"/>
            </w:pPr>
            <w:r w:rsidRPr="00775B4A">
              <w:t xml:space="preserve">Band is </w:t>
            </w:r>
            <w:r>
              <w:t xml:space="preserve">being </w:t>
            </w:r>
            <w:r w:rsidRPr="00775B4A">
              <w:t>cleared progressively</w:t>
            </w:r>
            <w:r>
              <w:t>.</w:t>
            </w:r>
            <w:r w:rsidRPr="00775B4A">
              <w:t xml:space="preserve"> ACMA continues to consider options </w:t>
            </w:r>
            <w:r>
              <w:t>for</w:t>
            </w:r>
            <w:r w:rsidRPr="00775B4A">
              <w:t xml:space="preserve"> optimis</w:t>
            </w:r>
            <w:r>
              <w:t>ing</w:t>
            </w:r>
            <w:r w:rsidRPr="00775B4A">
              <w:t xml:space="preserve"> its use. Allocation timeframes tied to those of the 900 MHz band </w:t>
            </w:r>
          </w:p>
        </w:tc>
      </w:tr>
      <w:tr w:rsidR="0047508A" w:rsidRPr="006D46E5" w14:paraId="606ED961" w14:textId="77777777" w:rsidTr="000301A7">
        <w:trPr>
          <w:trHeight w:val="735"/>
        </w:trPr>
        <w:tc>
          <w:tcPr>
            <w:tcW w:w="1100" w:type="pct"/>
            <w:vMerge/>
            <w:shd w:val="clear" w:color="auto" w:fill="auto"/>
          </w:tcPr>
          <w:p w14:paraId="1F7AC8AE" w14:textId="77777777" w:rsidR="0047508A" w:rsidRPr="005759E7" w:rsidRDefault="0047508A" w:rsidP="00D87E10">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44717C2C" w14:textId="1178A403" w:rsidR="0047508A" w:rsidRPr="00775B4A" w:rsidRDefault="0047508A" w:rsidP="00DE694D">
            <w:pPr>
              <w:pStyle w:val="TableBody"/>
            </w:pPr>
            <w:r w:rsidRPr="00E26672">
              <w:t xml:space="preserve">900 MHz (890–915 </w:t>
            </w:r>
            <w:r w:rsidR="00F01663">
              <w:t>MHz</w:t>
            </w:r>
            <w:r w:rsidR="000F4877" w:rsidRPr="00E26672">
              <w:t xml:space="preserve"> </w:t>
            </w:r>
            <w:r w:rsidRPr="00BB06BC">
              <w:t>and 935</w:t>
            </w:r>
            <w:r w:rsidRPr="00775B4A">
              <w:t>–960 MHz)</w:t>
            </w:r>
          </w:p>
        </w:tc>
        <w:tc>
          <w:tcPr>
            <w:tcW w:w="2135" w:type="pct"/>
            <w:shd w:val="clear" w:color="auto" w:fill="auto"/>
          </w:tcPr>
          <w:p w14:paraId="50B59054" w14:textId="07D2A54B" w:rsidR="0047508A" w:rsidRPr="00916C98" w:rsidRDefault="0047508A" w:rsidP="00DE694D">
            <w:pPr>
              <w:pStyle w:val="TableBody"/>
            </w:pPr>
            <w:r w:rsidRPr="00775B4A">
              <w:t>Further consultation on configuration</w:t>
            </w:r>
            <w:r w:rsidRPr="00916C98">
              <w:t xml:space="preserve"> options for the </w:t>
            </w:r>
            <w:r w:rsidR="00E93A04">
              <w:t>band</w:t>
            </w:r>
            <w:r w:rsidRPr="00916C98">
              <w:t xml:space="preserve"> will be conducted in Q4 2018–19</w:t>
            </w:r>
          </w:p>
        </w:tc>
      </w:tr>
      <w:tr w:rsidR="0047508A" w:rsidRPr="006D46E5" w14:paraId="7D2AAF00" w14:textId="77777777" w:rsidTr="00E77F3C">
        <w:trPr>
          <w:trHeight w:val="735"/>
        </w:trPr>
        <w:tc>
          <w:tcPr>
            <w:tcW w:w="1100" w:type="pct"/>
            <w:vMerge/>
            <w:shd w:val="clear" w:color="auto" w:fill="auto"/>
          </w:tcPr>
          <w:p w14:paraId="1095B14E" w14:textId="77777777" w:rsidR="0047508A" w:rsidRPr="005759E7" w:rsidRDefault="0047508A" w:rsidP="0047508A">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59BFB71B" w14:textId="22BC9031" w:rsidR="0047508A" w:rsidRPr="00E26672" w:rsidRDefault="0047508A" w:rsidP="0047508A">
            <w:pPr>
              <w:pStyle w:val="TableBody"/>
            </w:pPr>
            <w:r w:rsidRPr="00E26672">
              <w:t>5.6 GHz (5600–5650 MHz)</w:t>
            </w:r>
          </w:p>
        </w:tc>
        <w:tc>
          <w:tcPr>
            <w:tcW w:w="2135" w:type="pct"/>
            <w:shd w:val="clear" w:color="auto" w:fill="auto"/>
          </w:tcPr>
          <w:p w14:paraId="2AE0625F" w14:textId="36F45B21" w:rsidR="0047508A" w:rsidRPr="00775B4A" w:rsidRDefault="0047508A" w:rsidP="0047508A">
            <w:pPr>
              <w:pStyle w:val="TableBody"/>
            </w:pPr>
            <w:r>
              <w:t xml:space="preserve">In Q1/2 2019–20 the </w:t>
            </w:r>
            <w:r w:rsidRPr="00E02187">
              <w:t>ACMA</w:t>
            </w:r>
            <w:r>
              <w:t xml:space="preserve"> plans to</w:t>
            </w:r>
            <w:r w:rsidRPr="00E02187">
              <w:t xml:space="preserve"> </w:t>
            </w:r>
            <w:r>
              <w:t>finalise</w:t>
            </w:r>
            <w:r w:rsidRPr="00E02187">
              <w:t xml:space="preserve"> the release of the 5.6 GHz band, including transitional arrangements for 3.6 GHz band </w:t>
            </w:r>
            <w:r w:rsidRPr="00EA18CC">
              <w:t>point-to-multipoint licensees</w:t>
            </w:r>
            <w:r>
              <w:t xml:space="preserve"> including fixed wireless access</w:t>
            </w:r>
            <w:r w:rsidRPr="00EA18CC">
              <w:t xml:space="preserve"> </w:t>
            </w:r>
          </w:p>
        </w:tc>
      </w:tr>
      <w:tr w:rsidR="00531E5D" w:rsidRPr="006D46E5" w14:paraId="16E82666" w14:textId="77777777" w:rsidTr="00E77F3C">
        <w:trPr>
          <w:trHeight w:val="735"/>
        </w:trPr>
        <w:tc>
          <w:tcPr>
            <w:tcW w:w="1100" w:type="pct"/>
            <w:vMerge/>
            <w:shd w:val="clear" w:color="auto" w:fill="auto"/>
          </w:tcPr>
          <w:p w14:paraId="2337EF02" w14:textId="77777777" w:rsidR="00531E5D" w:rsidRPr="005759E7" w:rsidRDefault="00531E5D" w:rsidP="00531E5D">
            <w:pPr>
              <w:pStyle w:val="TableBody"/>
              <w:spacing w:before="100" w:beforeAutospacing="1" w:after="100" w:afterAutospacing="1" w:line="240" w:lineRule="atLeast"/>
              <w:contextualSpacing/>
              <w:mirrorIndents/>
              <w:rPr>
                <w:rFonts w:cs="Arial"/>
                <w:szCs w:val="20"/>
              </w:rPr>
            </w:pPr>
          </w:p>
        </w:tc>
        <w:tc>
          <w:tcPr>
            <w:tcW w:w="1765" w:type="pct"/>
            <w:shd w:val="clear" w:color="auto" w:fill="auto"/>
          </w:tcPr>
          <w:p w14:paraId="33D8E27D" w14:textId="50FAFD25" w:rsidR="00531E5D" w:rsidRPr="00E26672" w:rsidRDefault="00531E5D" w:rsidP="00531E5D">
            <w:pPr>
              <w:pStyle w:val="TableBody"/>
            </w:pPr>
            <w:r w:rsidRPr="00E26672">
              <w:t>26 GHz (24.25–</w:t>
            </w:r>
            <w:r w:rsidRPr="002C75FC">
              <w:t>27.5 GHz)</w:t>
            </w:r>
          </w:p>
        </w:tc>
        <w:tc>
          <w:tcPr>
            <w:tcW w:w="2135" w:type="pct"/>
            <w:shd w:val="clear" w:color="auto" w:fill="auto"/>
          </w:tcPr>
          <w:p w14:paraId="2275A92F" w14:textId="0BB6A14C" w:rsidR="00531E5D" w:rsidRDefault="00531E5D" w:rsidP="00531E5D">
            <w:pPr>
              <w:pStyle w:val="TableBody"/>
            </w:pPr>
            <w:r w:rsidRPr="00775B4A">
              <w:t xml:space="preserve">Q4 2018–19: </w:t>
            </w:r>
            <w:r w:rsidR="00500D12">
              <w:t>Planning</w:t>
            </w:r>
            <w:r>
              <w:t xml:space="preserve"> d</w:t>
            </w:r>
            <w:r w:rsidRPr="00775B4A">
              <w:t>ecision</w:t>
            </w:r>
          </w:p>
        </w:tc>
      </w:tr>
    </w:tbl>
    <w:p w14:paraId="7F3CEC1D" w14:textId="77777777" w:rsidR="0058077F" w:rsidRPr="001B1B7A" w:rsidRDefault="0058077F" w:rsidP="00D7755E">
      <w:pPr>
        <w:pStyle w:val="ACMASpaceaftertable"/>
      </w:pPr>
    </w:p>
    <w:p w14:paraId="5F3B0740" w14:textId="4FC2B685" w:rsidR="009116B7" w:rsidRDefault="009116B7" w:rsidP="00DE694D">
      <w:pPr>
        <w:pStyle w:val="ACMATableHeader"/>
        <w:keepNext/>
      </w:pPr>
      <w:r>
        <w:lastRenderedPageBreak/>
        <w:t>Planning</w:t>
      </w:r>
      <w:r w:rsidR="00E6326B">
        <w:t>—</w:t>
      </w:r>
      <w:r w:rsidRPr="00E6326B">
        <w:t>optimising</w:t>
      </w:r>
      <w:r>
        <w:t xml:space="preserve"> established planning </w:t>
      </w:r>
      <w:r w:rsidRPr="00457EAA">
        <w:t>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1696"/>
        <w:gridCol w:w="4675"/>
        <w:gridCol w:w="1290"/>
      </w:tblGrid>
      <w:tr w:rsidR="001178EE" w:rsidRPr="006D46E5" w14:paraId="2D42E986" w14:textId="77777777" w:rsidTr="00596594">
        <w:trPr>
          <w:tblHeader/>
        </w:trPr>
        <w:tc>
          <w:tcPr>
            <w:tcW w:w="1107" w:type="pct"/>
            <w:shd w:val="clear" w:color="auto" w:fill="404040" w:themeFill="text1" w:themeFillTint="BF"/>
          </w:tcPr>
          <w:p w14:paraId="7691FFAF" w14:textId="77777777" w:rsidR="001178EE" w:rsidRDefault="001178EE" w:rsidP="00B747E1">
            <w:pPr>
              <w:pStyle w:val="TableHeading"/>
            </w:pPr>
            <w:r>
              <w:t>Planning area</w:t>
            </w:r>
          </w:p>
        </w:tc>
        <w:tc>
          <w:tcPr>
            <w:tcW w:w="3051" w:type="pct"/>
            <w:shd w:val="clear" w:color="auto" w:fill="404040" w:themeFill="text1" w:themeFillTint="BF"/>
          </w:tcPr>
          <w:p w14:paraId="5A0AC9D2" w14:textId="77777777" w:rsidR="001178EE" w:rsidRPr="006D46E5" w:rsidRDefault="001178EE" w:rsidP="00B747E1">
            <w:pPr>
              <w:pStyle w:val="TableHeading"/>
            </w:pPr>
            <w:r>
              <w:t>Project priorities</w:t>
            </w:r>
          </w:p>
        </w:tc>
        <w:tc>
          <w:tcPr>
            <w:tcW w:w="842" w:type="pct"/>
            <w:shd w:val="clear" w:color="auto" w:fill="404040" w:themeFill="text1" w:themeFillTint="BF"/>
          </w:tcPr>
          <w:p w14:paraId="6AED50D5" w14:textId="77777777" w:rsidR="001178EE" w:rsidRPr="006D46E5" w:rsidRDefault="001178EE" w:rsidP="00B747E1">
            <w:pPr>
              <w:pStyle w:val="TableHeading"/>
            </w:pPr>
            <w:r>
              <w:t>Proposed timelines</w:t>
            </w:r>
          </w:p>
        </w:tc>
      </w:tr>
      <w:tr w:rsidR="00E77F3C" w:rsidRPr="006D46E5" w14:paraId="3CA22497" w14:textId="77777777" w:rsidTr="00DE694D">
        <w:trPr>
          <w:trHeight w:val="489"/>
        </w:trPr>
        <w:tc>
          <w:tcPr>
            <w:tcW w:w="1107" w:type="pct"/>
            <w:vMerge w:val="restart"/>
            <w:shd w:val="clear" w:color="auto" w:fill="auto"/>
          </w:tcPr>
          <w:p w14:paraId="7B05941D" w14:textId="77777777" w:rsidR="00E77F3C" w:rsidRPr="00775B4A" w:rsidRDefault="00E77F3C" w:rsidP="00DE694D">
            <w:pPr>
              <w:pStyle w:val="TableBody"/>
            </w:pPr>
            <w:r w:rsidRPr="00E26672">
              <w:t xml:space="preserve">Broadcasting </w:t>
            </w:r>
            <w:proofErr w:type="spellStart"/>
            <w:r w:rsidRPr="00E26672">
              <w:t>a</w:t>
            </w:r>
            <w:r w:rsidRPr="00775B4A">
              <w:t>nalog</w:t>
            </w:r>
            <w:proofErr w:type="spellEnd"/>
            <w:r w:rsidRPr="00775B4A">
              <w:t xml:space="preserve"> and digital radio</w:t>
            </w:r>
          </w:p>
        </w:tc>
        <w:tc>
          <w:tcPr>
            <w:tcW w:w="3051" w:type="pct"/>
            <w:shd w:val="clear" w:color="auto" w:fill="auto"/>
          </w:tcPr>
          <w:p w14:paraId="22B53F84" w14:textId="0D7CCFFA" w:rsidR="00E77F3C" w:rsidRPr="00775B4A" w:rsidRDefault="00E77F3C" w:rsidP="00DE694D">
            <w:pPr>
              <w:pStyle w:val="TableBody"/>
            </w:pPr>
            <w:r w:rsidRPr="00DB2320">
              <w:t>Finalise outcome of the consultation on AM to FM conversion for Scottsdale, Tasmania</w:t>
            </w:r>
            <w:r w:rsidRPr="00775B4A">
              <w:t xml:space="preserve"> </w:t>
            </w:r>
          </w:p>
        </w:tc>
        <w:tc>
          <w:tcPr>
            <w:tcW w:w="842" w:type="pct"/>
            <w:shd w:val="clear" w:color="auto" w:fill="auto"/>
          </w:tcPr>
          <w:p w14:paraId="50A748D6" w14:textId="5B840F31" w:rsidR="00E77F3C" w:rsidRPr="00155D31" w:rsidRDefault="00E77F3C" w:rsidP="00DE694D">
            <w:pPr>
              <w:pStyle w:val="TableBody"/>
            </w:pPr>
            <w:r w:rsidRPr="00775B4A">
              <w:t xml:space="preserve">Q1 </w:t>
            </w:r>
            <w:r w:rsidRPr="00775B4A">
              <w:br/>
            </w:r>
            <w:r w:rsidRPr="00916C98">
              <w:t>2019–20</w:t>
            </w:r>
          </w:p>
        </w:tc>
      </w:tr>
      <w:tr w:rsidR="00E77F3C" w:rsidRPr="006D46E5" w14:paraId="13338B96" w14:textId="77777777" w:rsidTr="00DE694D">
        <w:trPr>
          <w:trHeight w:val="318"/>
        </w:trPr>
        <w:tc>
          <w:tcPr>
            <w:tcW w:w="1107" w:type="pct"/>
            <w:vMerge/>
            <w:shd w:val="clear" w:color="auto" w:fill="auto"/>
          </w:tcPr>
          <w:p w14:paraId="2329FEE4" w14:textId="77777777" w:rsidR="00E77F3C" w:rsidRPr="00155D31" w:rsidRDefault="00E77F3C" w:rsidP="00DE694D">
            <w:pPr>
              <w:pStyle w:val="TableBody"/>
            </w:pPr>
          </w:p>
        </w:tc>
        <w:tc>
          <w:tcPr>
            <w:tcW w:w="3051" w:type="pct"/>
            <w:shd w:val="clear" w:color="auto" w:fill="auto"/>
          </w:tcPr>
          <w:p w14:paraId="1D244174" w14:textId="7584B814" w:rsidR="00E77F3C" w:rsidRPr="00E26672" w:rsidRDefault="00E77F3C" w:rsidP="00DE694D">
            <w:pPr>
              <w:pStyle w:val="TableBody"/>
            </w:pPr>
            <w:r w:rsidRPr="00155D31">
              <w:t>Develop and consult on proposals for AM to FM conversion for Bega, Cooma and Goulburn</w:t>
            </w:r>
            <w:r w:rsidR="009F310D">
              <w:t>, New South Wales</w:t>
            </w:r>
            <w:r w:rsidRPr="00E26672">
              <w:t xml:space="preserve"> </w:t>
            </w:r>
          </w:p>
        </w:tc>
        <w:tc>
          <w:tcPr>
            <w:tcW w:w="842" w:type="pct"/>
            <w:shd w:val="clear" w:color="auto" w:fill="auto"/>
          </w:tcPr>
          <w:p w14:paraId="12EFC3B4" w14:textId="01300220" w:rsidR="00E77F3C" w:rsidRPr="00775B4A" w:rsidRDefault="00E77F3C" w:rsidP="00DE694D">
            <w:pPr>
              <w:pStyle w:val="TableBody"/>
            </w:pPr>
            <w:r w:rsidRPr="00775B4A">
              <w:t xml:space="preserve">Q3 </w:t>
            </w:r>
            <w:r w:rsidRPr="00775B4A">
              <w:br/>
              <w:t>2018–19</w:t>
            </w:r>
          </w:p>
        </w:tc>
      </w:tr>
      <w:tr w:rsidR="00E77F3C" w:rsidRPr="006D46E5" w14:paraId="6CE7EFF2" w14:textId="77777777" w:rsidTr="00596594">
        <w:trPr>
          <w:trHeight w:val="945"/>
        </w:trPr>
        <w:tc>
          <w:tcPr>
            <w:tcW w:w="1107" w:type="pct"/>
            <w:vMerge/>
            <w:shd w:val="clear" w:color="auto" w:fill="auto"/>
          </w:tcPr>
          <w:p w14:paraId="3B7EC000" w14:textId="77777777" w:rsidR="00E77F3C" w:rsidRPr="00155D31" w:rsidRDefault="00E77F3C" w:rsidP="00DE694D">
            <w:pPr>
              <w:pStyle w:val="TableBody"/>
            </w:pPr>
          </w:p>
        </w:tc>
        <w:tc>
          <w:tcPr>
            <w:tcW w:w="3051" w:type="pct"/>
            <w:shd w:val="clear" w:color="auto" w:fill="auto"/>
          </w:tcPr>
          <w:p w14:paraId="089896EC" w14:textId="7447BD23" w:rsidR="00E77F3C" w:rsidRPr="00DB2320" w:rsidRDefault="00E77F3C" w:rsidP="00DE694D">
            <w:pPr>
              <w:pStyle w:val="TableBody"/>
            </w:pPr>
            <w:r w:rsidRPr="00155D31">
              <w:t xml:space="preserve">Consult on AM to FM conversion </w:t>
            </w:r>
            <w:r w:rsidR="00671D80">
              <w:t>proposals</w:t>
            </w:r>
            <w:r w:rsidRPr="00155D31">
              <w:t xml:space="preserve"> for Murray Bridge, Spencer North and Port Lincoln</w:t>
            </w:r>
            <w:r w:rsidR="009F310D">
              <w:t>, South Australia</w:t>
            </w:r>
          </w:p>
        </w:tc>
        <w:tc>
          <w:tcPr>
            <w:tcW w:w="842" w:type="pct"/>
            <w:shd w:val="clear" w:color="auto" w:fill="auto"/>
          </w:tcPr>
          <w:p w14:paraId="60E283D2" w14:textId="29CE34AF" w:rsidR="00E77F3C" w:rsidRPr="00775B4A" w:rsidRDefault="00E77F3C" w:rsidP="00DE694D">
            <w:pPr>
              <w:pStyle w:val="TableBody"/>
            </w:pPr>
            <w:r w:rsidRPr="00775B4A">
              <w:t>Consult Q4 2018–19</w:t>
            </w:r>
            <w:r w:rsidRPr="00775B4A">
              <w:br/>
              <w:t xml:space="preserve">Finalise Q1 2019–20 </w:t>
            </w:r>
          </w:p>
        </w:tc>
      </w:tr>
      <w:tr w:rsidR="00E77F3C" w:rsidRPr="006D46E5" w14:paraId="6E88E21B" w14:textId="77777777" w:rsidTr="00DE694D">
        <w:trPr>
          <w:trHeight w:val="664"/>
        </w:trPr>
        <w:tc>
          <w:tcPr>
            <w:tcW w:w="1107" w:type="pct"/>
            <w:vMerge/>
            <w:shd w:val="clear" w:color="auto" w:fill="auto"/>
          </w:tcPr>
          <w:p w14:paraId="18ECFCE5" w14:textId="77777777" w:rsidR="00E77F3C" w:rsidRPr="00155D31" w:rsidRDefault="00E77F3C" w:rsidP="00DE694D">
            <w:pPr>
              <w:pStyle w:val="TableBody"/>
            </w:pPr>
          </w:p>
        </w:tc>
        <w:tc>
          <w:tcPr>
            <w:tcW w:w="3051" w:type="pct"/>
            <w:shd w:val="clear" w:color="auto" w:fill="auto"/>
          </w:tcPr>
          <w:p w14:paraId="56AE98E8" w14:textId="0D920A80" w:rsidR="00E77F3C" w:rsidRPr="00DB2320" w:rsidRDefault="00E77F3C" w:rsidP="00DE694D">
            <w:pPr>
              <w:pStyle w:val="TableBody"/>
            </w:pPr>
            <w:r w:rsidRPr="00155D31">
              <w:t>Develop and consult on proposals for AM to FM conversions in Taree and Grafton</w:t>
            </w:r>
            <w:r w:rsidR="009F310D">
              <w:t>, New South Wales</w:t>
            </w:r>
          </w:p>
        </w:tc>
        <w:tc>
          <w:tcPr>
            <w:tcW w:w="842" w:type="pct"/>
            <w:shd w:val="clear" w:color="auto" w:fill="auto"/>
          </w:tcPr>
          <w:p w14:paraId="032CF392" w14:textId="66C7D3BF" w:rsidR="00E77F3C" w:rsidRPr="00775B4A" w:rsidRDefault="00E77F3C" w:rsidP="00DE694D">
            <w:pPr>
              <w:pStyle w:val="TableBody"/>
            </w:pPr>
            <w:r w:rsidRPr="00775B4A">
              <w:t>Consult Q4 2018–19 Finalise Q1 2019–20</w:t>
            </w:r>
          </w:p>
        </w:tc>
      </w:tr>
      <w:tr w:rsidR="00E77F3C" w:rsidRPr="006D46E5" w14:paraId="74E31042" w14:textId="77777777" w:rsidTr="00DE694D">
        <w:trPr>
          <w:trHeight w:val="552"/>
        </w:trPr>
        <w:tc>
          <w:tcPr>
            <w:tcW w:w="1107" w:type="pct"/>
            <w:vMerge/>
            <w:shd w:val="clear" w:color="auto" w:fill="auto"/>
          </w:tcPr>
          <w:p w14:paraId="14571D40" w14:textId="77777777" w:rsidR="00E77F3C" w:rsidRPr="00155D31" w:rsidRDefault="00E77F3C" w:rsidP="00DE694D">
            <w:pPr>
              <w:pStyle w:val="TableBody"/>
            </w:pPr>
          </w:p>
        </w:tc>
        <w:tc>
          <w:tcPr>
            <w:tcW w:w="3051" w:type="pct"/>
            <w:shd w:val="clear" w:color="auto" w:fill="auto"/>
          </w:tcPr>
          <w:p w14:paraId="6D09D8F8" w14:textId="3BE37A46" w:rsidR="00E77F3C" w:rsidRPr="00DB2320" w:rsidRDefault="00E77F3C" w:rsidP="00DE694D">
            <w:pPr>
              <w:pStyle w:val="TableBody"/>
            </w:pPr>
            <w:r w:rsidRPr="00155D31">
              <w:t xml:space="preserve">Develop and consult on the potential for replanning </w:t>
            </w:r>
            <w:proofErr w:type="spellStart"/>
            <w:r w:rsidRPr="00155D31">
              <w:t>analog</w:t>
            </w:r>
            <w:proofErr w:type="spellEnd"/>
            <w:r w:rsidRPr="00155D31">
              <w:t xml:space="preserve"> radio services in Perth following the clearance of Band II TV in Bunbury</w:t>
            </w:r>
          </w:p>
        </w:tc>
        <w:tc>
          <w:tcPr>
            <w:tcW w:w="842" w:type="pct"/>
            <w:shd w:val="clear" w:color="auto" w:fill="auto"/>
          </w:tcPr>
          <w:p w14:paraId="2DD58F31" w14:textId="1B13383E" w:rsidR="00E77F3C" w:rsidRPr="00775B4A" w:rsidRDefault="00E77F3C" w:rsidP="00DE694D">
            <w:pPr>
              <w:pStyle w:val="TableBody"/>
            </w:pPr>
            <w:r w:rsidRPr="00775B4A">
              <w:t xml:space="preserve">Q3/4 </w:t>
            </w:r>
            <w:r w:rsidRPr="00775B4A">
              <w:br/>
              <w:t>2019–20</w:t>
            </w:r>
          </w:p>
        </w:tc>
      </w:tr>
      <w:tr w:rsidR="00E77F3C" w:rsidRPr="006D46E5" w14:paraId="09AB3402" w14:textId="77777777" w:rsidTr="00DE694D">
        <w:trPr>
          <w:trHeight w:val="536"/>
        </w:trPr>
        <w:tc>
          <w:tcPr>
            <w:tcW w:w="1107" w:type="pct"/>
            <w:vMerge/>
            <w:shd w:val="clear" w:color="auto" w:fill="auto"/>
          </w:tcPr>
          <w:p w14:paraId="45F39C6D" w14:textId="77777777" w:rsidR="00E77F3C" w:rsidRPr="00155D31" w:rsidRDefault="00E77F3C" w:rsidP="00DE694D">
            <w:pPr>
              <w:pStyle w:val="TableBody"/>
            </w:pPr>
          </w:p>
        </w:tc>
        <w:tc>
          <w:tcPr>
            <w:tcW w:w="3051" w:type="pct"/>
            <w:shd w:val="clear" w:color="auto" w:fill="auto"/>
          </w:tcPr>
          <w:p w14:paraId="2DC4E388" w14:textId="6F871950" w:rsidR="00E77F3C" w:rsidRPr="00DB2320" w:rsidRDefault="00E77F3C" w:rsidP="00DE694D">
            <w:pPr>
              <w:pStyle w:val="TableBody"/>
            </w:pPr>
            <w:r w:rsidRPr="00155D31">
              <w:t>Complete engineering and consult on digital radio channel plans for Bathurst, Cooma, Goulburn and Warragul</w:t>
            </w:r>
          </w:p>
        </w:tc>
        <w:tc>
          <w:tcPr>
            <w:tcW w:w="842" w:type="pct"/>
            <w:shd w:val="clear" w:color="auto" w:fill="auto"/>
          </w:tcPr>
          <w:p w14:paraId="75599B64" w14:textId="70B06203" w:rsidR="00E77F3C" w:rsidRPr="00916C98" w:rsidRDefault="00E77F3C" w:rsidP="00DE694D">
            <w:pPr>
              <w:pStyle w:val="TableBody"/>
            </w:pPr>
            <w:r w:rsidRPr="00775B4A" w:rsidDel="00FC6008">
              <w:t xml:space="preserve">Q1 </w:t>
            </w:r>
            <w:r w:rsidRPr="00775B4A">
              <w:br/>
            </w:r>
            <w:r w:rsidRPr="00916C98" w:rsidDel="00FC6008">
              <w:t>2019</w:t>
            </w:r>
            <w:r w:rsidRPr="00916C98">
              <w:t>–20</w:t>
            </w:r>
          </w:p>
        </w:tc>
      </w:tr>
      <w:tr w:rsidR="00E77F3C" w:rsidRPr="006D46E5" w14:paraId="4794D711" w14:textId="77777777" w:rsidTr="00596594">
        <w:trPr>
          <w:trHeight w:val="945"/>
        </w:trPr>
        <w:tc>
          <w:tcPr>
            <w:tcW w:w="1107" w:type="pct"/>
            <w:vMerge/>
            <w:shd w:val="clear" w:color="auto" w:fill="auto"/>
          </w:tcPr>
          <w:p w14:paraId="07F6DAC4" w14:textId="77777777" w:rsidR="00E77F3C" w:rsidRPr="00155D31" w:rsidRDefault="00E77F3C" w:rsidP="00DE694D">
            <w:pPr>
              <w:pStyle w:val="TableBody"/>
            </w:pPr>
          </w:p>
        </w:tc>
        <w:tc>
          <w:tcPr>
            <w:tcW w:w="3051" w:type="pct"/>
            <w:shd w:val="clear" w:color="auto" w:fill="auto"/>
          </w:tcPr>
          <w:p w14:paraId="243340DC" w14:textId="2CE30501" w:rsidR="00E77F3C" w:rsidRPr="00DB2320" w:rsidRDefault="00E77F3C" w:rsidP="00DE694D">
            <w:pPr>
              <w:pStyle w:val="TableBody"/>
            </w:pPr>
            <w:r w:rsidRPr="00DB2320">
              <w:t>Determine whether specified community radio licence areas should be deemed the same as the Hobart RA1 commercial radio licence area for the purpose of digital radio</w:t>
            </w:r>
          </w:p>
        </w:tc>
        <w:tc>
          <w:tcPr>
            <w:tcW w:w="842" w:type="pct"/>
            <w:shd w:val="clear" w:color="auto" w:fill="auto"/>
          </w:tcPr>
          <w:p w14:paraId="329CD4C6" w14:textId="77777777" w:rsidR="00E77F3C" w:rsidRPr="00916C98" w:rsidRDefault="00E77F3C" w:rsidP="00DE694D">
            <w:pPr>
              <w:pStyle w:val="TableBody"/>
            </w:pPr>
            <w:r w:rsidRPr="00775B4A" w:rsidDel="00FC6008">
              <w:t>Q</w:t>
            </w:r>
            <w:r w:rsidRPr="00775B4A">
              <w:t>4</w:t>
            </w:r>
            <w:r w:rsidRPr="00775B4A" w:rsidDel="00FC6008">
              <w:t xml:space="preserve"> </w:t>
            </w:r>
            <w:r w:rsidRPr="00775B4A">
              <w:br/>
            </w:r>
            <w:r w:rsidRPr="00916C98" w:rsidDel="00FC6008">
              <w:t>201</w:t>
            </w:r>
            <w:r w:rsidRPr="00916C98">
              <w:t>8–19</w:t>
            </w:r>
          </w:p>
          <w:p w14:paraId="5D4BFF7A" w14:textId="2C8A0DD5" w:rsidR="00E77F3C" w:rsidRPr="00E02187" w:rsidRDefault="00E77F3C" w:rsidP="00DE694D">
            <w:pPr>
              <w:pStyle w:val="TableBody"/>
            </w:pPr>
          </w:p>
        </w:tc>
      </w:tr>
      <w:tr w:rsidR="00E77F3C" w:rsidRPr="006D46E5" w14:paraId="2DE5D55D" w14:textId="77777777" w:rsidTr="00596594">
        <w:trPr>
          <w:trHeight w:val="945"/>
        </w:trPr>
        <w:tc>
          <w:tcPr>
            <w:tcW w:w="1107" w:type="pct"/>
            <w:vMerge/>
            <w:shd w:val="clear" w:color="auto" w:fill="auto"/>
          </w:tcPr>
          <w:p w14:paraId="340B88A9" w14:textId="77777777" w:rsidR="00E77F3C" w:rsidRPr="00155D31" w:rsidRDefault="00E77F3C" w:rsidP="00DE694D">
            <w:pPr>
              <w:pStyle w:val="TableBody"/>
            </w:pPr>
          </w:p>
        </w:tc>
        <w:tc>
          <w:tcPr>
            <w:tcW w:w="3051" w:type="pct"/>
            <w:shd w:val="clear" w:color="auto" w:fill="auto"/>
          </w:tcPr>
          <w:p w14:paraId="39867AEF" w14:textId="081B4B0C" w:rsidR="00E77F3C" w:rsidRPr="00DB2320" w:rsidRDefault="00E77F3C" w:rsidP="00DE694D">
            <w:pPr>
              <w:pStyle w:val="TableBody"/>
            </w:pPr>
            <w:r w:rsidRPr="00DB2320">
              <w:t>Determine whether specified community radio licence areas should be deemed to be the same as the Bathurst RA1, Cooma RA1, Goulburn RA1 and Warragul RA1 commercial radio licence areas for the purpose of digital radio</w:t>
            </w:r>
          </w:p>
        </w:tc>
        <w:tc>
          <w:tcPr>
            <w:tcW w:w="842" w:type="pct"/>
            <w:shd w:val="clear" w:color="auto" w:fill="auto"/>
          </w:tcPr>
          <w:p w14:paraId="7726FDDC" w14:textId="47415E13" w:rsidR="00E77F3C" w:rsidRPr="00775B4A" w:rsidRDefault="00E77F3C" w:rsidP="00DE694D">
            <w:pPr>
              <w:pStyle w:val="TableBody"/>
            </w:pPr>
            <w:r w:rsidRPr="00775B4A">
              <w:t xml:space="preserve">Q2 </w:t>
            </w:r>
            <w:r w:rsidRPr="00775B4A">
              <w:br/>
              <w:t>2019–20</w:t>
            </w:r>
          </w:p>
        </w:tc>
      </w:tr>
      <w:tr w:rsidR="00DB2320" w:rsidRPr="006D46E5" w14:paraId="6AE473D8" w14:textId="77777777" w:rsidTr="00DE694D">
        <w:trPr>
          <w:trHeight w:val="470"/>
        </w:trPr>
        <w:tc>
          <w:tcPr>
            <w:tcW w:w="1107" w:type="pct"/>
            <w:vMerge w:val="restart"/>
            <w:shd w:val="clear" w:color="auto" w:fill="auto"/>
          </w:tcPr>
          <w:p w14:paraId="52DD8D2A" w14:textId="7DC581FC" w:rsidR="00DB2320" w:rsidRPr="005759E7" w:rsidRDefault="00DB2320"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auto"/>
          </w:tcPr>
          <w:p w14:paraId="2109EA7A" w14:textId="514F605D" w:rsidR="00DB2320" w:rsidRPr="00775B4A" w:rsidRDefault="00DB2320" w:rsidP="00DE694D">
            <w:pPr>
              <w:pStyle w:val="TableBody"/>
            </w:pPr>
            <w:r w:rsidRPr="00E26672">
              <w:t>Consider feasibility of inclusion of 10.7–</w:t>
            </w:r>
            <w:r w:rsidRPr="00BB06BC">
              <w:t xml:space="preserve">11.7 GHz in </w:t>
            </w:r>
            <w:r w:rsidR="00176275">
              <w:t>Radiocommunications (</w:t>
            </w:r>
            <w:r w:rsidRPr="00BB06BC">
              <w:t>Communication</w:t>
            </w:r>
            <w:r w:rsidR="00176275">
              <w:t xml:space="preserve"> with</w:t>
            </w:r>
            <w:r w:rsidRPr="00BB06BC">
              <w:t xml:space="preserve"> Space Object</w:t>
            </w:r>
            <w:r w:rsidR="00176275">
              <w:t>)</w:t>
            </w:r>
            <w:r w:rsidRPr="00BB06BC">
              <w:t xml:space="preserve"> Class Licence</w:t>
            </w:r>
            <w:r w:rsidR="00176275">
              <w:t xml:space="preserve"> 2015</w:t>
            </w:r>
          </w:p>
        </w:tc>
        <w:tc>
          <w:tcPr>
            <w:tcW w:w="842" w:type="pct"/>
            <w:shd w:val="clear" w:color="auto" w:fill="auto"/>
          </w:tcPr>
          <w:p w14:paraId="6810E314" w14:textId="2C2692BA" w:rsidR="00DB2320" w:rsidRPr="00916C98" w:rsidRDefault="00DB2320" w:rsidP="00DE694D">
            <w:pPr>
              <w:pStyle w:val="TableBody"/>
            </w:pPr>
            <w:r w:rsidRPr="00916C98">
              <w:t xml:space="preserve">Q4 </w:t>
            </w:r>
            <w:r w:rsidRPr="00916C98">
              <w:br/>
              <w:t>2018–19</w:t>
            </w:r>
          </w:p>
        </w:tc>
      </w:tr>
      <w:tr w:rsidR="00DB2320" w:rsidRPr="006D46E5" w14:paraId="21CC46A5" w14:textId="77777777" w:rsidTr="00E03470">
        <w:trPr>
          <w:trHeight w:val="20"/>
        </w:trPr>
        <w:tc>
          <w:tcPr>
            <w:tcW w:w="1107" w:type="pct"/>
            <w:vMerge/>
            <w:shd w:val="clear" w:color="auto" w:fill="auto"/>
          </w:tcPr>
          <w:p w14:paraId="593D0FCA" w14:textId="4CF539E0" w:rsidR="00DB2320" w:rsidRPr="005759E7" w:rsidRDefault="00DB2320" w:rsidP="00E07FBF">
            <w:pPr>
              <w:pStyle w:val="TableBody"/>
              <w:spacing w:before="100" w:beforeAutospacing="1" w:after="100" w:afterAutospacing="1" w:line="240" w:lineRule="atLeast"/>
              <w:ind w:right="176"/>
              <w:contextualSpacing/>
              <w:mirrorIndents/>
              <w:rPr>
                <w:rFonts w:cs="Arial"/>
                <w:szCs w:val="20"/>
              </w:rPr>
            </w:pPr>
          </w:p>
        </w:tc>
        <w:tc>
          <w:tcPr>
            <w:tcW w:w="3051" w:type="pct"/>
            <w:shd w:val="clear" w:color="auto" w:fill="auto"/>
          </w:tcPr>
          <w:p w14:paraId="1693AEFF" w14:textId="1BB8860C" w:rsidR="00DB2320" w:rsidRPr="00775B4A" w:rsidRDefault="00DB2320" w:rsidP="00DE694D">
            <w:pPr>
              <w:pStyle w:val="TableBody"/>
            </w:pPr>
            <w:r w:rsidRPr="00E26672">
              <w:t>Review regulatory arrangements for e</w:t>
            </w:r>
            <w:r w:rsidRPr="00BB06BC">
              <w:t xml:space="preserve">arth </w:t>
            </w:r>
            <w:r w:rsidRPr="00775B4A">
              <w:t>stations in motion in Ku-band</w:t>
            </w:r>
          </w:p>
        </w:tc>
        <w:tc>
          <w:tcPr>
            <w:tcW w:w="842" w:type="pct"/>
            <w:shd w:val="clear" w:color="auto" w:fill="auto"/>
          </w:tcPr>
          <w:p w14:paraId="3AAD34B8" w14:textId="66D4F276" w:rsidR="00DB2320" w:rsidRPr="00916C98" w:rsidRDefault="00DB2320" w:rsidP="00DE694D">
            <w:pPr>
              <w:pStyle w:val="TableBody"/>
            </w:pPr>
            <w:r w:rsidRPr="00916C98">
              <w:t xml:space="preserve">Q3 </w:t>
            </w:r>
            <w:r w:rsidRPr="00916C98">
              <w:br/>
              <w:t>2018–19</w:t>
            </w:r>
          </w:p>
        </w:tc>
      </w:tr>
      <w:tr w:rsidR="00DB2320" w:rsidRPr="006D46E5" w14:paraId="10411214" w14:textId="77777777" w:rsidTr="00596594">
        <w:tc>
          <w:tcPr>
            <w:tcW w:w="1107" w:type="pct"/>
            <w:vMerge/>
            <w:shd w:val="clear" w:color="auto" w:fill="auto"/>
          </w:tcPr>
          <w:p w14:paraId="7A328F0D" w14:textId="142592E8" w:rsidR="00DB2320" w:rsidRPr="005759E7" w:rsidRDefault="00DB2320" w:rsidP="00E07FBF">
            <w:pPr>
              <w:pStyle w:val="TableBody"/>
              <w:spacing w:before="100" w:beforeAutospacing="1" w:after="100" w:afterAutospacing="1" w:line="240" w:lineRule="atLeast"/>
              <w:ind w:right="176"/>
              <w:contextualSpacing/>
              <w:mirrorIndents/>
              <w:rPr>
                <w:rFonts w:cs="Arial"/>
                <w:szCs w:val="20"/>
              </w:rPr>
            </w:pPr>
          </w:p>
        </w:tc>
        <w:tc>
          <w:tcPr>
            <w:tcW w:w="3051" w:type="pct"/>
            <w:shd w:val="clear" w:color="auto" w:fill="auto"/>
          </w:tcPr>
          <w:p w14:paraId="00A6E255" w14:textId="6A709A61" w:rsidR="00DB2320" w:rsidRPr="00BB06BC" w:rsidRDefault="00DB2320" w:rsidP="00DE694D">
            <w:pPr>
              <w:pStyle w:val="TableBody"/>
            </w:pPr>
            <w:r w:rsidRPr="00E26672">
              <w:t>General review of licensing procedures for space-based communications systems</w:t>
            </w:r>
          </w:p>
        </w:tc>
        <w:tc>
          <w:tcPr>
            <w:tcW w:w="842" w:type="pct"/>
            <w:shd w:val="clear" w:color="auto" w:fill="auto"/>
          </w:tcPr>
          <w:p w14:paraId="1D458D0E" w14:textId="126678B4" w:rsidR="00DB2320" w:rsidRPr="00916C98" w:rsidRDefault="00DB2320" w:rsidP="00DE694D">
            <w:pPr>
              <w:pStyle w:val="TableBody"/>
            </w:pPr>
            <w:r w:rsidRPr="00775B4A">
              <w:t xml:space="preserve">Q4 </w:t>
            </w:r>
            <w:r w:rsidRPr="00775B4A">
              <w:br/>
            </w:r>
            <w:r w:rsidRPr="00916C98">
              <w:t>2018–19</w:t>
            </w:r>
          </w:p>
        </w:tc>
      </w:tr>
      <w:tr w:rsidR="00DB2320" w:rsidRPr="006D46E5" w14:paraId="40E44911" w14:textId="77777777" w:rsidTr="00596594">
        <w:tc>
          <w:tcPr>
            <w:tcW w:w="1107" w:type="pct"/>
            <w:vMerge/>
            <w:shd w:val="clear" w:color="auto" w:fill="auto"/>
          </w:tcPr>
          <w:p w14:paraId="34BEEC94" w14:textId="08FFD697" w:rsidR="00DB2320" w:rsidRPr="005759E7" w:rsidRDefault="00DB2320" w:rsidP="00E07FBF">
            <w:pPr>
              <w:pStyle w:val="TableBody"/>
              <w:spacing w:before="100" w:beforeAutospacing="1" w:after="100" w:afterAutospacing="1" w:line="240" w:lineRule="atLeast"/>
              <w:ind w:right="176"/>
              <w:contextualSpacing/>
              <w:mirrorIndents/>
              <w:rPr>
                <w:rFonts w:cs="Arial"/>
                <w:szCs w:val="20"/>
              </w:rPr>
            </w:pPr>
          </w:p>
        </w:tc>
        <w:tc>
          <w:tcPr>
            <w:tcW w:w="3051" w:type="pct"/>
            <w:shd w:val="clear" w:color="auto" w:fill="auto"/>
          </w:tcPr>
          <w:p w14:paraId="49C7DB20" w14:textId="18C3F7C5" w:rsidR="00DB2320" w:rsidRPr="00775B4A" w:rsidRDefault="00DB2320" w:rsidP="00DE694D">
            <w:pPr>
              <w:pStyle w:val="TableBody"/>
            </w:pPr>
            <w:r w:rsidRPr="00E26672">
              <w:t xml:space="preserve">Review spectrum arrangements </w:t>
            </w:r>
            <w:r w:rsidRPr="00BB06BC">
              <w:t>for small satellites</w:t>
            </w:r>
          </w:p>
        </w:tc>
        <w:tc>
          <w:tcPr>
            <w:tcW w:w="842" w:type="pct"/>
            <w:shd w:val="clear" w:color="auto" w:fill="auto"/>
          </w:tcPr>
          <w:p w14:paraId="6C6384A3" w14:textId="6D30AE0B" w:rsidR="00DB2320" w:rsidRPr="00916C98" w:rsidRDefault="00DB2320" w:rsidP="00DE694D">
            <w:pPr>
              <w:pStyle w:val="TableBody"/>
            </w:pPr>
            <w:r w:rsidRPr="00775B4A">
              <w:t>Q</w:t>
            </w:r>
            <w:r w:rsidR="008A6603">
              <w:t>4</w:t>
            </w:r>
            <w:r w:rsidRPr="00775B4A">
              <w:t xml:space="preserve"> </w:t>
            </w:r>
            <w:r w:rsidRPr="00775B4A">
              <w:br/>
            </w:r>
            <w:r w:rsidRPr="00916C98">
              <w:t>2018–19</w:t>
            </w:r>
          </w:p>
        </w:tc>
      </w:tr>
      <w:tr w:rsidR="00DB2320" w:rsidRPr="006D46E5" w14:paraId="0541198A" w14:textId="77777777" w:rsidTr="00E03470">
        <w:tc>
          <w:tcPr>
            <w:tcW w:w="1107" w:type="pct"/>
            <w:vMerge/>
            <w:shd w:val="clear" w:color="auto" w:fill="auto"/>
          </w:tcPr>
          <w:p w14:paraId="10D3E1BA" w14:textId="40351294" w:rsidR="00DB2320" w:rsidRPr="005759E7" w:rsidRDefault="00DB2320" w:rsidP="00E07FBF">
            <w:pPr>
              <w:pStyle w:val="TableBody"/>
              <w:spacing w:before="100" w:beforeAutospacing="1" w:after="100" w:afterAutospacing="1" w:line="240" w:lineRule="atLeast"/>
              <w:ind w:right="176"/>
              <w:contextualSpacing/>
              <w:mirrorIndents/>
              <w:rPr>
                <w:rFonts w:cs="Arial"/>
                <w:szCs w:val="20"/>
              </w:rPr>
            </w:pPr>
          </w:p>
        </w:tc>
        <w:tc>
          <w:tcPr>
            <w:tcW w:w="3051" w:type="pct"/>
            <w:shd w:val="clear" w:color="auto" w:fill="auto"/>
          </w:tcPr>
          <w:p w14:paraId="2B875A2A" w14:textId="77777777" w:rsidR="00DB2320" w:rsidRPr="00E26672" w:rsidRDefault="00DB2320" w:rsidP="00DE694D">
            <w:pPr>
              <w:pStyle w:val="TableBody"/>
            </w:pPr>
            <w:r w:rsidRPr="00E26672">
              <w:t>Consider applications for test and demonstration purposes in the 2 GHz band</w:t>
            </w:r>
          </w:p>
        </w:tc>
        <w:tc>
          <w:tcPr>
            <w:tcW w:w="842" w:type="pct"/>
            <w:shd w:val="clear" w:color="auto" w:fill="auto"/>
          </w:tcPr>
          <w:p w14:paraId="029ABC94" w14:textId="77777777" w:rsidR="00DB2320" w:rsidRPr="00775B4A" w:rsidRDefault="00DB2320" w:rsidP="00DE694D">
            <w:pPr>
              <w:pStyle w:val="TableBody"/>
            </w:pPr>
            <w:r w:rsidRPr="00775B4A">
              <w:t>Ongoing</w:t>
            </w:r>
          </w:p>
        </w:tc>
      </w:tr>
      <w:tr w:rsidR="00DB2320" w:rsidRPr="006D46E5" w14:paraId="1BE9797D" w14:textId="77777777" w:rsidTr="00596594">
        <w:tc>
          <w:tcPr>
            <w:tcW w:w="1107" w:type="pct"/>
            <w:vMerge/>
            <w:shd w:val="clear" w:color="auto" w:fill="auto"/>
          </w:tcPr>
          <w:p w14:paraId="2D7D7736" w14:textId="2B6F97C5" w:rsidR="00DB2320" w:rsidRPr="005759E7" w:rsidRDefault="00DB2320" w:rsidP="00E07FBF">
            <w:pPr>
              <w:pStyle w:val="TableBody"/>
              <w:spacing w:before="100" w:beforeAutospacing="1" w:after="100" w:afterAutospacing="1" w:line="240" w:lineRule="atLeast"/>
              <w:ind w:right="176"/>
              <w:contextualSpacing/>
              <w:mirrorIndents/>
              <w:rPr>
                <w:rFonts w:cs="Arial"/>
                <w:szCs w:val="20"/>
              </w:rPr>
            </w:pPr>
          </w:p>
        </w:tc>
        <w:tc>
          <w:tcPr>
            <w:tcW w:w="3051" w:type="pct"/>
            <w:shd w:val="clear" w:color="auto" w:fill="auto"/>
          </w:tcPr>
          <w:p w14:paraId="4153264E" w14:textId="77777777" w:rsidR="00DB2320" w:rsidRPr="00775B4A" w:rsidRDefault="00DB2320" w:rsidP="00DE694D">
            <w:pPr>
              <w:pStyle w:val="TableBody"/>
            </w:pPr>
            <w:r w:rsidRPr="00E26672">
              <w:t>Manage filing and coordination of Australian satellite systems</w:t>
            </w:r>
          </w:p>
        </w:tc>
        <w:tc>
          <w:tcPr>
            <w:tcW w:w="842" w:type="pct"/>
            <w:shd w:val="clear" w:color="auto" w:fill="auto"/>
          </w:tcPr>
          <w:p w14:paraId="2DF144CF" w14:textId="77777777" w:rsidR="00DB2320" w:rsidRPr="00916C98" w:rsidRDefault="00DB2320" w:rsidP="00DE694D">
            <w:pPr>
              <w:pStyle w:val="TableBody"/>
            </w:pPr>
            <w:r w:rsidRPr="00916C98">
              <w:t xml:space="preserve">Ongoing </w:t>
            </w:r>
          </w:p>
        </w:tc>
      </w:tr>
      <w:tr w:rsidR="001178EE" w:rsidRPr="006D46E5" w14:paraId="662F7F08" w14:textId="618E2D95" w:rsidTr="00DE694D">
        <w:trPr>
          <w:trHeight w:val="595"/>
        </w:trPr>
        <w:tc>
          <w:tcPr>
            <w:tcW w:w="1107" w:type="pct"/>
            <w:shd w:val="clear" w:color="auto" w:fill="auto"/>
          </w:tcPr>
          <w:p w14:paraId="66E68467" w14:textId="06D557FD" w:rsidR="001178EE" w:rsidRPr="00E26672" w:rsidRDefault="001178EE" w:rsidP="00DE694D">
            <w:pPr>
              <w:pStyle w:val="TableBody"/>
            </w:pPr>
            <w:r w:rsidRPr="00E26672">
              <w:lastRenderedPageBreak/>
              <w:t>Low interference potential devices (LIPD)</w:t>
            </w:r>
          </w:p>
        </w:tc>
        <w:tc>
          <w:tcPr>
            <w:tcW w:w="3051" w:type="pct"/>
            <w:shd w:val="clear" w:color="auto" w:fill="auto"/>
          </w:tcPr>
          <w:p w14:paraId="34725503" w14:textId="21EB497E" w:rsidR="007B79CC" w:rsidRPr="00E02187" w:rsidRDefault="002E2CFC" w:rsidP="00DE694D">
            <w:pPr>
              <w:pStyle w:val="TableBody"/>
            </w:pPr>
            <w:bookmarkStart w:id="20" w:name="_Hlk2755891"/>
            <w:r w:rsidRPr="00775B4A">
              <w:t xml:space="preserve">Completion of </w:t>
            </w:r>
            <w:r w:rsidR="00542CBA" w:rsidRPr="00775B4A">
              <w:t xml:space="preserve">consideration of </w:t>
            </w:r>
            <w:r w:rsidR="003D4016" w:rsidRPr="00775B4A">
              <w:t>proposed update o</w:t>
            </w:r>
            <w:r w:rsidR="003D4016" w:rsidRPr="00916C98">
              <w:t xml:space="preserve">f the LIPD </w:t>
            </w:r>
            <w:r w:rsidR="00A56FF3" w:rsidRPr="00916C98">
              <w:t>class licence</w:t>
            </w:r>
            <w:r w:rsidR="003D4016" w:rsidRPr="00916C98">
              <w:t xml:space="preserve"> to respond to industry</w:t>
            </w:r>
            <w:r w:rsidR="00135353" w:rsidRPr="00916C98">
              <w:t xml:space="preserve"> requests</w:t>
            </w:r>
            <w:bookmarkEnd w:id="20"/>
            <w:r w:rsidR="00542CBA" w:rsidRPr="00E02187">
              <w:t xml:space="preserve"> (IFC 45/2018)</w:t>
            </w:r>
          </w:p>
        </w:tc>
        <w:tc>
          <w:tcPr>
            <w:tcW w:w="842" w:type="pct"/>
            <w:shd w:val="clear" w:color="auto" w:fill="auto"/>
          </w:tcPr>
          <w:p w14:paraId="213415A8" w14:textId="19822360" w:rsidR="001178EE" w:rsidRPr="00EA18CC" w:rsidRDefault="008C717C" w:rsidP="00DE694D">
            <w:pPr>
              <w:pStyle w:val="TableBody"/>
            </w:pPr>
            <w:r w:rsidRPr="00EA18CC">
              <w:t xml:space="preserve">Q1 </w:t>
            </w:r>
            <w:r w:rsidR="00746A75" w:rsidRPr="00EA18CC">
              <w:br/>
            </w:r>
            <w:r w:rsidRPr="00EA18CC">
              <w:t>2019</w:t>
            </w:r>
            <w:r w:rsidR="004E64E0" w:rsidRPr="00EA18CC">
              <w:t>–</w:t>
            </w:r>
            <w:r w:rsidRPr="00EA18CC">
              <w:t>20</w:t>
            </w:r>
          </w:p>
        </w:tc>
      </w:tr>
      <w:tr w:rsidR="001178EE" w:rsidRPr="006D46E5" w14:paraId="70BC94A7" w14:textId="77777777" w:rsidTr="00596594">
        <w:trPr>
          <w:trHeight w:val="21"/>
        </w:trPr>
        <w:tc>
          <w:tcPr>
            <w:tcW w:w="1107" w:type="pct"/>
            <w:shd w:val="clear" w:color="auto" w:fill="auto"/>
          </w:tcPr>
          <w:p w14:paraId="47294E2B" w14:textId="1696C3AA" w:rsidR="001178EE" w:rsidRPr="00E26672" w:rsidRDefault="001178EE" w:rsidP="00DE694D">
            <w:pPr>
              <w:pStyle w:val="TableBody"/>
            </w:pPr>
            <w:r w:rsidRPr="00E26672">
              <w:t xml:space="preserve">Internet of Things </w:t>
            </w:r>
          </w:p>
        </w:tc>
        <w:tc>
          <w:tcPr>
            <w:tcW w:w="3051" w:type="pct"/>
            <w:shd w:val="clear" w:color="auto" w:fill="auto"/>
          </w:tcPr>
          <w:p w14:paraId="16A88F8E" w14:textId="16DF4320" w:rsidR="001178EE" w:rsidRPr="00E02187" w:rsidRDefault="002E1886" w:rsidP="00DE694D">
            <w:pPr>
              <w:pStyle w:val="TableBody"/>
            </w:pPr>
            <w:r w:rsidRPr="00775B4A">
              <w:t>Facilitation of early access to the 928</w:t>
            </w:r>
            <w:r w:rsidR="007835D5" w:rsidRPr="00775B4A">
              <w:t>–</w:t>
            </w:r>
            <w:r w:rsidRPr="00775B4A">
              <w:t xml:space="preserve">935 MHz </w:t>
            </w:r>
            <w:r w:rsidRPr="00916C98">
              <w:t>band for low</w:t>
            </w:r>
            <w:r w:rsidR="00EF20BA" w:rsidRPr="00916C98">
              <w:t>-</w:t>
            </w:r>
            <w:r w:rsidRPr="00916C98">
              <w:t>power wide</w:t>
            </w:r>
            <w:r w:rsidR="00EF20BA" w:rsidRPr="00E02187">
              <w:t>-</w:t>
            </w:r>
            <w:r w:rsidRPr="00E02187">
              <w:t>area IoT applications</w:t>
            </w:r>
          </w:p>
        </w:tc>
        <w:tc>
          <w:tcPr>
            <w:tcW w:w="842" w:type="pct"/>
            <w:shd w:val="clear" w:color="auto" w:fill="auto"/>
          </w:tcPr>
          <w:p w14:paraId="5B97FC72" w14:textId="77777777" w:rsidR="001178EE" w:rsidRPr="00EA18CC" w:rsidRDefault="001178EE" w:rsidP="00DE694D">
            <w:pPr>
              <w:pStyle w:val="TableBody"/>
            </w:pPr>
            <w:r w:rsidRPr="00EA18CC">
              <w:t xml:space="preserve">Ongoing </w:t>
            </w:r>
          </w:p>
        </w:tc>
      </w:tr>
      <w:tr w:rsidR="00631D8F" w:rsidRPr="006D46E5" w14:paraId="0070C512" w14:textId="77777777" w:rsidTr="00596594">
        <w:trPr>
          <w:trHeight w:val="21"/>
        </w:trPr>
        <w:tc>
          <w:tcPr>
            <w:tcW w:w="1107" w:type="pct"/>
            <w:shd w:val="clear" w:color="auto" w:fill="auto"/>
          </w:tcPr>
          <w:p w14:paraId="15075629" w14:textId="2A7E4424" w:rsidR="00631D8F" w:rsidRPr="00E26672" w:rsidRDefault="00631D8F" w:rsidP="00DE694D">
            <w:pPr>
              <w:pStyle w:val="TableBody"/>
            </w:pPr>
            <w:r w:rsidRPr="00E26672">
              <w:t>Spectrum Licence Technical Framework</w:t>
            </w:r>
            <w:r w:rsidR="00D37C78" w:rsidRPr="00E26672">
              <w:t xml:space="preserve"> reviews</w:t>
            </w:r>
          </w:p>
        </w:tc>
        <w:tc>
          <w:tcPr>
            <w:tcW w:w="3051" w:type="pct"/>
            <w:shd w:val="clear" w:color="auto" w:fill="auto"/>
          </w:tcPr>
          <w:p w14:paraId="55812667" w14:textId="0E1EE7A3" w:rsidR="00D37C78" w:rsidRPr="00EA18CC" w:rsidRDefault="0093226E" w:rsidP="00DE694D">
            <w:pPr>
              <w:pStyle w:val="TableBody"/>
            </w:pPr>
            <w:r w:rsidRPr="00775B4A">
              <w:t>C</w:t>
            </w:r>
            <w:r w:rsidR="00D37C78" w:rsidRPr="00775B4A">
              <w:t xml:space="preserve">ommence discussion </w:t>
            </w:r>
            <w:r w:rsidRPr="00775B4A">
              <w:t xml:space="preserve">with industry on </w:t>
            </w:r>
            <w:r w:rsidR="00E7016E" w:rsidRPr="00775B4A">
              <w:t xml:space="preserve">a potential program of work for the </w:t>
            </w:r>
            <w:r w:rsidR="00D37C78" w:rsidRPr="00916C98">
              <w:t xml:space="preserve">review </w:t>
            </w:r>
            <w:r w:rsidR="00E7016E" w:rsidRPr="00916C98">
              <w:t xml:space="preserve">of spectrum licensing technical </w:t>
            </w:r>
            <w:r w:rsidR="00D37C78" w:rsidRPr="00916C98">
              <w:t xml:space="preserve">arrangements </w:t>
            </w:r>
            <w:r w:rsidR="000458E6" w:rsidRPr="00916C98">
              <w:t xml:space="preserve">in relation to </w:t>
            </w:r>
            <w:r w:rsidR="00D37C78" w:rsidRPr="00E02187">
              <w:t>new technology developments</w:t>
            </w:r>
          </w:p>
        </w:tc>
        <w:tc>
          <w:tcPr>
            <w:tcW w:w="842" w:type="pct"/>
            <w:shd w:val="clear" w:color="auto" w:fill="auto"/>
          </w:tcPr>
          <w:p w14:paraId="56AB3082" w14:textId="7FC8DBF1" w:rsidR="00631D8F" w:rsidRPr="00EA18CC" w:rsidRDefault="00D37C78" w:rsidP="00DE694D">
            <w:pPr>
              <w:pStyle w:val="TableBody"/>
            </w:pPr>
            <w:r w:rsidRPr="00EA18CC">
              <w:t xml:space="preserve">Q1 </w:t>
            </w:r>
            <w:r w:rsidR="00EF20BA" w:rsidRPr="00EA18CC">
              <w:br/>
            </w:r>
            <w:r w:rsidRPr="00EA18CC">
              <w:t>2019</w:t>
            </w:r>
            <w:r w:rsidR="004E64E0" w:rsidRPr="00EA18CC">
              <w:t>–</w:t>
            </w:r>
            <w:r w:rsidRPr="00EA18CC">
              <w:t>20</w:t>
            </w:r>
          </w:p>
        </w:tc>
      </w:tr>
      <w:tr w:rsidR="000D396A" w:rsidRPr="006D46E5" w14:paraId="65FACD32" w14:textId="77777777" w:rsidTr="00596594">
        <w:trPr>
          <w:trHeight w:val="21"/>
        </w:trPr>
        <w:tc>
          <w:tcPr>
            <w:tcW w:w="1107" w:type="pct"/>
            <w:shd w:val="clear" w:color="auto" w:fill="auto"/>
          </w:tcPr>
          <w:p w14:paraId="6D50DF04" w14:textId="673B098E" w:rsidR="000D396A" w:rsidRPr="00775B4A" w:rsidRDefault="000D396A" w:rsidP="00DE694D">
            <w:pPr>
              <w:pStyle w:val="TableBody"/>
            </w:pPr>
            <w:r w:rsidRPr="00E26672">
              <w:t>Amateur</w:t>
            </w:r>
            <w:r w:rsidR="00E93A04">
              <w:t xml:space="preserve"> </w:t>
            </w:r>
            <w:r w:rsidRPr="00E26672">
              <w:t>service in the frequency band 5</w:t>
            </w:r>
            <w:r w:rsidRPr="00BB06BC">
              <w:t>351.5–5</w:t>
            </w:r>
            <w:r w:rsidRPr="00DB2320">
              <w:t>366.5 kHz</w:t>
            </w:r>
          </w:p>
        </w:tc>
        <w:tc>
          <w:tcPr>
            <w:tcW w:w="3051" w:type="pct"/>
            <w:shd w:val="clear" w:color="auto" w:fill="auto"/>
          </w:tcPr>
          <w:p w14:paraId="52887B63" w14:textId="5BD35958" w:rsidR="000D396A" w:rsidRPr="00916C98" w:rsidRDefault="000D396A" w:rsidP="00DE694D">
            <w:pPr>
              <w:pStyle w:val="TableBody"/>
            </w:pPr>
            <w:r w:rsidRPr="00916C98">
              <w:t xml:space="preserve">Discussion paper on </w:t>
            </w:r>
            <w:r w:rsidR="008720FB" w:rsidRPr="00916C98">
              <w:t>i</w:t>
            </w:r>
            <w:r w:rsidRPr="00916C98">
              <w:t>mplementation issues</w:t>
            </w:r>
          </w:p>
        </w:tc>
        <w:tc>
          <w:tcPr>
            <w:tcW w:w="842" w:type="pct"/>
            <w:shd w:val="clear" w:color="auto" w:fill="auto"/>
          </w:tcPr>
          <w:p w14:paraId="58F26433" w14:textId="5EEA6C45" w:rsidR="000D396A" w:rsidRPr="00EA18CC" w:rsidRDefault="000D396A" w:rsidP="00DE694D">
            <w:pPr>
              <w:pStyle w:val="TableBody"/>
            </w:pPr>
            <w:r w:rsidRPr="00E02187">
              <w:t>Q3</w:t>
            </w:r>
            <w:r w:rsidR="00EF20BA" w:rsidRPr="00E02187">
              <w:br/>
            </w:r>
            <w:r w:rsidRPr="00EA18CC">
              <w:t>2019–20</w:t>
            </w:r>
          </w:p>
        </w:tc>
      </w:tr>
    </w:tbl>
    <w:p w14:paraId="0D9FB272" w14:textId="64442EE8" w:rsidR="0058077F" w:rsidRPr="007538FB" w:rsidRDefault="0058077F" w:rsidP="00D7755E">
      <w:pPr>
        <w:pStyle w:val="ACMASpaceaftertable"/>
      </w:pPr>
    </w:p>
    <w:p w14:paraId="428D88EB" w14:textId="6D31D101" w:rsidR="00201FB7" w:rsidRDefault="00F646F2" w:rsidP="00DE694D">
      <w:pPr>
        <w:pStyle w:val="ACMATableHeader"/>
        <w:keepNext/>
      </w:pPr>
      <w:r>
        <w:t xml:space="preserve">Forward </w:t>
      </w:r>
      <w:r w:rsidR="00CB2B01">
        <w:t>allocation</w:t>
      </w:r>
      <w:r w:rsidR="00B01AA6">
        <w:t xml:space="preserve"> work</w:t>
      </w:r>
      <w:r>
        <w:t xml:space="preserve"> </w:t>
      </w:r>
      <w:r w:rsidR="00FF4EF2">
        <w:t>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715"/>
        <w:gridCol w:w="5946"/>
      </w:tblGrid>
      <w:tr w:rsidR="009116B7" w:rsidRPr="006D46E5" w14:paraId="5042B5AA" w14:textId="77777777" w:rsidTr="00DE694D">
        <w:trPr>
          <w:tblHeader/>
        </w:trPr>
        <w:tc>
          <w:tcPr>
            <w:tcW w:w="1119" w:type="pct"/>
            <w:shd w:val="clear" w:color="auto" w:fill="404040" w:themeFill="text1" w:themeFillTint="BF"/>
          </w:tcPr>
          <w:p w14:paraId="4ACA807A" w14:textId="77777777" w:rsidR="009116B7" w:rsidRPr="006D46E5" w:rsidRDefault="009116B7" w:rsidP="00B747E1">
            <w:pPr>
              <w:pStyle w:val="TableHeading"/>
            </w:pPr>
            <w:r>
              <w:t>Project priorities</w:t>
            </w:r>
          </w:p>
        </w:tc>
        <w:tc>
          <w:tcPr>
            <w:tcW w:w="3881" w:type="pct"/>
            <w:shd w:val="clear" w:color="auto" w:fill="404040" w:themeFill="text1" w:themeFillTint="BF"/>
          </w:tcPr>
          <w:p w14:paraId="55AFB1BE" w14:textId="6A26A5FC" w:rsidR="009116B7" w:rsidRPr="006D46E5" w:rsidRDefault="009116B7" w:rsidP="00B747E1">
            <w:pPr>
              <w:pStyle w:val="TableHeading"/>
            </w:pPr>
            <w:r>
              <w:t>Proposed timelines</w:t>
            </w:r>
            <w:r w:rsidR="009D3560">
              <w:t>—</w:t>
            </w:r>
            <w:r w:rsidR="00C02759">
              <w:t>next steps</w:t>
            </w:r>
          </w:p>
        </w:tc>
      </w:tr>
      <w:tr w:rsidR="009116B7" w:rsidRPr="006D46E5" w14:paraId="2DE2D4F3" w14:textId="77777777" w:rsidTr="00DE694D">
        <w:tc>
          <w:tcPr>
            <w:tcW w:w="1119" w:type="pct"/>
            <w:shd w:val="clear" w:color="auto" w:fill="auto"/>
          </w:tcPr>
          <w:p w14:paraId="29E72E40"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26 GHz</w:t>
            </w:r>
          </w:p>
        </w:tc>
        <w:tc>
          <w:tcPr>
            <w:tcW w:w="1119" w:type="pct"/>
            <w:shd w:val="clear" w:color="auto" w:fill="auto"/>
          </w:tcPr>
          <w:p w14:paraId="09EEBCFE" w14:textId="4EA5243C" w:rsidR="009116B7" w:rsidRDefault="009116B7" w:rsidP="005270FE">
            <w:pPr>
              <w:pStyle w:val="TableBody"/>
              <w:spacing w:line="240" w:lineRule="atLeast"/>
              <w:mirrorIndents/>
              <w:rPr>
                <w:rFonts w:cs="Arial"/>
                <w:szCs w:val="20"/>
              </w:rPr>
            </w:pPr>
            <w:r w:rsidRPr="005759E7">
              <w:rPr>
                <w:rFonts w:cs="Arial"/>
                <w:szCs w:val="20"/>
              </w:rPr>
              <w:t>Q</w:t>
            </w:r>
            <w:r w:rsidR="00CF4F74">
              <w:rPr>
                <w:rFonts w:cs="Arial"/>
                <w:szCs w:val="20"/>
              </w:rPr>
              <w:t>4</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w:t>
            </w:r>
            <w:r w:rsidR="00AF3361">
              <w:rPr>
                <w:rFonts w:cs="Arial"/>
                <w:szCs w:val="20"/>
              </w:rPr>
              <w:t>Planning</w:t>
            </w:r>
            <w:r w:rsidR="00AF3361" w:rsidRPr="005759E7">
              <w:rPr>
                <w:rFonts w:cs="Arial"/>
                <w:szCs w:val="20"/>
              </w:rPr>
              <w:t xml:space="preserve"> </w:t>
            </w:r>
            <w:r w:rsidRPr="005759E7">
              <w:rPr>
                <w:rFonts w:cs="Arial"/>
                <w:szCs w:val="20"/>
              </w:rPr>
              <w:t>decision</w:t>
            </w:r>
          </w:p>
          <w:p w14:paraId="2DB1E47A" w14:textId="21329C76" w:rsidR="00AC437D" w:rsidRPr="005759E7" w:rsidDel="00497F93" w:rsidRDefault="00AC437D" w:rsidP="005270FE">
            <w:pPr>
              <w:pStyle w:val="TableBody"/>
              <w:spacing w:line="240" w:lineRule="atLeast"/>
              <w:mirrorIndents/>
              <w:rPr>
                <w:rFonts w:cs="Arial"/>
                <w:szCs w:val="20"/>
              </w:rPr>
            </w:pPr>
            <w:r>
              <w:rPr>
                <w:rFonts w:cs="Arial"/>
                <w:szCs w:val="20"/>
              </w:rPr>
              <w:t>Q4 2018–19: Consultation on draft recommendation to Minister</w:t>
            </w:r>
          </w:p>
        </w:tc>
      </w:tr>
      <w:tr w:rsidR="009116B7" w:rsidRPr="006D46E5" w14:paraId="7191619D" w14:textId="77777777" w:rsidTr="00596594">
        <w:tc>
          <w:tcPr>
            <w:tcW w:w="1119" w:type="pct"/>
            <w:shd w:val="clear" w:color="auto" w:fill="auto"/>
          </w:tcPr>
          <w:p w14:paraId="72104CD6"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850/900 MHz</w:t>
            </w:r>
          </w:p>
        </w:tc>
        <w:tc>
          <w:tcPr>
            <w:tcW w:w="3881" w:type="pct"/>
            <w:shd w:val="clear" w:color="auto" w:fill="auto"/>
          </w:tcPr>
          <w:p w14:paraId="7660906B" w14:textId="46E0E829" w:rsidR="009116B7" w:rsidRPr="005759E7" w:rsidRDefault="00673277" w:rsidP="005270FE">
            <w:pPr>
              <w:pStyle w:val="TableBody"/>
              <w:spacing w:before="100" w:beforeAutospacing="1" w:after="100" w:afterAutospacing="1" w:line="240" w:lineRule="atLeast"/>
              <w:contextualSpacing/>
              <w:mirrorIndents/>
              <w:rPr>
                <w:rFonts w:cs="Arial"/>
                <w:szCs w:val="20"/>
              </w:rPr>
            </w:pPr>
            <w:r>
              <w:t>Q</w:t>
            </w:r>
            <w:r w:rsidR="000C7EBD">
              <w:t>4</w:t>
            </w:r>
            <w:r>
              <w:t xml:space="preserve"> </w:t>
            </w:r>
            <w:r w:rsidR="004C506A">
              <w:t>2018–19</w:t>
            </w:r>
            <w:r w:rsidR="00D456EC" w:rsidRPr="005759E7">
              <w:rPr>
                <w:rFonts w:cs="Arial"/>
                <w:szCs w:val="20"/>
              </w:rPr>
              <w:t>:</w:t>
            </w:r>
            <w:r w:rsidR="009116B7" w:rsidRPr="005759E7">
              <w:rPr>
                <w:rFonts w:cs="Arial"/>
                <w:szCs w:val="20"/>
              </w:rPr>
              <w:t xml:space="preserve"> </w:t>
            </w:r>
            <w:r w:rsidR="004C506A">
              <w:rPr>
                <w:rFonts w:cs="Arial"/>
                <w:szCs w:val="20"/>
              </w:rPr>
              <w:t>Further consultation on configuration options</w:t>
            </w:r>
            <w:r w:rsidR="00475ADB">
              <w:rPr>
                <w:rFonts w:cs="Arial"/>
                <w:szCs w:val="20"/>
              </w:rPr>
              <w:t xml:space="preserve"> for 900 MHz</w:t>
            </w:r>
            <w:r w:rsidR="00AF7DDA">
              <w:rPr>
                <w:rFonts w:cs="Arial"/>
                <w:szCs w:val="20"/>
              </w:rPr>
              <w:t xml:space="preserve"> band</w:t>
            </w:r>
            <w:r w:rsidR="004C506A">
              <w:rPr>
                <w:rFonts w:cs="Arial"/>
                <w:szCs w:val="20"/>
              </w:rPr>
              <w:t xml:space="preserve"> </w:t>
            </w:r>
          </w:p>
        </w:tc>
      </w:tr>
      <w:tr w:rsidR="009116B7" w:rsidRPr="006D46E5" w14:paraId="5088D1EC" w14:textId="77777777" w:rsidTr="00DE694D">
        <w:trPr>
          <w:trHeight w:val="189"/>
        </w:trPr>
        <w:tc>
          <w:tcPr>
            <w:tcW w:w="1119" w:type="pct"/>
            <w:shd w:val="clear" w:color="auto" w:fill="auto"/>
          </w:tcPr>
          <w:p w14:paraId="715AB0E7" w14:textId="77777777" w:rsidR="009116B7" w:rsidRPr="005759E7" w:rsidRDefault="009116B7" w:rsidP="005270FE">
            <w:pPr>
              <w:pStyle w:val="TableBody"/>
              <w:spacing w:line="240" w:lineRule="atLeast"/>
              <w:mirrorIndents/>
              <w:rPr>
                <w:rFonts w:cs="Arial"/>
                <w:szCs w:val="20"/>
              </w:rPr>
            </w:pPr>
            <w:r w:rsidRPr="005759E7">
              <w:rPr>
                <w:rFonts w:cs="Arial"/>
                <w:szCs w:val="20"/>
              </w:rPr>
              <w:t>1.5 GHz</w:t>
            </w:r>
          </w:p>
        </w:tc>
        <w:tc>
          <w:tcPr>
            <w:tcW w:w="1119" w:type="pct"/>
            <w:shd w:val="clear" w:color="auto" w:fill="auto"/>
          </w:tcPr>
          <w:p w14:paraId="1C96DDE3" w14:textId="35B46836" w:rsidR="007918F7" w:rsidRDefault="007918F7">
            <w:pPr>
              <w:pStyle w:val="TableBody"/>
              <w:spacing w:before="100" w:beforeAutospacing="1" w:after="100" w:afterAutospacing="1" w:line="240" w:lineRule="atLeast"/>
              <w:contextualSpacing/>
              <w:mirrorIndents/>
              <w:rPr>
                <w:rFonts w:cs="Arial"/>
                <w:szCs w:val="20"/>
              </w:rPr>
            </w:pPr>
            <w:r>
              <w:rPr>
                <w:rFonts w:cs="Arial"/>
                <w:szCs w:val="20"/>
              </w:rPr>
              <w:t>Q3/4 2019</w:t>
            </w:r>
            <w:r w:rsidR="004E64E0">
              <w:rPr>
                <w:rFonts w:cs="Arial"/>
                <w:szCs w:val="20"/>
              </w:rPr>
              <w:t>–</w:t>
            </w:r>
            <w:r>
              <w:rPr>
                <w:rFonts w:cs="Arial"/>
                <w:szCs w:val="20"/>
              </w:rPr>
              <w:t>20: Options paper</w:t>
            </w:r>
          </w:p>
        </w:tc>
      </w:tr>
      <w:tr w:rsidR="004F0826" w:rsidRPr="006D46E5" w14:paraId="2A09E904" w14:textId="77777777" w:rsidTr="00DE694D">
        <w:trPr>
          <w:trHeight w:val="189"/>
        </w:trPr>
        <w:tc>
          <w:tcPr>
            <w:tcW w:w="1119" w:type="pct"/>
            <w:shd w:val="clear" w:color="auto" w:fill="auto"/>
          </w:tcPr>
          <w:p w14:paraId="6218D118" w14:textId="1069ACD7" w:rsidR="004F0826" w:rsidRPr="005759E7" w:rsidRDefault="004F0826" w:rsidP="005270FE">
            <w:pPr>
              <w:pStyle w:val="TableBody"/>
              <w:spacing w:line="240" w:lineRule="atLeast"/>
              <w:mirrorIndents/>
              <w:rPr>
                <w:rFonts w:cs="Arial"/>
                <w:szCs w:val="20"/>
              </w:rPr>
            </w:pPr>
            <w:r>
              <w:rPr>
                <w:rFonts w:cs="Arial"/>
                <w:szCs w:val="20"/>
              </w:rPr>
              <w:t>3.4–3.575 GHz</w:t>
            </w:r>
          </w:p>
        </w:tc>
        <w:tc>
          <w:tcPr>
            <w:tcW w:w="3881" w:type="pct"/>
            <w:shd w:val="clear" w:color="auto" w:fill="auto"/>
          </w:tcPr>
          <w:p w14:paraId="6D1A6E64" w14:textId="053366AA" w:rsidR="004F0826" w:rsidRDefault="004F0826" w:rsidP="004C506A">
            <w:pPr>
              <w:pStyle w:val="TableBody"/>
              <w:spacing w:before="100" w:beforeAutospacing="1" w:after="100" w:afterAutospacing="1" w:line="240" w:lineRule="atLeast"/>
              <w:contextualSpacing/>
              <w:mirrorIndents/>
              <w:rPr>
                <w:rFonts w:cs="Arial"/>
                <w:szCs w:val="20"/>
              </w:rPr>
            </w:pPr>
            <w:r>
              <w:t>Q4 2018–19: Reconfiguration options paper</w:t>
            </w:r>
          </w:p>
        </w:tc>
      </w:tr>
      <w:tr w:rsidR="004F0826" w:rsidRPr="006D46E5" w14:paraId="0C622BCC" w14:textId="77777777" w:rsidTr="00DE694D">
        <w:trPr>
          <w:trHeight w:val="189"/>
        </w:trPr>
        <w:tc>
          <w:tcPr>
            <w:tcW w:w="1119" w:type="pct"/>
            <w:shd w:val="clear" w:color="auto" w:fill="auto"/>
          </w:tcPr>
          <w:p w14:paraId="11156E82" w14:textId="6624462D" w:rsidR="004F0826" w:rsidRPr="005759E7" w:rsidRDefault="004F0826" w:rsidP="005270FE">
            <w:pPr>
              <w:pStyle w:val="TableBody"/>
              <w:spacing w:line="240" w:lineRule="atLeast"/>
              <w:mirrorIndents/>
              <w:rPr>
                <w:rFonts w:cs="Arial"/>
                <w:szCs w:val="20"/>
              </w:rPr>
            </w:pPr>
            <w:r>
              <w:rPr>
                <w:rFonts w:cs="Arial"/>
                <w:szCs w:val="20"/>
              </w:rPr>
              <w:t>28 GHz</w:t>
            </w:r>
          </w:p>
        </w:tc>
        <w:tc>
          <w:tcPr>
            <w:tcW w:w="3881" w:type="pct"/>
            <w:shd w:val="clear" w:color="auto" w:fill="auto"/>
          </w:tcPr>
          <w:p w14:paraId="7E3D2FDD" w14:textId="0D87EFBB" w:rsidR="004F0826" w:rsidRDefault="004F0826" w:rsidP="004C506A">
            <w:pPr>
              <w:pStyle w:val="TableBody"/>
              <w:spacing w:before="100" w:beforeAutospacing="1" w:after="100" w:afterAutospacing="1" w:line="240" w:lineRule="atLeast"/>
              <w:contextualSpacing/>
              <w:mirrorIndents/>
              <w:rPr>
                <w:rFonts w:cs="Arial"/>
                <w:szCs w:val="20"/>
              </w:rPr>
            </w:pPr>
            <w:r w:rsidRPr="005759E7">
              <w:rPr>
                <w:rFonts w:cs="Arial"/>
                <w:szCs w:val="20"/>
              </w:rPr>
              <w:t>Q</w:t>
            </w:r>
            <w:r>
              <w:rPr>
                <w:rFonts w:cs="Arial"/>
                <w:szCs w:val="20"/>
              </w:rPr>
              <w:t>4 2018–19:</w:t>
            </w:r>
            <w:r w:rsidRPr="005759E7">
              <w:rPr>
                <w:rFonts w:cs="Arial"/>
                <w:szCs w:val="20"/>
              </w:rPr>
              <w:t xml:space="preserve"> </w:t>
            </w:r>
            <w:r>
              <w:rPr>
                <w:rFonts w:cs="Arial"/>
                <w:szCs w:val="20"/>
              </w:rPr>
              <w:t>Options paper</w:t>
            </w:r>
          </w:p>
        </w:tc>
      </w:tr>
    </w:tbl>
    <w:p w14:paraId="51FCBC64" w14:textId="77777777" w:rsidR="001A5088" w:rsidRPr="007538FB" w:rsidRDefault="001A5088" w:rsidP="00D7755E">
      <w:pPr>
        <w:pStyle w:val="ACMASpaceaftertable"/>
      </w:pPr>
    </w:p>
    <w:p w14:paraId="67D4272F" w14:textId="586FE713" w:rsidR="009116B7" w:rsidRDefault="00DD1124" w:rsidP="00DE694D">
      <w:pPr>
        <w:pStyle w:val="ACMATableHeader"/>
        <w:keepNext/>
      </w:pPr>
      <w:r>
        <w:t xml:space="preserve">Spectrum management practice </w:t>
      </w:r>
      <w:r w:rsidR="00F01663">
        <w:t>improvement</w:t>
      </w:r>
      <w:r w:rsidR="00F01663" w:rsidRPr="00457EAA">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48"/>
        <w:gridCol w:w="5013"/>
      </w:tblGrid>
      <w:tr w:rsidR="009116B7" w:rsidRPr="006D46E5" w14:paraId="226D7C07" w14:textId="77777777" w:rsidTr="00E97880">
        <w:trPr>
          <w:tblHeader/>
        </w:trPr>
        <w:tc>
          <w:tcPr>
            <w:tcW w:w="1728" w:type="pct"/>
            <w:tcBorders>
              <w:bottom w:val="single" w:sz="4" w:space="0" w:color="auto"/>
            </w:tcBorders>
            <w:shd w:val="clear" w:color="auto" w:fill="404040" w:themeFill="text1" w:themeFillTint="BF"/>
          </w:tcPr>
          <w:p w14:paraId="50F034A1" w14:textId="77777777" w:rsidR="009116B7" w:rsidRPr="006D46E5" w:rsidRDefault="009116B7" w:rsidP="00B747E1">
            <w:pPr>
              <w:pStyle w:val="TableHeading"/>
            </w:pPr>
            <w:r>
              <w:t>Project priorities</w:t>
            </w:r>
          </w:p>
        </w:tc>
        <w:tc>
          <w:tcPr>
            <w:tcW w:w="3272" w:type="pct"/>
            <w:tcBorders>
              <w:bottom w:val="single" w:sz="4" w:space="0" w:color="auto"/>
            </w:tcBorders>
            <w:shd w:val="clear" w:color="auto" w:fill="404040" w:themeFill="text1" w:themeFillTint="BF"/>
          </w:tcPr>
          <w:p w14:paraId="2A1FD650" w14:textId="77777777" w:rsidR="009116B7" w:rsidRPr="006D46E5" w:rsidRDefault="009116B7" w:rsidP="00B747E1">
            <w:pPr>
              <w:pStyle w:val="TableHeading"/>
            </w:pPr>
            <w:r>
              <w:t>Proposed timelines</w:t>
            </w:r>
          </w:p>
        </w:tc>
      </w:tr>
      <w:tr w:rsidR="009116B7" w:rsidRPr="006D46E5" w14:paraId="727C81C7" w14:textId="77777777" w:rsidTr="00DE694D">
        <w:tc>
          <w:tcPr>
            <w:tcW w:w="1728" w:type="pct"/>
            <w:shd w:val="clear" w:color="auto" w:fill="auto"/>
          </w:tcPr>
          <w:p w14:paraId="5D3BDE86" w14:textId="77777777" w:rsidR="009116B7" w:rsidRPr="005759E7" w:rsidRDefault="009116B7" w:rsidP="005270FE">
            <w:pPr>
              <w:pStyle w:val="TableBody"/>
              <w:spacing w:line="240" w:lineRule="atLeast"/>
              <w:mirrorIndents/>
              <w:rPr>
                <w:rFonts w:cs="Arial"/>
                <w:szCs w:val="20"/>
              </w:rPr>
            </w:pPr>
            <w:r w:rsidRPr="005759E7">
              <w:rPr>
                <w:rFonts w:cs="Arial"/>
                <w:szCs w:val="20"/>
              </w:rPr>
              <w:t>Annual work program</w:t>
            </w:r>
          </w:p>
        </w:tc>
        <w:tc>
          <w:tcPr>
            <w:tcW w:w="3272" w:type="pct"/>
            <w:shd w:val="clear" w:color="auto" w:fill="auto"/>
          </w:tcPr>
          <w:p w14:paraId="3B996850" w14:textId="30A45295" w:rsidR="00FB741A" w:rsidRDefault="00FB741A" w:rsidP="005270FE">
            <w:pPr>
              <w:pStyle w:val="TableBody"/>
              <w:spacing w:after="120" w:line="240" w:lineRule="atLeast"/>
              <w:mirrorIndents/>
              <w:rPr>
                <w:rFonts w:cs="Arial"/>
                <w:szCs w:val="20"/>
              </w:rPr>
            </w:pPr>
            <w:r>
              <w:rPr>
                <w:rFonts w:cs="Arial"/>
                <w:szCs w:val="20"/>
              </w:rPr>
              <w:t>Q4 2018–19: Consult on draft work program</w:t>
            </w:r>
          </w:p>
          <w:p w14:paraId="5CD4AD8B" w14:textId="4C303400" w:rsidR="009704FD" w:rsidRDefault="009704FD" w:rsidP="005270FE">
            <w:pPr>
              <w:pStyle w:val="TableBody"/>
              <w:spacing w:after="120" w:line="240" w:lineRule="atLeast"/>
              <w:mirrorIndents/>
              <w:rPr>
                <w:rFonts w:cs="Arial"/>
                <w:szCs w:val="20"/>
              </w:rPr>
            </w:pPr>
            <w:r w:rsidRPr="005759E7">
              <w:rPr>
                <w:rFonts w:cs="Arial"/>
                <w:szCs w:val="20"/>
              </w:rPr>
              <w:t>Q1</w:t>
            </w:r>
            <w:r w:rsidR="00C90D8B">
              <w:rPr>
                <w:rFonts w:cs="Arial"/>
                <w:szCs w:val="20"/>
              </w:rPr>
              <w:t xml:space="preserve"> 2019–20</w:t>
            </w:r>
            <w:r w:rsidRPr="005759E7">
              <w:rPr>
                <w:rFonts w:cs="Arial"/>
                <w:szCs w:val="20"/>
              </w:rPr>
              <w:t>: Publish final program</w:t>
            </w:r>
          </w:p>
          <w:p w14:paraId="661298CB" w14:textId="669C80A2" w:rsidR="009116B7" w:rsidRPr="005759E7" w:rsidRDefault="009116B7" w:rsidP="005270FE">
            <w:pPr>
              <w:pStyle w:val="TableBody"/>
              <w:spacing w:line="240" w:lineRule="atLeast"/>
              <w:mirrorIndents/>
              <w:rPr>
                <w:rFonts w:cs="Arial"/>
                <w:szCs w:val="20"/>
              </w:rPr>
            </w:pPr>
            <w:r w:rsidRPr="005759E7">
              <w:rPr>
                <w:rFonts w:cs="Arial"/>
                <w:szCs w:val="20"/>
              </w:rPr>
              <w:t>Q4</w:t>
            </w:r>
            <w:r w:rsidR="00C90D8B">
              <w:rPr>
                <w:rFonts w:cs="Arial"/>
                <w:szCs w:val="20"/>
              </w:rPr>
              <w:t xml:space="preserve"> 2019–20</w:t>
            </w:r>
            <w:r w:rsidR="00D456EC" w:rsidRPr="005759E7">
              <w:rPr>
                <w:rFonts w:cs="Arial"/>
                <w:szCs w:val="20"/>
              </w:rPr>
              <w:t>:</w:t>
            </w:r>
            <w:r w:rsidRPr="005759E7">
              <w:rPr>
                <w:rFonts w:cs="Arial"/>
                <w:szCs w:val="20"/>
              </w:rPr>
              <w:t xml:space="preserve"> Consult on draft work program</w:t>
            </w:r>
            <w:r w:rsidR="00233575">
              <w:rPr>
                <w:rFonts w:cs="Arial"/>
                <w:szCs w:val="20"/>
              </w:rPr>
              <w:t xml:space="preserve"> for next year</w:t>
            </w:r>
          </w:p>
        </w:tc>
      </w:tr>
      <w:tr w:rsidR="009116B7" w:rsidRPr="006D46E5" w14:paraId="18122AA1" w14:textId="77777777" w:rsidTr="00E97880">
        <w:tc>
          <w:tcPr>
            <w:tcW w:w="1728" w:type="pct"/>
            <w:shd w:val="clear" w:color="auto" w:fill="auto"/>
          </w:tcPr>
          <w:p w14:paraId="2D8BADEC" w14:textId="77777777" w:rsidR="009116B7" w:rsidRPr="005759E7" w:rsidRDefault="009116B7" w:rsidP="005270FE">
            <w:pPr>
              <w:pStyle w:val="TableBody"/>
              <w:spacing w:line="240" w:lineRule="atLeast"/>
              <w:mirrorIndents/>
              <w:rPr>
                <w:rFonts w:cs="Arial"/>
                <w:szCs w:val="20"/>
              </w:rPr>
            </w:pPr>
            <w:r w:rsidRPr="005759E7">
              <w:rPr>
                <w:rFonts w:cs="Arial"/>
                <w:szCs w:val="20"/>
              </w:rPr>
              <w:t>Planning and technical frameworks</w:t>
            </w:r>
          </w:p>
        </w:tc>
        <w:tc>
          <w:tcPr>
            <w:tcW w:w="3272" w:type="pct"/>
            <w:shd w:val="clear" w:color="auto" w:fill="auto"/>
          </w:tcPr>
          <w:p w14:paraId="629C0FAC" w14:textId="32B3ED91"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w:t>
            </w:r>
            <w:r w:rsidRPr="00E93A04">
              <w:rPr>
                <w:rFonts w:cs="Arial"/>
                <w:szCs w:val="20"/>
              </w:rPr>
              <w:t xml:space="preserve"> 2</w:t>
            </w:r>
            <w:r w:rsidRPr="00DE694D">
              <w:rPr>
                <w:rFonts w:cs="Arial"/>
                <w:szCs w:val="20"/>
              </w:rPr>
              <w:t>nd</w:t>
            </w:r>
            <w:r w:rsidRPr="00E93A04">
              <w:rPr>
                <w:rFonts w:cs="Arial"/>
                <w:szCs w:val="20"/>
              </w:rPr>
              <w:t xml:space="preserve"> </w:t>
            </w:r>
            <w:r w:rsidRPr="005759E7">
              <w:rPr>
                <w:rFonts w:cs="Arial"/>
                <w:szCs w:val="20"/>
              </w:rPr>
              <w:t>Exposure Draft Radiocommunications Bill package</w:t>
            </w:r>
          </w:p>
        </w:tc>
      </w:tr>
      <w:tr w:rsidR="009116B7" w:rsidRPr="006D46E5" w14:paraId="40BEE348" w14:textId="77777777" w:rsidTr="00F722A0">
        <w:tc>
          <w:tcPr>
            <w:tcW w:w="1728" w:type="pct"/>
            <w:shd w:val="clear" w:color="auto" w:fill="auto"/>
          </w:tcPr>
          <w:p w14:paraId="0BFA209B" w14:textId="77777777" w:rsidR="009116B7" w:rsidRPr="005759E7" w:rsidRDefault="009116B7" w:rsidP="005270FE">
            <w:pPr>
              <w:pStyle w:val="TableBody"/>
              <w:spacing w:line="240" w:lineRule="atLeast"/>
              <w:mirrorIndents/>
              <w:rPr>
                <w:rFonts w:cs="Arial"/>
                <w:szCs w:val="20"/>
              </w:rPr>
            </w:pPr>
            <w:r w:rsidRPr="005759E7">
              <w:rPr>
                <w:rFonts w:cs="Arial"/>
                <w:szCs w:val="20"/>
              </w:rPr>
              <w:t>Licensing and licensing transition</w:t>
            </w:r>
          </w:p>
        </w:tc>
        <w:tc>
          <w:tcPr>
            <w:tcW w:w="3272" w:type="pct"/>
            <w:shd w:val="clear" w:color="auto" w:fill="auto"/>
          </w:tcPr>
          <w:p w14:paraId="15C1A40A" w14:textId="3B7D001E" w:rsidR="009116B7" w:rsidRPr="005759E7" w:rsidRDefault="009116B7" w:rsidP="005270FE">
            <w:pPr>
              <w:pStyle w:val="TableBody"/>
              <w:spacing w:line="240" w:lineRule="atLeast"/>
              <w:mirrorIndents/>
              <w:rPr>
                <w:rFonts w:cs="Arial"/>
                <w:szCs w:val="20"/>
              </w:rPr>
            </w:pPr>
            <w:r w:rsidRPr="005759E7">
              <w:rPr>
                <w:rFonts w:cs="Arial"/>
                <w:szCs w:val="20"/>
              </w:rPr>
              <w:t xml:space="preserve">Consult on revised arrangements following the release of </w:t>
            </w:r>
            <w:r w:rsidRPr="00F722A0">
              <w:rPr>
                <w:rFonts w:cs="Arial"/>
                <w:szCs w:val="20"/>
              </w:rPr>
              <w:t>2</w:t>
            </w:r>
            <w:r w:rsidRPr="00DE694D">
              <w:rPr>
                <w:rFonts w:cs="Arial"/>
                <w:szCs w:val="20"/>
              </w:rPr>
              <w:t>nd</w:t>
            </w:r>
            <w:r w:rsidRPr="005759E7">
              <w:rPr>
                <w:rFonts w:cs="Arial"/>
                <w:szCs w:val="20"/>
              </w:rPr>
              <w:t xml:space="preserve"> Exposure Draft Radiocommunications Bill package</w:t>
            </w:r>
          </w:p>
        </w:tc>
      </w:tr>
      <w:tr w:rsidR="009116B7" w:rsidRPr="006D46E5" w14:paraId="699ECB76" w14:textId="77777777" w:rsidTr="00DE694D">
        <w:tc>
          <w:tcPr>
            <w:tcW w:w="1728" w:type="pct"/>
            <w:shd w:val="clear" w:color="auto" w:fill="auto"/>
          </w:tcPr>
          <w:p w14:paraId="76221E37" w14:textId="77777777" w:rsidR="009116B7" w:rsidRPr="005759E7" w:rsidRDefault="009116B7" w:rsidP="005270FE">
            <w:pPr>
              <w:pStyle w:val="TableBody"/>
              <w:spacing w:line="240" w:lineRule="atLeast"/>
              <w:mirrorIndents/>
              <w:rPr>
                <w:rFonts w:cs="Arial"/>
                <w:szCs w:val="20"/>
              </w:rPr>
            </w:pPr>
            <w:r w:rsidRPr="005759E7">
              <w:rPr>
                <w:rFonts w:cs="Arial"/>
                <w:szCs w:val="20"/>
              </w:rPr>
              <w:lastRenderedPageBreak/>
              <w:t>Pricing review implementation</w:t>
            </w:r>
          </w:p>
        </w:tc>
        <w:tc>
          <w:tcPr>
            <w:tcW w:w="1728" w:type="pct"/>
            <w:shd w:val="clear" w:color="auto" w:fill="auto"/>
          </w:tcPr>
          <w:p w14:paraId="314DFE33" w14:textId="00499BDD" w:rsidR="009116B7" w:rsidRDefault="00D61EDE" w:rsidP="005270FE">
            <w:pPr>
              <w:pStyle w:val="TableBody"/>
              <w:spacing w:line="240" w:lineRule="atLeast"/>
              <w:mirrorIndents/>
              <w:rPr>
                <w:rFonts w:cs="Arial"/>
                <w:szCs w:val="20"/>
              </w:rPr>
            </w:pPr>
            <w:r>
              <w:t>Q1 2019</w:t>
            </w:r>
            <w:r w:rsidR="000E050A">
              <w:t>–</w:t>
            </w:r>
            <w:r>
              <w:t xml:space="preserve">20: </w:t>
            </w:r>
            <w:r w:rsidR="009116B7" w:rsidRPr="005759E7">
              <w:rPr>
                <w:rFonts w:cs="Arial"/>
                <w:szCs w:val="20"/>
              </w:rPr>
              <w:t xml:space="preserve">Consult on </w:t>
            </w:r>
            <w:r>
              <w:rPr>
                <w:rFonts w:cs="Arial"/>
                <w:szCs w:val="20"/>
              </w:rPr>
              <w:t xml:space="preserve">draft </w:t>
            </w:r>
            <w:r w:rsidR="00CB14D5">
              <w:rPr>
                <w:rFonts w:cs="Arial"/>
                <w:szCs w:val="20"/>
              </w:rPr>
              <w:t>s</w:t>
            </w:r>
            <w:r>
              <w:rPr>
                <w:rFonts w:cs="Arial"/>
                <w:szCs w:val="20"/>
              </w:rPr>
              <w:t xml:space="preserve">pectrum </w:t>
            </w:r>
            <w:r w:rsidR="00CB14D5">
              <w:rPr>
                <w:rFonts w:cs="Arial"/>
                <w:szCs w:val="20"/>
              </w:rPr>
              <w:t>p</w:t>
            </w:r>
            <w:r>
              <w:rPr>
                <w:rFonts w:cs="Arial"/>
                <w:szCs w:val="20"/>
              </w:rPr>
              <w:t xml:space="preserve">ricing </w:t>
            </w:r>
            <w:r w:rsidR="00CB14D5">
              <w:rPr>
                <w:rFonts w:cs="Arial"/>
                <w:szCs w:val="20"/>
              </w:rPr>
              <w:t>g</w:t>
            </w:r>
            <w:r>
              <w:rPr>
                <w:rFonts w:cs="Arial"/>
                <w:szCs w:val="20"/>
              </w:rPr>
              <w:t>uidelines and new cost recovery proposals</w:t>
            </w:r>
          </w:p>
          <w:p w14:paraId="181DBD67" w14:textId="77777777" w:rsidR="00161941" w:rsidRDefault="00161941" w:rsidP="005270FE">
            <w:pPr>
              <w:pStyle w:val="TableBody"/>
              <w:spacing w:line="240" w:lineRule="atLeast"/>
              <w:mirrorIndents/>
            </w:pPr>
          </w:p>
          <w:p w14:paraId="78A590B4" w14:textId="5B99C736" w:rsidR="00D61EDE" w:rsidRDefault="00D61EDE" w:rsidP="005270FE">
            <w:pPr>
              <w:pStyle w:val="TableBody"/>
              <w:spacing w:line="240" w:lineRule="atLeast"/>
              <w:mirrorIndents/>
            </w:pPr>
            <w:r>
              <w:t>Q4 2019</w:t>
            </w:r>
            <w:r w:rsidR="000E050A">
              <w:t>–</w:t>
            </w:r>
            <w:r>
              <w:t xml:space="preserve">20: </w:t>
            </w:r>
            <w:r w:rsidRPr="005759E7">
              <w:rPr>
                <w:rFonts w:cs="Arial"/>
                <w:szCs w:val="20"/>
              </w:rPr>
              <w:t xml:space="preserve">Consult on </w:t>
            </w:r>
            <w:r>
              <w:rPr>
                <w:rFonts w:cs="Arial"/>
                <w:szCs w:val="20"/>
              </w:rPr>
              <w:t>draft</w:t>
            </w:r>
            <w:r w:rsidR="003E08D6">
              <w:t xml:space="preserve"> new spectrum pricing formula</w:t>
            </w:r>
          </w:p>
        </w:tc>
      </w:tr>
      <w:tr w:rsidR="009116B7" w:rsidRPr="006D46E5" w14:paraId="0B8DC443" w14:textId="77777777" w:rsidTr="00F722A0">
        <w:tc>
          <w:tcPr>
            <w:tcW w:w="1728" w:type="pct"/>
            <w:shd w:val="clear" w:color="auto" w:fill="auto"/>
          </w:tcPr>
          <w:p w14:paraId="0BF0532C" w14:textId="77777777" w:rsidR="009116B7" w:rsidRPr="005759E7" w:rsidRDefault="009116B7" w:rsidP="005270FE">
            <w:pPr>
              <w:pStyle w:val="TableBody"/>
              <w:spacing w:line="240" w:lineRule="atLeast"/>
              <w:mirrorIndents/>
              <w:rPr>
                <w:rFonts w:cs="Arial"/>
                <w:szCs w:val="20"/>
              </w:rPr>
            </w:pPr>
            <w:r w:rsidRPr="005759E7">
              <w:rPr>
                <w:rFonts w:cs="Arial"/>
                <w:szCs w:val="20"/>
              </w:rPr>
              <w:t>Equipment rules</w:t>
            </w:r>
          </w:p>
        </w:tc>
        <w:tc>
          <w:tcPr>
            <w:tcW w:w="3272" w:type="pct"/>
            <w:shd w:val="clear" w:color="auto" w:fill="auto"/>
          </w:tcPr>
          <w:p w14:paraId="1DB388A4" w14:textId="457A4D0C" w:rsidR="009116B7" w:rsidRPr="005759E7" w:rsidRDefault="009116B7" w:rsidP="005270FE">
            <w:pPr>
              <w:pStyle w:val="TableBody"/>
              <w:spacing w:line="240" w:lineRule="atLeast"/>
              <w:mirrorIndents/>
              <w:rPr>
                <w:rFonts w:cs="Arial"/>
                <w:szCs w:val="20"/>
              </w:rPr>
            </w:pPr>
            <w:r w:rsidRPr="005759E7">
              <w:rPr>
                <w:rFonts w:cs="Arial"/>
                <w:szCs w:val="20"/>
              </w:rPr>
              <w:t xml:space="preserve">Consult on revised arrangements following the release of </w:t>
            </w:r>
            <w:r w:rsidRPr="00F722A0">
              <w:rPr>
                <w:rFonts w:cs="Arial"/>
                <w:szCs w:val="20"/>
              </w:rPr>
              <w:t>2</w:t>
            </w:r>
            <w:r w:rsidRPr="00DE694D">
              <w:rPr>
                <w:rFonts w:cs="Arial"/>
                <w:szCs w:val="20"/>
              </w:rPr>
              <w:t>nd</w:t>
            </w:r>
            <w:r w:rsidRPr="005759E7">
              <w:rPr>
                <w:rFonts w:cs="Arial"/>
                <w:szCs w:val="20"/>
              </w:rPr>
              <w:t xml:space="preserve"> Exposure Draft Radiocommunications Bill package</w:t>
            </w:r>
          </w:p>
        </w:tc>
      </w:tr>
      <w:tr w:rsidR="009116B7" w:rsidRPr="006D46E5" w14:paraId="569B4041" w14:textId="77777777" w:rsidTr="00E97880">
        <w:tc>
          <w:tcPr>
            <w:tcW w:w="1728" w:type="pct"/>
            <w:shd w:val="clear" w:color="auto" w:fill="auto"/>
          </w:tcPr>
          <w:p w14:paraId="58AEF928" w14:textId="22AD8C9A" w:rsidR="009116B7" w:rsidRPr="005759E7" w:rsidRDefault="009116B7" w:rsidP="005270FE">
            <w:pPr>
              <w:pStyle w:val="TableBody"/>
              <w:spacing w:line="240" w:lineRule="atLeast"/>
              <w:mirrorIndents/>
              <w:rPr>
                <w:rFonts w:cs="Arial"/>
                <w:szCs w:val="20"/>
              </w:rPr>
            </w:pPr>
            <w:r w:rsidRPr="005759E7">
              <w:rPr>
                <w:rFonts w:cs="Arial"/>
                <w:szCs w:val="20"/>
              </w:rPr>
              <w:t xml:space="preserve">Accreditation arrangements </w:t>
            </w:r>
          </w:p>
        </w:tc>
        <w:tc>
          <w:tcPr>
            <w:tcW w:w="3272" w:type="pct"/>
            <w:shd w:val="clear" w:color="auto" w:fill="auto"/>
          </w:tcPr>
          <w:p w14:paraId="4B9963EC" w14:textId="7FEAB081" w:rsidR="009116B7" w:rsidRPr="005759E7" w:rsidRDefault="009116B7" w:rsidP="005270FE">
            <w:pPr>
              <w:pStyle w:val="TableBody"/>
              <w:spacing w:line="240" w:lineRule="atLeast"/>
              <w:mirrorIndents/>
              <w:rPr>
                <w:rFonts w:cs="Arial"/>
                <w:szCs w:val="20"/>
              </w:rPr>
            </w:pPr>
            <w:r w:rsidRPr="005759E7">
              <w:rPr>
                <w:rFonts w:cs="Arial"/>
                <w:szCs w:val="20"/>
              </w:rPr>
              <w:t xml:space="preserve">Consult on revised arrangements following the release of </w:t>
            </w:r>
            <w:r w:rsidRPr="00F722A0">
              <w:rPr>
                <w:rFonts w:cs="Arial"/>
                <w:szCs w:val="20"/>
              </w:rPr>
              <w:t>2</w:t>
            </w:r>
            <w:r w:rsidRPr="00DE694D">
              <w:rPr>
                <w:rFonts w:cs="Arial"/>
                <w:szCs w:val="20"/>
              </w:rPr>
              <w:t>nd</w:t>
            </w:r>
            <w:r w:rsidRPr="005759E7">
              <w:rPr>
                <w:rFonts w:cs="Arial"/>
                <w:szCs w:val="20"/>
              </w:rPr>
              <w:t xml:space="preserve"> Exposure Draft Radiocommunications Bill package</w:t>
            </w:r>
          </w:p>
        </w:tc>
      </w:tr>
      <w:tr w:rsidR="00D823F5" w:rsidRPr="006D46E5" w14:paraId="6FF5C5E9" w14:textId="77777777" w:rsidTr="00DE694D">
        <w:tc>
          <w:tcPr>
            <w:tcW w:w="1728" w:type="pct"/>
            <w:shd w:val="clear" w:color="auto" w:fill="auto"/>
          </w:tcPr>
          <w:p w14:paraId="7D3173F4" w14:textId="22ED245C" w:rsidR="00D823F5" w:rsidRPr="005759E7" w:rsidRDefault="00D823F5" w:rsidP="005270FE">
            <w:pPr>
              <w:pStyle w:val="TableBody"/>
              <w:spacing w:line="240" w:lineRule="atLeast"/>
              <w:mirrorIndents/>
              <w:rPr>
                <w:rFonts w:cs="Arial"/>
                <w:szCs w:val="20"/>
              </w:rPr>
            </w:pPr>
            <w:r>
              <w:rPr>
                <w:rFonts w:cs="Arial"/>
                <w:szCs w:val="20"/>
              </w:rPr>
              <w:t>Shorter</w:t>
            </w:r>
            <w:r w:rsidR="00CB14D5">
              <w:rPr>
                <w:rFonts w:cs="Arial"/>
                <w:szCs w:val="20"/>
              </w:rPr>
              <w:t>-</w:t>
            </w:r>
            <w:r>
              <w:rPr>
                <w:rFonts w:cs="Arial"/>
                <w:szCs w:val="20"/>
              </w:rPr>
              <w:t xml:space="preserve">term improvements in </w:t>
            </w:r>
            <w:r w:rsidR="00CB14D5">
              <w:rPr>
                <w:rFonts w:cs="Arial"/>
                <w:szCs w:val="20"/>
              </w:rPr>
              <w:br/>
            </w:r>
            <w:r>
              <w:rPr>
                <w:rFonts w:cs="Arial"/>
                <w:szCs w:val="20"/>
              </w:rPr>
              <w:t>spectrum management</w:t>
            </w:r>
          </w:p>
        </w:tc>
        <w:tc>
          <w:tcPr>
            <w:tcW w:w="3272" w:type="pct"/>
            <w:shd w:val="clear" w:color="auto" w:fill="auto"/>
          </w:tcPr>
          <w:p w14:paraId="6D3A4855" w14:textId="7E98A44D" w:rsidR="00D823F5" w:rsidRPr="005759E7" w:rsidRDefault="00D823F5" w:rsidP="005270FE">
            <w:pPr>
              <w:pStyle w:val="TableBody"/>
              <w:spacing w:line="240" w:lineRule="atLeast"/>
              <w:mirrorIndents/>
              <w:rPr>
                <w:rFonts w:cs="Arial"/>
                <w:szCs w:val="20"/>
              </w:rPr>
            </w:pPr>
            <w:r>
              <w:rPr>
                <w:rFonts w:cs="Arial"/>
                <w:szCs w:val="20"/>
              </w:rPr>
              <w:t>Commenced in 2018</w:t>
            </w:r>
            <w:r w:rsidR="004E64E0">
              <w:rPr>
                <w:rFonts w:cs="Arial"/>
                <w:szCs w:val="20"/>
              </w:rPr>
              <w:t>–</w:t>
            </w:r>
            <w:r>
              <w:rPr>
                <w:rFonts w:cs="Arial"/>
                <w:szCs w:val="20"/>
              </w:rPr>
              <w:t>19, continuing throughout 2019</w:t>
            </w:r>
            <w:r w:rsidR="004E64E0">
              <w:rPr>
                <w:rFonts w:cs="Arial"/>
                <w:szCs w:val="20"/>
              </w:rPr>
              <w:t>–</w:t>
            </w:r>
            <w:r>
              <w:rPr>
                <w:rFonts w:cs="Arial"/>
                <w:szCs w:val="20"/>
              </w:rPr>
              <w:t>20</w:t>
            </w:r>
          </w:p>
        </w:tc>
      </w:tr>
    </w:tbl>
    <w:p w14:paraId="1CFCF08E" w14:textId="77777777" w:rsidR="00557D3A" w:rsidRPr="007538FB" w:rsidRDefault="00557D3A" w:rsidP="00D7755E">
      <w:pPr>
        <w:pStyle w:val="ACMASpaceaftertable"/>
      </w:pPr>
    </w:p>
    <w:p w14:paraId="2EA5437D" w14:textId="47ACE486" w:rsidR="009116B7" w:rsidRDefault="009116B7" w:rsidP="00DE694D">
      <w:pPr>
        <w:pStyle w:val="ACMATableHeader"/>
        <w:keepNext/>
        <w:keepLines/>
      </w:pPr>
      <w:r w:rsidRPr="007538FB">
        <w:t>Licensing</w:t>
      </w:r>
      <w:r w:rsidR="00F01663">
        <w:t xml:space="preserve"> and licensing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89"/>
        <w:gridCol w:w="4972"/>
      </w:tblGrid>
      <w:tr w:rsidR="009116B7" w:rsidRPr="006D46E5" w14:paraId="3A69B504" w14:textId="77777777" w:rsidTr="00596594">
        <w:trPr>
          <w:tblHeader/>
        </w:trPr>
        <w:tc>
          <w:tcPr>
            <w:tcW w:w="1755" w:type="pct"/>
            <w:shd w:val="clear" w:color="auto" w:fill="404040" w:themeFill="text1" w:themeFillTint="BF"/>
          </w:tcPr>
          <w:p w14:paraId="151AEC54" w14:textId="77777777" w:rsidR="009116B7" w:rsidRPr="006D46E5" w:rsidRDefault="009116B7" w:rsidP="00E26672">
            <w:pPr>
              <w:pStyle w:val="TableHeading"/>
            </w:pPr>
            <w:r>
              <w:t>Project priorities</w:t>
            </w:r>
          </w:p>
        </w:tc>
        <w:tc>
          <w:tcPr>
            <w:tcW w:w="3245" w:type="pct"/>
            <w:shd w:val="clear" w:color="auto" w:fill="404040" w:themeFill="text1" w:themeFillTint="BF"/>
          </w:tcPr>
          <w:p w14:paraId="44E904CB" w14:textId="77777777" w:rsidR="009116B7" w:rsidRPr="006D46E5" w:rsidRDefault="009116B7" w:rsidP="00E26672">
            <w:pPr>
              <w:pStyle w:val="TableHeading"/>
            </w:pPr>
            <w:r>
              <w:t>Proposed timelines</w:t>
            </w:r>
          </w:p>
        </w:tc>
      </w:tr>
      <w:tr w:rsidR="00A802B9" w:rsidRPr="006D46E5" w14:paraId="19B5A121" w14:textId="77777777" w:rsidTr="00596594">
        <w:tc>
          <w:tcPr>
            <w:tcW w:w="1755" w:type="pct"/>
            <w:shd w:val="clear" w:color="auto" w:fill="auto"/>
          </w:tcPr>
          <w:p w14:paraId="73AAAD3C" w14:textId="3592E532" w:rsidR="00A802B9" w:rsidRPr="005759E7" w:rsidDel="009814FB" w:rsidRDefault="00A802B9" w:rsidP="00DE694D">
            <w:pPr>
              <w:pStyle w:val="TableBody"/>
              <w:rPr>
                <w:rFonts w:cs="Arial"/>
              </w:rPr>
            </w:pPr>
            <w:r>
              <w:rPr>
                <w:rFonts w:cs="Arial"/>
              </w:rPr>
              <w:t>Consideration of changes to amateur licence conditions</w:t>
            </w:r>
          </w:p>
        </w:tc>
        <w:tc>
          <w:tcPr>
            <w:tcW w:w="3245" w:type="pct"/>
            <w:shd w:val="clear" w:color="auto" w:fill="auto"/>
          </w:tcPr>
          <w:p w14:paraId="75C4CB3C" w14:textId="77615431" w:rsidR="00A802B9" w:rsidRPr="005759E7" w:rsidDel="009814FB" w:rsidRDefault="00A802B9" w:rsidP="00DE694D">
            <w:pPr>
              <w:pStyle w:val="TableBody"/>
              <w:rPr>
                <w:rFonts w:cs="Arial"/>
              </w:rPr>
            </w:pPr>
            <w:r w:rsidRPr="001D6837">
              <w:t>Q4 2018–19</w:t>
            </w:r>
            <w:r>
              <w:t>: Commence consultation</w:t>
            </w:r>
          </w:p>
        </w:tc>
      </w:tr>
      <w:tr w:rsidR="009116B7" w:rsidRPr="006D46E5" w14:paraId="6A4C1D99" w14:textId="77777777" w:rsidTr="00E97880">
        <w:trPr>
          <w:trHeight w:val="1302"/>
        </w:trPr>
        <w:tc>
          <w:tcPr>
            <w:tcW w:w="1755" w:type="pct"/>
            <w:shd w:val="clear" w:color="auto" w:fill="auto"/>
          </w:tcPr>
          <w:p w14:paraId="40FD95FC" w14:textId="77777777" w:rsidR="009116B7" w:rsidRPr="005759E7" w:rsidRDefault="009116B7" w:rsidP="00DE694D">
            <w:pPr>
              <w:pStyle w:val="TableBody"/>
              <w:rPr>
                <w:rFonts w:cs="Arial"/>
              </w:rPr>
            </w:pPr>
            <w:r w:rsidRPr="005759E7">
              <w:rPr>
                <w:rFonts w:cs="Arial"/>
              </w:rPr>
              <w:t>VHF marine radio use</w:t>
            </w:r>
          </w:p>
        </w:tc>
        <w:tc>
          <w:tcPr>
            <w:tcW w:w="3245" w:type="pct"/>
            <w:shd w:val="clear" w:color="auto" w:fill="auto"/>
          </w:tcPr>
          <w:p w14:paraId="5B6FC7AD" w14:textId="38E464A1" w:rsidR="009116B7" w:rsidRPr="005759E7" w:rsidRDefault="0068223A" w:rsidP="00DE694D">
            <w:pPr>
              <w:rPr>
                <w:rFonts w:cs="Arial"/>
              </w:rPr>
            </w:pPr>
            <w:bookmarkStart w:id="21" w:name="_Hlk2935838"/>
            <w:r>
              <w:rPr>
                <w:rFonts w:cs="Arial"/>
              </w:rPr>
              <w:t xml:space="preserve">Q4 2018–19: </w:t>
            </w:r>
            <w:r w:rsidR="00DA279E">
              <w:rPr>
                <w:rFonts w:cs="Arial"/>
              </w:rPr>
              <w:t xml:space="preserve">Based on the outcome of the consultation paper released in 2018, the </w:t>
            </w:r>
            <w:r>
              <w:rPr>
                <w:rFonts w:cs="Arial"/>
              </w:rPr>
              <w:t xml:space="preserve">ACMA </w:t>
            </w:r>
            <w:r w:rsidR="00DA279E">
              <w:rPr>
                <w:rFonts w:cs="Arial"/>
              </w:rPr>
              <w:t xml:space="preserve">will </w:t>
            </w:r>
            <w:r>
              <w:rPr>
                <w:rFonts w:cs="Arial"/>
              </w:rPr>
              <w:t xml:space="preserve">consider making changes </w:t>
            </w:r>
            <w:r w:rsidR="00D90A85">
              <w:rPr>
                <w:rFonts w:cs="Arial"/>
              </w:rPr>
              <w:t xml:space="preserve">to the current VHF maritime mobile regulatory arrangements and </w:t>
            </w:r>
            <w:r w:rsidR="00DA279E">
              <w:rPr>
                <w:rFonts w:cs="Arial"/>
              </w:rPr>
              <w:t xml:space="preserve">work with industry on </w:t>
            </w:r>
            <w:r w:rsidR="00D90A85">
              <w:rPr>
                <w:rFonts w:cs="Arial"/>
              </w:rPr>
              <w:t>what future changes should be considered</w:t>
            </w:r>
            <w:bookmarkEnd w:id="21"/>
          </w:p>
        </w:tc>
      </w:tr>
      <w:tr w:rsidR="002717D0" w:rsidRPr="006D46E5" w14:paraId="37F0E447" w14:textId="77777777" w:rsidTr="00596594">
        <w:tc>
          <w:tcPr>
            <w:tcW w:w="1755" w:type="pct"/>
            <w:shd w:val="clear" w:color="auto" w:fill="auto"/>
          </w:tcPr>
          <w:p w14:paraId="05186A0D" w14:textId="77777777" w:rsidR="002717D0" w:rsidRPr="005759E7" w:rsidRDefault="002717D0" w:rsidP="00DE694D">
            <w:pPr>
              <w:pStyle w:val="TableBody"/>
              <w:rPr>
                <w:rFonts w:cs="Arial"/>
              </w:rPr>
            </w:pPr>
            <w:r w:rsidRPr="005759E7">
              <w:rPr>
                <w:rFonts w:cs="Arial"/>
              </w:rPr>
              <w:t xml:space="preserve">400 MHz band </w:t>
            </w:r>
          </w:p>
        </w:tc>
        <w:tc>
          <w:tcPr>
            <w:tcW w:w="3245" w:type="pct"/>
            <w:shd w:val="clear" w:color="auto" w:fill="auto"/>
          </w:tcPr>
          <w:p w14:paraId="14A924AE" w14:textId="2CF53F0B" w:rsidR="002717D0" w:rsidRPr="005759E7" w:rsidRDefault="0068223A" w:rsidP="00DE694D">
            <w:pPr>
              <w:pStyle w:val="TableBody"/>
              <w:rPr>
                <w:rFonts w:cs="Arial"/>
              </w:rPr>
            </w:pPr>
            <w:r>
              <w:t xml:space="preserve">Preparation for the final milestone period of the </w:t>
            </w:r>
            <w:r w:rsidR="000C3803">
              <w:br/>
            </w:r>
            <w:r>
              <w:t>400 MHz implementation project in 2019–20</w:t>
            </w:r>
          </w:p>
        </w:tc>
      </w:tr>
      <w:tr w:rsidR="00756048" w:rsidRPr="006D46E5" w14:paraId="3DF31AFE" w14:textId="77777777" w:rsidTr="00E97880">
        <w:trPr>
          <w:trHeight w:val="1352"/>
        </w:trPr>
        <w:tc>
          <w:tcPr>
            <w:tcW w:w="1755" w:type="pct"/>
            <w:shd w:val="clear" w:color="auto" w:fill="auto"/>
          </w:tcPr>
          <w:p w14:paraId="2F72530F" w14:textId="4EAD7397" w:rsidR="00756048" w:rsidRPr="005759E7" w:rsidRDefault="0068223A" w:rsidP="00DE694D">
            <w:pPr>
              <w:pStyle w:val="TableBody"/>
              <w:rPr>
                <w:rFonts w:cs="Arial"/>
              </w:rPr>
            </w:pPr>
            <w:r>
              <w:t>Monitor</w:t>
            </w:r>
            <w:r w:rsidR="007B38D6" w:rsidRPr="005759E7">
              <w:t xml:space="preserve"> licensing arrangements for drones</w:t>
            </w:r>
            <w:r w:rsidR="000C3803">
              <w:t>,</w:t>
            </w:r>
            <w:r w:rsidR="007B38D6" w:rsidRPr="005759E7">
              <w:t xml:space="preserve"> and prohibitions and exemptions for drone jamming</w:t>
            </w:r>
          </w:p>
        </w:tc>
        <w:tc>
          <w:tcPr>
            <w:tcW w:w="3245" w:type="pct"/>
            <w:shd w:val="clear" w:color="auto" w:fill="auto"/>
          </w:tcPr>
          <w:p w14:paraId="76F73525" w14:textId="62AE670B" w:rsidR="00061A3C" w:rsidRDefault="00061A3C" w:rsidP="00DE694D">
            <w:r>
              <w:t>The ACMA will continue to monitor licensing arrangements and prohibitions in 2019–20</w:t>
            </w:r>
          </w:p>
          <w:p w14:paraId="4FE92311" w14:textId="57805892" w:rsidR="00756048" w:rsidRPr="005759E7" w:rsidRDefault="00061A3C" w:rsidP="00DE694D">
            <w:pPr>
              <w:rPr>
                <w:rFonts w:ascii="Calibri" w:hAnsi="Calibri"/>
              </w:rPr>
            </w:pPr>
            <w:r>
              <w:t>T</w:t>
            </w:r>
            <w:r w:rsidR="0068223A">
              <w:t>he ACMA will consult on any required changes to regulatory arrangements for counter-drone equipmen</w:t>
            </w:r>
            <w:r>
              <w:t>t in 2019–20</w:t>
            </w:r>
          </w:p>
        </w:tc>
      </w:tr>
      <w:tr w:rsidR="00A802B9" w:rsidRPr="006D46E5" w14:paraId="5DAD78EE" w14:textId="77777777" w:rsidTr="005C4D86">
        <w:trPr>
          <w:trHeight w:val="628"/>
        </w:trPr>
        <w:tc>
          <w:tcPr>
            <w:tcW w:w="1755" w:type="pct"/>
            <w:shd w:val="clear" w:color="auto" w:fill="auto"/>
          </w:tcPr>
          <w:p w14:paraId="696489C1" w14:textId="345EE8AE" w:rsidR="00A802B9" w:rsidRDefault="00A802B9" w:rsidP="00A802B9">
            <w:pPr>
              <w:pStyle w:val="TableBody"/>
            </w:pPr>
            <w:r w:rsidRPr="000655FE">
              <w:rPr>
                <w:rFonts w:cs="Arial"/>
              </w:rPr>
              <w:t xml:space="preserve">Review </w:t>
            </w:r>
            <w:r w:rsidRPr="000F3357">
              <w:t xml:space="preserve">non-assigned amateur and outpost licensing </w:t>
            </w:r>
            <w:r w:rsidRPr="000655FE">
              <w:rPr>
                <w:rFonts w:cs="Arial"/>
              </w:rPr>
              <w:t>arrangements</w:t>
            </w:r>
          </w:p>
        </w:tc>
        <w:tc>
          <w:tcPr>
            <w:tcW w:w="3245" w:type="pct"/>
            <w:shd w:val="clear" w:color="auto" w:fill="auto"/>
          </w:tcPr>
          <w:p w14:paraId="5105918C" w14:textId="38111FC5" w:rsidR="00A802B9" w:rsidRDefault="00A802B9" w:rsidP="00A802B9">
            <w:r>
              <w:t>Q2 2019–20: Further consultation on non-assigned amateur and outpost licensing arrangements</w:t>
            </w:r>
            <w:r w:rsidRPr="00877627">
              <w:rPr>
                <w:rFonts w:cs="Arial"/>
                <w:color w:val="000000"/>
              </w:rPr>
              <w:t xml:space="preserve"> </w:t>
            </w:r>
          </w:p>
        </w:tc>
      </w:tr>
    </w:tbl>
    <w:p w14:paraId="325F579E" w14:textId="77777777" w:rsidR="0058077F" w:rsidRDefault="0058077F" w:rsidP="00D7755E">
      <w:pPr>
        <w:pStyle w:val="ACMASpaceaftertable"/>
      </w:pPr>
    </w:p>
    <w:p w14:paraId="0EB11DF8" w14:textId="77777777" w:rsidR="009116B7" w:rsidRDefault="009116B7" w:rsidP="00DE694D">
      <w:pPr>
        <w:pStyle w:val="ACMATableHeader"/>
        <w:keepNext/>
        <w:keepLines/>
      </w:pPr>
      <w:r w:rsidRPr="007538FB">
        <w:lastRenderedPageBreak/>
        <w:t>Pricing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56"/>
        <w:gridCol w:w="4105"/>
      </w:tblGrid>
      <w:tr w:rsidR="009116B7" w:rsidRPr="006D46E5" w14:paraId="5AABB33C" w14:textId="77777777" w:rsidTr="00DE694D">
        <w:trPr>
          <w:tblHeader/>
        </w:trPr>
        <w:tc>
          <w:tcPr>
            <w:tcW w:w="2321" w:type="pct"/>
            <w:shd w:val="clear" w:color="auto" w:fill="404040" w:themeFill="text1" w:themeFillTint="BF"/>
          </w:tcPr>
          <w:p w14:paraId="3BD77734" w14:textId="77777777" w:rsidR="009116B7" w:rsidRPr="006D46E5" w:rsidRDefault="009116B7" w:rsidP="0063259B">
            <w:pPr>
              <w:pStyle w:val="TableHeading"/>
            </w:pPr>
            <w:r>
              <w:t>Project priorities</w:t>
            </w:r>
          </w:p>
        </w:tc>
        <w:tc>
          <w:tcPr>
            <w:tcW w:w="2679" w:type="pct"/>
            <w:shd w:val="clear" w:color="auto" w:fill="404040" w:themeFill="text1" w:themeFillTint="BF"/>
          </w:tcPr>
          <w:p w14:paraId="5404E400" w14:textId="77777777" w:rsidR="009116B7" w:rsidRPr="006D46E5" w:rsidRDefault="009116B7" w:rsidP="0063259B">
            <w:pPr>
              <w:pStyle w:val="TableHeading"/>
            </w:pPr>
            <w:r>
              <w:t>Proposed timelines</w:t>
            </w:r>
          </w:p>
        </w:tc>
      </w:tr>
      <w:tr w:rsidR="009116B7" w:rsidRPr="006D46E5" w14:paraId="05032767" w14:textId="77777777" w:rsidTr="00DE694D">
        <w:tc>
          <w:tcPr>
            <w:tcW w:w="2321" w:type="pct"/>
            <w:shd w:val="clear" w:color="auto" w:fill="auto"/>
          </w:tcPr>
          <w:p w14:paraId="0807D978" w14:textId="77777777" w:rsidR="009116B7" w:rsidRPr="00775B4A" w:rsidRDefault="009116B7" w:rsidP="00DE694D">
            <w:pPr>
              <w:pStyle w:val="TableBody"/>
            </w:pPr>
            <w:r w:rsidRPr="00E26672">
              <w:t xml:space="preserve">Commercial broadcasting tax </w:t>
            </w:r>
            <w:r w:rsidR="00D456EC" w:rsidRPr="00E26672">
              <w:t>arrangements</w:t>
            </w:r>
            <w:r w:rsidRPr="00BB06BC">
              <w:t xml:space="preserve"> </w:t>
            </w:r>
          </w:p>
        </w:tc>
        <w:tc>
          <w:tcPr>
            <w:tcW w:w="2679" w:type="pct"/>
            <w:shd w:val="clear" w:color="auto" w:fill="auto"/>
          </w:tcPr>
          <w:p w14:paraId="302E8DD0" w14:textId="529744FA" w:rsidR="009116B7" w:rsidRPr="00E02187" w:rsidRDefault="001A3F7F" w:rsidP="00DE694D">
            <w:pPr>
              <w:pStyle w:val="TableBody"/>
            </w:pPr>
            <w:r w:rsidRPr="00916C98">
              <w:t>Ongoing</w:t>
            </w:r>
            <w:r w:rsidR="001F0531" w:rsidRPr="00916C98">
              <w:t xml:space="preserve"> assessment of taxes throughout 2019</w:t>
            </w:r>
            <w:r w:rsidR="004E64E0" w:rsidRPr="00916C98">
              <w:t>–</w:t>
            </w:r>
            <w:r w:rsidR="001F0531" w:rsidRPr="00916C98">
              <w:t>20</w:t>
            </w:r>
          </w:p>
        </w:tc>
      </w:tr>
      <w:tr w:rsidR="009116B7" w:rsidRPr="006D46E5" w14:paraId="465EBD5D" w14:textId="77777777" w:rsidTr="00DE694D">
        <w:tc>
          <w:tcPr>
            <w:tcW w:w="2321" w:type="pct"/>
            <w:shd w:val="clear" w:color="auto" w:fill="auto"/>
          </w:tcPr>
          <w:p w14:paraId="650B4ECA" w14:textId="77777777" w:rsidR="009116B7" w:rsidRPr="00BB06BC" w:rsidRDefault="009116B7" w:rsidP="00DE694D">
            <w:pPr>
              <w:pStyle w:val="TableBody"/>
            </w:pPr>
            <w:r w:rsidRPr="00E26672">
              <w:t xml:space="preserve">Preparation for review of </w:t>
            </w:r>
            <w:r w:rsidRPr="00E26672">
              <w:rPr>
                <w:i/>
              </w:rPr>
              <w:t>Commercial Broadcasting (Tax) Act 2017</w:t>
            </w:r>
          </w:p>
        </w:tc>
        <w:tc>
          <w:tcPr>
            <w:tcW w:w="2679" w:type="pct"/>
            <w:shd w:val="clear" w:color="auto" w:fill="auto"/>
          </w:tcPr>
          <w:p w14:paraId="7DDA9A4F" w14:textId="4E564E13" w:rsidR="009116B7" w:rsidRPr="00916C98" w:rsidRDefault="009116B7" w:rsidP="00DE694D">
            <w:pPr>
              <w:pStyle w:val="TableBody"/>
            </w:pPr>
            <w:r w:rsidRPr="00775B4A">
              <w:t>Q4</w:t>
            </w:r>
            <w:r w:rsidR="00F64528" w:rsidRPr="00775B4A">
              <w:t xml:space="preserve"> 2018–19</w:t>
            </w:r>
            <w:r w:rsidR="00D456EC" w:rsidRPr="00775B4A">
              <w:t>: I</w:t>
            </w:r>
            <w:r w:rsidRPr="00775B4A">
              <w:t>nformation</w:t>
            </w:r>
            <w:r w:rsidR="00727C16" w:rsidRPr="00775B4A">
              <w:t xml:space="preserve"> to be issued</w:t>
            </w:r>
            <w:r w:rsidRPr="00775B4A">
              <w:t xml:space="preserve"> about </w:t>
            </w:r>
            <w:r w:rsidR="00727C16" w:rsidRPr="00916C98">
              <w:t xml:space="preserve">planned arrangements for </w:t>
            </w:r>
            <w:r w:rsidRPr="00916C98">
              <w:t>the review</w:t>
            </w:r>
            <w:r w:rsidR="00727C16" w:rsidRPr="00916C98">
              <w:t xml:space="preserve"> required to be conducted after 1 July 2019</w:t>
            </w:r>
          </w:p>
        </w:tc>
      </w:tr>
      <w:tr w:rsidR="009116B7" w:rsidRPr="006D46E5" w14:paraId="1FBECAC7" w14:textId="77777777" w:rsidTr="00DE694D">
        <w:tc>
          <w:tcPr>
            <w:tcW w:w="2321" w:type="pct"/>
            <w:shd w:val="clear" w:color="auto" w:fill="auto"/>
          </w:tcPr>
          <w:p w14:paraId="3B936B95" w14:textId="77777777" w:rsidR="009116B7" w:rsidRPr="00775B4A" w:rsidRDefault="009116B7" w:rsidP="00DE694D">
            <w:pPr>
              <w:pStyle w:val="TableBody"/>
            </w:pPr>
            <w:r w:rsidRPr="00E26672">
              <w:t>400 MHz opportunity</w:t>
            </w:r>
            <w:r w:rsidR="00533216" w:rsidRPr="00E26672">
              <w:t>-</w:t>
            </w:r>
            <w:r w:rsidRPr="00BB06BC">
              <w:t>cost pr</w:t>
            </w:r>
            <w:r w:rsidRPr="00775B4A">
              <w:t>icing</w:t>
            </w:r>
          </w:p>
        </w:tc>
        <w:tc>
          <w:tcPr>
            <w:tcW w:w="2679" w:type="pct"/>
            <w:shd w:val="clear" w:color="auto" w:fill="auto"/>
          </w:tcPr>
          <w:p w14:paraId="219301F5" w14:textId="59EAD8D5" w:rsidR="009116B7" w:rsidRPr="00EA18CC" w:rsidRDefault="009116B7" w:rsidP="00DE694D">
            <w:pPr>
              <w:pStyle w:val="TableBody"/>
            </w:pPr>
            <w:r w:rsidRPr="00916C98">
              <w:t>Continued</w:t>
            </w:r>
            <w:r w:rsidR="00787C86" w:rsidRPr="00916C98">
              <w:t xml:space="preserve"> semi</w:t>
            </w:r>
            <w:r w:rsidR="000C3803" w:rsidRPr="00916C98">
              <w:t>-</w:t>
            </w:r>
            <w:r w:rsidR="00787C86" w:rsidRPr="00E02187">
              <w:t>regular</w:t>
            </w:r>
            <w:r w:rsidRPr="00E02187">
              <w:t xml:space="preserve"> monitoring of band use</w:t>
            </w:r>
            <w:r w:rsidR="00787C86" w:rsidRPr="00EA18CC">
              <w:t xml:space="preserve"> </w:t>
            </w:r>
          </w:p>
        </w:tc>
      </w:tr>
      <w:tr w:rsidR="009116B7" w:rsidRPr="006D46E5" w14:paraId="403E0200" w14:textId="77777777" w:rsidTr="00DE694D">
        <w:tc>
          <w:tcPr>
            <w:tcW w:w="2321" w:type="pct"/>
            <w:shd w:val="clear" w:color="auto" w:fill="auto"/>
          </w:tcPr>
          <w:p w14:paraId="757605AA" w14:textId="47186979" w:rsidR="009116B7" w:rsidRPr="00775B4A" w:rsidRDefault="00266AD8" w:rsidP="00DE694D">
            <w:pPr>
              <w:pStyle w:val="TableBody"/>
            </w:pPr>
            <w:r w:rsidRPr="00E26672">
              <w:t>Consultation on the adjusting of apparatus licence taxes for inflation and removing the freeze on taxes for fixed services in remote</w:t>
            </w:r>
            <w:r w:rsidR="000C3803" w:rsidRPr="00BB06BC">
              <w:t>-</w:t>
            </w:r>
            <w:r w:rsidRPr="00A27602">
              <w:t>density areas below 960</w:t>
            </w:r>
            <w:r w:rsidR="00454877">
              <w:t xml:space="preserve"> </w:t>
            </w:r>
            <w:r w:rsidRPr="00A27602">
              <w:t>MH</w:t>
            </w:r>
            <w:r w:rsidR="00454877">
              <w:t>z</w:t>
            </w:r>
          </w:p>
        </w:tc>
        <w:tc>
          <w:tcPr>
            <w:tcW w:w="2679" w:type="pct"/>
            <w:shd w:val="clear" w:color="auto" w:fill="auto"/>
          </w:tcPr>
          <w:p w14:paraId="4BC42EA3" w14:textId="3C57C420" w:rsidR="009116B7" w:rsidRPr="00775B4A" w:rsidRDefault="00970B23" w:rsidP="00DE694D">
            <w:pPr>
              <w:pStyle w:val="TableBody"/>
            </w:pPr>
            <w:r w:rsidRPr="00A27602">
              <w:t>Q1</w:t>
            </w:r>
            <w:r w:rsidR="00266AD8" w:rsidRPr="00A27602">
              <w:t>/</w:t>
            </w:r>
            <w:r w:rsidRPr="00A27602">
              <w:t>2 2019</w:t>
            </w:r>
            <w:r w:rsidR="004E64E0" w:rsidRPr="00A27602">
              <w:t>–</w:t>
            </w:r>
            <w:r w:rsidRPr="00A27602">
              <w:t>20</w:t>
            </w:r>
          </w:p>
        </w:tc>
      </w:tr>
      <w:tr w:rsidR="009116B7" w:rsidRPr="006D46E5" w14:paraId="194CCA42" w14:textId="77777777" w:rsidTr="00DE694D">
        <w:tc>
          <w:tcPr>
            <w:tcW w:w="2321" w:type="pct"/>
            <w:shd w:val="clear" w:color="auto" w:fill="auto"/>
          </w:tcPr>
          <w:p w14:paraId="25DF8B39" w14:textId="36F69EB3" w:rsidR="009116B7" w:rsidRPr="00E26672" w:rsidRDefault="0049500A" w:rsidP="00DE694D">
            <w:pPr>
              <w:pStyle w:val="TableBody"/>
            </w:pPr>
            <w:r w:rsidRPr="00E26672">
              <w:t>Implementation of spectrum pricing review</w:t>
            </w:r>
          </w:p>
        </w:tc>
        <w:tc>
          <w:tcPr>
            <w:tcW w:w="2679" w:type="pct"/>
            <w:shd w:val="clear" w:color="auto" w:fill="auto"/>
          </w:tcPr>
          <w:p w14:paraId="0BECDFA7" w14:textId="1C6C4826" w:rsidR="009116B7" w:rsidRPr="00916C98" w:rsidRDefault="0049500A" w:rsidP="00DE694D">
            <w:pPr>
              <w:pStyle w:val="TableBody"/>
            </w:pPr>
            <w:r w:rsidRPr="00775B4A">
              <w:t>Consultation on draft guidelines in Q1</w:t>
            </w:r>
            <w:r w:rsidR="0015481B" w:rsidRPr="00775B4A">
              <w:t xml:space="preserve"> 2019–20</w:t>
            </w:r>
          </w:p>
        </w:tc>
      </w:tr>
    </w:tbl>
    <w:p w14:paraId="31F80F7B" w14:textId="77777777" w:rsidR="007538FB" w:rsidRDefault="007538FB" w:rsidP="00D7755E">
      <w:pPr>
        <w:pStyle w:val="ACMASpaceaftertable"/>
      </w:pPr>
    </w:p>
    <w:p w14:paraId="1476C2CB" w14:textId="77777777" w:rsidR="009116B7" w:rsidRDefault="009116B7" w:rsidP="00DE694D">
      <w:pPr>
        <w:pStyle w:val="ACMATableHeader"/>
        <w:keepNext/>
        <w:keepLines/>
      </w:pPr>
      <w:r w:rsidRPr="00457EAA">
        <w:t>Compliance</w:t>
      </w:r>
      <w:r>
        <w:t xml:space="preserve"> and </w:t>
      </w:r>
      <w:r w:rsidR="0058077F" w:rsidRPr="007538FB">
        <w:t>e</w:t>
      </w:r>
      <w:r w:rsidRPr="007538FB">
        <w:t>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56"/>
        <w:gridCol w:w="4105"/>
      </w:tblGrid>
      <w:tr w:rsidR="009116B7" w:rsidRPr="006D46E5" w14:paraId="165BF8E3" w14:textId="77777777" w:rsidTr="00D7755E">
        <w:trPr>
          <w:tblHeader/>
        </w:trPr>
        <w:tc>
          <w:tcPr>
            <w:tcW w:w="2321" w:type="pct"/>
            <w:shd w:val="clear" w:color="auto" w:fill="404040" w:themeFill="text1" w:themeFillTint="BF"/>
          </w:tcPr>
          <w:p w14:paraId="2B1BA8CF" w14:textId="77777777" w:rsidR="009116B7" w:rsidRPr="006D46E5" w:rsidRDefault="009116B7" w:rsidP="00E26672">
            <w:pPr>
              <w:pStyle w:val="TableHeading"/>
            </w:pPr>
            <w:r>
              <w:t>Project priorities</w:t>
            </w:r>
          </w:p>
        </w:tc>
        <w:tc>
          <w:tcPr>
            <w:tcW w:w="2679" w:type="pct"/>
            <w:shd w:val="clear" w:color="auto" w:fill="404040" w:themeFill="text1" w:themeFillTint="BF"/>
          </w:tcPr>
          <w:p w14:paraId="5F27D67A" w14:textId="77777777" w:rsidR="009116B7" w:rsidRPr="006D46E5" w:rsidRDefault="009116B7" w:rsidP="00E26672">
            <w:pPr>
              <w:pStyle w:val="TableHeading"/>
            </w:pPr>
            <w:r>
              <w:t>Proposed timelines</w:t>
            </w:r>
          </w:p>
        </w:tc>
      </w:tr>
      <w:tr w:rsidR="009116B7" w:rsidRPr="006D46E5" w14:paraId="7B430750" w14:textId="77777777" w:rsidTr="00DE694D">
        <w:tc>
          <w:tcPr>
            <w:tcW w:w="2321" w:type="pct"/>
            <w:shd w:val="clear" w:color="auto" w:fill="auto"/>
          </w:tcPr>
          <w:p w14:paraId="6167EBE3" w14:textId="2CFF5ECB" w:rsidR="009116B7" w:rsidRPr="005759E7" w:rsidRDefault="00976D51" w:rsidP="00DE694D">
            <w:pPr>
              <w:pStyle w:val="TableBody"/>
              <w:keepNext/>
              <w:keepLines/>
              <w:spacing w:before="100" w:beforeAutospacing="1" w:after="100" w:afterAutospacing="1" w:line="240" w:lineRule="atLeast"/>
              <w:contextualSpacing/>
              <w:mirrorIndents/>
              <w:rPr>
                <w:rFonts w:cs="Arial"/>
                <w:szCs w:val="20"/>
              </w:rPr>
            </w:pPr>
            <w:r>
              <w:rPr>
                <w:rFonts w:cs="Arial"/>
                <w:szCs w:val="20"/>
              </w:rPr>
              <w:t>Licensing integrity</w:t>
            </w:r>
            <w:r w:rsidR="009116B7" w:rsidRPr="005759E7">
              <w:rPr>
                <w:rFonts w:cs="Arial"/>
                <w:szCs w:val="20"/>
              </w:rPr>
              <w:t xml:space="preserve"> </w:t>
            </w:r>
          </w:p>
        </w:tc>
        <w:tc>
          <w:tcPr>
            <w:tcW w:w="2679" w:type="pct"/>
            <w:shd w:val="clear" w:color="auto" w:fill="auto"/>
          </w:tcPr>
          <w:p w14:paraId="6AD151FB" w14:textId="27C4212B" w:rsidR="009116B7" w:rsidRPr="005759E7" w:rsidRDefault="00742B4C" w:rsidP="00DE694D">
            <w:pPr>
              <w:pStyle w:val="TableBody"/>
              <w:keepNext/>
              <w:keepLines/>
              <w:spacing w:before="100" w:beforeAutospacing="1" w:after="100" w:afterAutospacing="1" w:line="240" w:lineRule="atLeast"/>
              <w:contextualSpacing/>
              <w:mirrorIndents/>
              <w:rPr>
                <w:rFonts w:cs="Arial"/>
                <w:szCs w:val="20"/>
              </w:rPr>
            </w:pPr>
            <w:r>
              <w:t>Q4 2018–19: R</w:t>
            </w:r>
            <w:r w:rsidRPr="00757389">
              <w:t xml:space="preserve">esults from </w:t>
            </w:r>
            <w:r>
              <w:t>400 MHz</w:t>
            </w:r>
            <w:r w:rsidRPr="00757389">
              <w:t xml:space="preserve"> monitoring activity </w:t>
            </w:r>
            <w:r>
              <w:t>to</w:t>
            </w:r>
            <w:r w:rsidRPr="00757389">
              <w:t xml:space="preserve"> be used in next stage of the </w:t>
            </w:r>
            <w:r w:rsidR="0063259B">
              <w:t>priority compliance area</w:t>
            </w:r>
            <w:r w:rsidR="0063259B" w:rsidRPr="00757389">
              <w:t xml:space="preserve"> </w:t>
            </w:r>
            <w:r w:rsidRPr="00757389">
              <w:t>to target field-based compliance activities</w:t>
            </w:r>
            <w:r>
              <w:t>.</w:t>
            </w:r>
          </w:p>
        </w:tc>
      </w:tr>
      <w:tr w:rsidR="007D7C29" w:rsidRPr="006D46E5" w14:paraId="2789A2E0" w14:textId="77777777" w:rsidTr="00DE694D">
        <w:tc>
          <w:tcPr>
            <w:tcW w:w="2321" w:type="pct"/>
            <w:shd w:val="clear" w:color="auto" w:fill="auto"/>
          </w:tcPr>
          <w:p w14:paraId="557C6F17" w14:textId="1F7272E5" w:rsidR="007D7C29" w:rsidRPr="005759E7" w:rsidRDefault="00742B4C" w:rsidP="00DE694D">
            <w:pPr>
              <w:pStyle w:val="TableBody"/>
              <w:keepNext/>
              <w:keepLines/>
              <w:spacing w:before="100" w:beforeAutospacing="1" w:after="100" w:afterAutospacing="1" w:line="240" w:lineRule="atLeast"/>
              <w:contextualSpacing/>
              <w:mirrorIndents/>
              <w:rPr>
                <w:rFonts w:cs="Arial"/>
                <w:szCs w:val="20"/>
              </w:rPr>
            </w:pPr>
            <w:r>
              <w:rPr>
                <w:szCs w:val="20"/>
              </w:rPr>
              <w:t>Interference management</w:t>
            </w:r>
          </w:p>
        </w:tc>
        <w:tc>
          <w:tcPr>
            <w:tcW w:w="2679" w:type="pct"/>
            <w:shd w:val="clear" w:color="auto" w:fill="auto"/>
          </w:tcPr>
          <w:p w14:paraId="21BE95E8" w14:textId="621482B5" w:rsidR="007D7C29" w:rsidRPr="005759E7" w:rsidRDefault="00742B4C" w:rsidP="00E26672">
            <w:pPr>
              <w:pStyle w:val="TableBody"/>
              <w:keepNext/>
              <w:keepLines/>
              <w:spacing w:before="100" w:beforeAutospacing="1" w:after="100" w:afterAutospacing="1" w:line="240" w:lineRule="atLeast"/>
              <w:contextualSpacing/>
              <w:mirrorIndents/>
              <w:rPr>
                <w:rFonts w:cs="Arial"/>
                <w:szCs w:val="20"/>
              </w:rPr>
            </w:pPr>
            <w:r>
              <w:t>Q4 2018–19: Finalise feedback on interference management principles</w:t>
            </w:r>
          </w:p>
        </w:tc>
      </w:tr>
    </w:tbl>
    <w:p w14:paraId="663A2AB0" w14:textId="77777777" w:rsidR="009116B7" w:rsidRPr="007538FB" w:rsidRDefault="009116B7" w:rsidP="00D7755E">
      <w:pPr>
        <w:pStyle w:val="ACMASpaceaftertable"/>
      </w:pPr>
    </w:p>
    <w:p w14:paraId="674A7AED" w14:textId="34FF7973" w:rsidR="00CC1371" w:rsidRDefault="00467507" w:rsidP="00DE694D">
      <w:pPr>
        <w:pStyle w:val="ACMATableHeader"/>
        <w:keepNext/>
        <w:keepLines/>
      </w:pPr>
      <w:bookmarkStart w:id="22" w:name="_Toc510104926"/>
      <w:bookmarkStart w:id="23" w:name="_Toc510105723"/>
      <w:bookmarkStart w:id="24" w:name="_Toc510795064"/>
      <w:r>
        <w:t>Future c</w:t>
      </w:r>
      <w:r w:rsidR="00CC1371">
        <w:t xml:space="preserve">onsultation </w:t>
      </w:r>
      <w:r w:rsidR="00CC1371" w:rsidRPr="007538FB">
        <w:t>plans</w:t>
      </w:r>
    </w:p>
    <w:p w14:paraId="2F5AB1F6" w14:textId="62F00F44" w:rsidR="003A4986" w:rsidRPr="00F91A30" w:rsidRDefault="00D745DF" w:rsidP="00DE694D">
      <w:pPr>
        <w:keepNext/>
        <w:keepLines/>
      </w:pPr>
      <w:r>
        <w:t>T</w:t>
      </w:r>
      <w:r w:rsidR="00F91A30">
        <w:t>his table</w:t>
      </w:r>
      <w:r>
        <w:t xml:space="preserve"> summarises </w:t>
      </w:r>
      <w:r w:rsidR="00467507">
        <w:t xml:space="preserve">future </w:t>
      </w:r>
      <w:r>
        <w:t>consultations flagged throughout the</w:t>
      </w:r>
      <w:r w:rsidR="005A3409">
        <w:t xml:space="preserve"> draft</w:t>
      </w:r>
      <w:r>
        <w:t xml:space="preserve"> FYSO. The list of consultations here is subject to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3A4986" w:rsidRPr="006D46E5" w14:paraId="3842A0C3" w14:textId="77777777" w:rsidTr="00596594">
        <w:trPr>
          <w:tblHeader/>
        </w:trPr>
        <w:tc>
          <w:tcPr>
            <w:tcW w:w="2310" w:type="pct"/>
            <w:shd w:val="clear" w:color="auto" w:fill="404040" w:themeFill="text1" w:themeFillTint="BF"/>
          </w:tcPr>
          <w:p w14:paraId="4569F85E" w14:textId="77777777" w:rsidR="003A4986" w:rsidRPr="006D46E5" w:rsidRDefault="003A4986" w:rsidP="00B747E1">
            <w:pPr>
              <w:pStyle w:val="TableHeading"/>
            </w:pPr>
            <w:r>
              <w:t xml:space="preserve">Issue </w:t>
            </w:r>
          </w:p>
        </w:tc>
        <w:tc>
          <w:tcPr>
            <w:tcW w:w="2690" w:type="pct"/>
            <w:shd w:val="clear" w:color="auto" w:fill="404040" w:themeFill="text1" w:themeFillTint="BF"/>
          </w:tcPr>
          <w:p w14:paraId="0D6A0B5D" w14:textId="77777777" w:rsidR="003A4986" w:rsidRPr="006D46E5" w:rsidRDefault="003A4986" w:rsidP="00B747E1">
            <w:pPr>
              <w:pStyle w:val="TableHeading"/>
            </w:pPr>
            <w:r>
              <w:t>Proposed timelines</w:t>
            </w:r>
          </w:p>
        </w:tc>
      </w:tr>
      <w:tr w:rsidR="00500D12" w:rsidRPr="006D46E5" w14:paraId="73033DCD" w14:textId="77777777" w:rsidTr="00596594">
        <w:tc>
          <w:tcPr>
            <w:tcW w:w="2310" w:type="pct"/>
          </w:tcPr>
          <w:p w14:paraId="4ACA9BE6" w14:textId="08E9F067" w:rsidR="00500D12" w:rsidRPr="00E26672" w:rsidRDefault="00500D12" w:rsidP="00500D12">
            <w:pPr>
              <w:pStyle w:val="TableBody"/>
            </w:pPr>
            <w:r w:rsidRPr="00E26672">
              <w:t>28 GHz (27.5–29.5 GHz)–options paper</w:t>
            </w:r>
          </w:p>
        </w:tc>
        <w:tc>
          <w:tcPr>
            <w:tcW w:w="2690" w:type="pct"/>
          </w:tcPr>
          <w:p w14:paraId="59CB9AEC" w14:textId="11B841F7" w:rsidR="00500D12" w:rsidRPr="00E26672" w:rsidRDefault="00500D12" w:rsidP="00500D12">
            <w:pPr>
              <w:pStyle w:val="TableBody"/>
            </w:pPr>
            <w:r w:rsidRPr="002C75FC">
              <w:t>Q</w:t>
            </w:r>
            <w:r w:rsidRPr="00BB06BC">
              <w:t>4 2018–19</w:t>
            </w:r>
          </w:p>
        </w:tc>
      </w:tr>
      <w:tr w:rsidR="004D7A79" w:rsidRPr="006D46E5" w14:paraId="11BF3F0C" w14:textId="77777777" w:rsidTr="00596594">
        <w:tc>
          <w:tcPr>
            <w:tcW w:w="2310" w:type="pct"/>
          </w:tcPr>
          <w:p w14:paraId="27EF310B" w14:textId="2B38C450" w:rsidR="004D7A79" w:rsidRPr="00E26672" w:rsidRDefault="004D7A79" w:rsidP="00DE694D">
            <w:pPr>
              <w:pStyle w:val="TableBody"/>
            </w:pPr>
            <w:bookmarkStart w:id="25" w:name="_Hlk3384592"/>
            <w:r w:rsidRPr="00E26672">
              <w:t>Spectrum arrangements for small satellites–discussion paper</w:t>
            </w:r>
            <w:bookmarkEnd w:id="25"/>
          </w:p>
        </w:tc>
        <w:tc>
          <w:tcPr>
            <w:tcW w:w="2690" w:type="pct"/>
          </w:tcPr>
          <w:p w14:paraId="1E3927F9" w14:textId="47E31209" w:rsidR="004D7A79" w:rsidRPr="00BB06BC" w:rsidRDefault="004D7A79" w:rsidP="00DE694D">
            <w:pPr>
              <w:pStyle w:val="TableBody"/>
            </w:pPr>
            <w:r w:rsidRPr="00E26672">
              <w:t>Q</w:t>
            </w:r>
            <w:r w:rsidR="008A6603">
              <w:t>4</w:t>
            </w:r>
            <w:r w:rsidRPr="00E26672">
              <w:t xml:space="preserve"> 2018–19</w:t>
            </w:r>
          </w:p>
        </w:tc>
      </w:tr>
      <w:tr w:rsidR="004D7A79" w:rsidRPr="006D46E5" w14:paraId="26A48BCA" w14:textId="77777777" w:rsidTr="00596594">
        <w:tc>
          <w:tcPr>
            <w:tcW w:w="2310" w:type="pct"/>
          </w:tcPr>
          <w:p w14:paraId="59AF9973" w14:textId="6EDD06CE" w:rsidR="004D7A79" w:rsidRPr="00E26672" w:rsidRDefault="004D7A79" w:rsidP="00DE694D">
            <w:pPr>
              <w:pStyle w:val="TableBody"/>
            </w:pPr>
            <w:bookmarkStart w:id="26" w:name="_Hlk3384603"/>
            <w:r w:rsidRPr="00E26672">
              <w:t>Future delivery of radio services in Australia–issues paper</w:t>
            </w:r>
            <w:bookmarkEnd w:id="26"/>
          </w:p>
        </w:tc>
        <w:tc>
          <w:tcPr>
            <w:tcW w:w="2690" w:type="pct"/>
          </w:tcPr>
          <w:p w14:paraId="409EC97D" w14:textId="6D37B444" w:rsidR="004D7A79" w:rsidRPr="00BB06BC" w:rsidRDefault="004D7A79" w:rsidP="00DE694D">
            <w:pPr>
              <w:pStyle w:val="TableBody"/>
            </w:pPr>
            <w:r w:rsidRPr="002C75FC">
              <w:t>Q4 2018–19</w:t>
            </w:r>
          </w:p>
        </w:tc>
      </w:tr>
      <w:tr w:rsidR="00E95880" w:rsidRPr="006D46E5" w14:paraId="5577CCF9" w14:textId="77777777" w:rsidTr="00596594">
        <w:tc>
          <w:tcPr>
            <w:tcW w:w="2310" w:type="pct"/>
          </w:tcPr>
          <w:p w14:paraId="4D026F98" w14:textId="11BAA7D1" w:rsidR="00E95880" w:rsidRPr="00E26672" w:rsidRDefault="00E95880">
            <w:pPr>
              <w:pStyle w:val="TableBody"/>
            </w:pPr>
            <w:r>
              <w:t>Potential changes to amateur licensing conditions, following a review of arrangements</w:t>
            </w:r>
          </w:p>
        </w:tc>
        <w:tc>
          <w:tcPr>
            <w:tcW w:w="2690" w:type="pct"/>
          </w:tcPr>
          <w:p w14:paraId="717FF8C7" w14:textId="3D54822A" w:rsidR="00E95880" w:rsidRPr="002C75FC" w:rsidRDefault="00E95880">
            <w:pPr>
              <w:pStyle w:val="TableBody"/>
            </w:pPr>
            <w:r>
              <w:t>Q4 2018–19</w:t>
            </w:r>
          </w:p>
        </w:tc>
      </w:tr>
      <w:tr w:rsidR="001D349B" w:rsidRPr="006D46E5" w14:paraId="3431A49C" w14:textId="77777777" w:rsidTr="00596594">
        <w:tc>
          <w:tcPr>
            <w:tcW w:w="2310" w:type="pct"/>
          </w:tcPr>
          <w:p w14:paraId="6AFA6DE5" w14:textId="59A7953B" w:rsidR="001D349B" w:rsidRPr="00775B4A" w:rsidRDefault="001D349B" w:rsidP="00DE694D">
            <w:pPr>
              <w:pStyle w:val="TableBody"/>
            </w:pPr>
            <w:r w:rsidRPr="00E26672">
              <w:t>2GHz (1980–2010 and 2170–2200 MHz)</w:t>
            </w:r>
          </w:p>
        </w:tc>
        <w:tc>
          <w:tcPr>
            <w:tcW w:w="2690" w:type="pct"/>
          </w:tcPr>
          <w:p w14:paraId="5ECF7F93" w14:textId="4D7879D2" w:rsidR="001D349B" w:rsidRPr="00775B4A" w:rsidRDefault="0063259B" w:rsidP="00DE694D">
            <w:pPr>
              <w:pStyle w:val="TableBody"/>
            </w:pPr>
            <w:r w:rsidRPr="00775B4A">
              <w:t>Q4 2018–19</w:t>
            </w:r>
            <w:r w:rsidR="001F565B" w:rsidRPr="00775B4A">
              <w:t xml:space="preserve"> (discussion paper)</w:t>
            </w:r>
          </w:p>
          <w:p w14:paraId="2456E23B" w14:textId="3850C188" w:rsidR="001D349B" w:rsidRPr="00A27602" w:rsidRDefault="001F565B" w:rsidP="00DE694D">
            <w:pPr>
              <w:pStyle w:val="TableBody"/>
            </w:pPr>
            <w:r w:rsidRPr="00A27602">
              <w:t>Q3/4 2019</w:t>
            </w:r>
            <w:r w:rsidR="004E64E0" w:rsidRPr="00A27602">
              <w:t>–</w:t>
            </w:r>
            <w:r w:rsidRPr="00A27602">
              <w:t>20 (possible options paper)</w:t>
            </w:r>
          </w:p>
        </w:tc>
      </w:tr>
      <w:tr w:rsidR="001D349B" w:rsidRPr="006D46E5" w14:paraId="5AF61B21" w14:textId="77777777" w:rsidTr="00596594">
        <w:tc>
          <w:tcPr>
            <w:tcW w:w="2310" w:type="pct"/>
          </w:tcPr>
          <w:p w14:paraId="20444167" w14:textId="553E5A31" w:rsidR="001D349B" w:rsidRPr="00A27602" w:rsidRDefault="001D349B" w:rsidP="00DE694D">
            <w:pPr>
              <w:pStyle w:val="TableBody"/>
            </w:pPr>
            <w:r w:rsidRPr="00E26672">
              <w:lastRenderedPageBreak/>
              <w:t>3.8 GHz (3700–4200 MHz)</w:t>
            </w:r>
            <w:r w:rsidRPr="002C75FC">
              <w:t>–discussion paper</w:t>
            </w:r>
          </w:p>
        </w:tc>
        <w:tc>
          <w:tcPr>
            <w:tcW w:w="2690" w:type="pct"/>
          </w:tcPr>
          <w:p w14:paraId="758DC61C" w14:textId="3B68CB2A" w:rsidR="001D349B" w:rsidRPr="00775B4A" w:rsidRDefault="001D349B" w:rsidP="00DE694D">
            <w:pPr>
              <w:pStyle w:val="TableBody"/>
            </w:pPr>
            <w:r w:rsidRPr="00775B4A">
              <w:t>Q4 2018–19</w:t>
            </w:r>
          </w:p>
        </w:tc>
      </w:tr>
      <w:tr w:rsidR="001D349B" w:rsidRPr="006D46E5" w14:paraId="7F699225" w14:textId="27ECE890" w:rsidTr="00596594">
        <w:tc>
          <w:tcPr>
            <w:tcW w:w="2310" w:type="pct"/>
          </w:tcPr>
          <w:p w14:paraId="512EF7F3" w14:textId="0FE068CD" w:rsidR="001D349B" w:rsidRPr="00A27602" w:rsidRDefault="00A01C5A" w:rsidP="00DE694D">
            <w:pPr>
              <w:pStyle w:val="TableBody"/>
            </w:pPr>
            <w:r w:rsidRPr="00E26672">
              <w:t>26 GHz (24.25–27.5 GHz)–</w:t>
            </w:r>
            <w:r w:rsidR="00AC437D">
              <w:t xml:space="preserve">consultation on draft recommendation to </w:t>
            </w:r>
            <w:r w:rsidR="00E97880">
              <w:t>m</w:t>
            </w:r>
            <w:r w:rsidR="00AC437D">
              <w:t>inister</w:t>
            </w:r>
          </w:p>
        </w:tc>
        <w:tc>
          <w:tcPr>
            <w:tcW w:w="2690" w:type="pct"/>
          </w:tcPr>
          <w:p w14:paraId="62BB84F6" w14:textId="248631C9" w:rsidR="00A01C5A" w:rsidRPr="00775B4A" w:rsidRDefault="00A01C5A" w:rsidP="00DE694D">
            <w:pPr>
              <w:pStyle w:val="TableBody"/>
            </w:pPr>
            <w:r w:rsidRPr="00775B4A">
              <w:t>Q4 2018–19</w:t>
            </w:r>
          </w:p>
          <w:p w14:paraId="11EAFFF2" w14:textId="4B30BDC4" w:rsidR="001D349B" w:rsidRPr="00775B4A" w:rsidRDefault="001D349B" w:rsidP="00DE694D">
            <w:pPr>
              <w:pStyle w:val="TableBody"/>
            </w:pPr>
          </w:p>
        </w:tc>
      </w:tr>
      <w:tr w:rsidR="001D349B" w:rsidRPr="006D46E5" w14:paraId="178893E1" w14:textId="77777777" w:rsidTr="00596594">
        <w:tc>
          <w:tcPr>
            <w:tcW w:w="2310" w:type="pct"/>
          </w:tcPr>
          <w:p w14:paraId="597CE93F" w14:textId="537F49C8" w:rsidR="001D349B" w:rsidRPr="00E26672" w:rsidRDefault="004B4993" w:rsidP="00DE694D">
            <w:pPr>
              <w:pStyle w:val="TableBody"/>
            </w:pPr>
            <w:r w:rsidRPr="00E26672">
              <w:t>1710–1785/1805–1880 MHz (1800 MHz) in remote areas–discussion paper</w:t>
            </w:r>
          </w:p>
        </w:tc>
        <w:tc>
          <w:tcPr>
            <w:tcW w:w="2690" w:type="pct"/>
          </w:tcPr>
          <w:p w14:paraId="4461B330" w14:textId="1642AF36" w:rsidR="004B4993" w:rsidRPr="00775B4A" w:rsidRDefault="004B4993" w:rsidP="00DE694D">
            <w:pPr>
              <w:pStyle w:val="TableBody"/>
            </w:pPr>
            <w:r w:rsidRPr="00775B4A">
              <w:t>Q4 2018–19</w:t>
            </w:r>
          </w:p>
          <w:p w14:paraId="280D0BC0" w14:textId="77777777" w:rsidR="001D349B" w:rsidRPr="00916C98" w:rsidRDefault="001D349B" w:rsidP="00DE694D">
            <w:pPr>
              <w:pStyle w:val="TableBody"/>
            </w:pPr>
          </w:p>
        </w:tc>
      </w:tr>
      <w:tr w:rsidR="001D349B" w:rsidRPr="006D46E5" w14:paraId="085D1F1D" w14:textId="77777777" w:rsidTr="00596594">
        <w:tc>
          <w:tcPr>
            <w:tcW w:w="2310" w:type="pct"/>
          </w:tcPr>
          <w:p w14:paraId="7A927FB3" w14:textId="0CA4E4C3" w:rsidR="001D349B" w:rsidRPr="00E26672" w:rsidRDefault="00B51774" w:rsidP="00DE694D">
            <w:pPr>
              <w:pStyle w:val="TableBody"/>
            </w:pPr>
            <w:r w:rsidRPr="00E26672">
              <w:t>3.4–3.575 GHz–reconfiguration options paper</w:t>
            </w:r>
          </w:p>
        </w:tc>
        <w:tc>
          <w:tcPr>
            <w:tcW w:w="2690" w:type="pct"/>
          </w:tcPr>
          <w:p w14:paraId="6139FAF3" w14:textId="7A6EC6A3" w:rsidR="001D349B" w:rsidRPr="002C75FC" w:rsidRDefault="00B51774" w:rsidP="00DE694D">
            <w:pPr>
              <w:pStyle w:val="TableBody"/>
            </w:pPr>
            <w:r w:rsidRPr="00E26672">
              <w:t>Q4 2018–19:</w:t>
            </w:r>
          </w:p>
        </w:tc>
      </w:tr>
      <w:tr w:rsidR="00ED4E90" w:rsidRPr="006D46E5" w14:paraId="3286A621" w14:textId="77777777" w:rsidTr="00596594">
        <w:tc>
          <w:tcPr>
            <w:tcW w:w="2310" w:type="pct"/>
          </w:tcPr>
          <w:p w14:paraId="24569000" w14:textId="0F5D97B8" w:rsidR="00ED4E90" w:rsidRPr="002C75FC" w:rsidRDefault="00B51774" w:rsidP="00DE694D">
            <w:pPr>
              <w:pStyle w:val="TableBody"/>
            </w:pPr>
            <w:r w:rsidRPr="00E26672">
              <w:t>900 MHz (890–915 MHz and 935–960 MHz)–further consultation on configuration options</w:t>
            </w:r>
          </w:p>
        </w:tc>
        <w:tc>
          <w:tcPr>
            <w:tcW w:w="2690" w:type="pct"/>
          </w:tcPr>
          <w:p w14:paraId="27DF09C6" w14:textId="7442F5B4" w:rsidR="00ED4E90" w:rsidRPr="00775B4A" w:rsidRDefault="00B51774" w:rsidP="00DE694D">
            <w:pPr>
              <w:pStyle w:val="TableBody"/>
            </w:pPr>
            <w:r w:rsidRPr="00BB06BC">
              <w:t>Q4 2018–19</w:t>
            </w:r>
          </w:p>
        </w:tc>
      </w:tr>
      <w:tr w:rsidR="00ED4E90" w:rsidRPr="006D46E5" w14:paraId="31EAACEA" w14:textId="77777777" w:rsidTr="00596594">
        <w:tc>
          <w:tcPr>
            <w:tcW w:w="2310" w:type="pct"/>
          </w:tcPr>
          <w:p w14:paraId="3474BD6E" w14:textId="6E37EC4E" w:rsidR="00ED4E90" w:rsidRPr="002C75FC" w:rsidRDefault="00527EC6" w:rsidP="00DE694D">
            <w:pPr>
              <w:pStyle w:val="TableBody"/>
            </w:pPr>
            <w:r w:rsidRPr="00E26672">
              <w:t xml:space="preserve">AM to FM conversion </w:t>
            </w:r>
            <w:r w:rsidR="000301A7">
              <w:t>consultations</w:t>
            </w:r>
            <w:r w:rsidR="000301A7" w:rsidRPr="00E26672">
              <w:t xml:space="preserve"> </w:t>
            </w:r>
            <w:r w:rsidRPr="00E26672">
              <w:t>for Murray Bridge, Spencer North and Port Lincoln</w:t>
            </w:r>
          </w:p>
        </w:tc>
        <w:tc>
          <w:tcPr>
            <w:tcW w:w="2690" w:type="pct"/>
          </w:tcPr>
          <w:p w14:paraId="7D9400AB" w14:textId="16982340" w:rsidR="00ED4E90" w:rsidRPr="00775B4A" w:rsidRDefault="00527EC6" w:rsidP="00DE694D">
            <w:pPr>
              <w:pStyle w:val="TableBody"/>
            </w:pPr>
            <w:r w:rsidRPr="00BB06BC">
              <w:t>Q4 2018–19</w:t>
            </w:r>
          </w:p>
        </w:tc>
      </w:tr>
      <w:tr w:rsidR="00ED4E90" w:rsidRPr="006D46E5" w14:paraId="7676157E" w14:textId="77777777" w:rsidTr="00596594">
        <w:tc>
          <w:tcPr>
            <w:tcW w:w="2310" w:type="pct"/>
          </w:tcPr>
          <w:p w14:paraId="3DC7412D" w14:textId="4DE7B7A3" w:rsidR="00ED4E90" w:rsidRPr="00E26672" w:rsidRDefault="00527EC6" w:rsidP="00DE694D">
            <w:pPr>
              <w:pStyle w:val="TableBody"/>
            </w:pPr>
            <w:r w:rsidRPr="00E26672">
              <w:t>AM to FM conversion proposals in Taree and Grafton</w:t>
            </w:r>
          </w:p>
        </w:tc>
        <w:tc>
          <w:tcPr>
            <w:tcW w:w="2690" w:type="pct"/>
          </w:tcPr>
          <w:p w14:paraId="201C3DA8" w14:textId="5B6878AE" w:rsidR="00ED4E90" w:rsidRPr="002C75FC" w:rsidRDefault="00527EC6" w:rsidP="00DE694D">
            <w:pPr>
              <w:pStyle w:val="TableBody"/>
            </w:pPr>
            <w:r w:rsidRPr="00E26672">
              <w:t>Q4 2018–19</w:t>
            </w:r>
          </w:p>
        </w:tc>
      </w:tr>
      <w:tr w:rsidR="004D7A79" w:rsidRPr="006D46E5" w14:paraId="15755D66" w14:textId="77777777" w:rsidTr="00596594">
        <w:tc>
          <w:tcPr>
            <w:tcW w:w="2310" w:type="pct"/>
          </w:tcPr>
          <w:p w14:paraId="6DF903A9" w14:textId="73E6ADC0" w:rsidR="004D7A79" w:rsidRPr="00775B4A" w:rsidRDefault="004D7A79" w:rsidP="00DE694D">
            <w:pPr>
              <w:pStyle w:val="TableBody"/>
            </w:pPr>
            <w:r w:rsidRPr="00E26672">
              <w:t xml:space="preserve">Feasibility of inclusion of 10.7–11.7 GHz in </w:t>
            </w:r>
            <w:r w:rsidR="00176275">
              <w:t>Radiocommunications (</w:t>
            </w:r>
            <w:r w:rsidRPr="00E26672">
              <w:t xml:space="preserve">Communication </w:t>
            </w:r>
            <w:r w:rsidR="00176275">
              <w:t xml:space="preserve">with </w:t>
            </w:r>
            <w:r w:rsidRPr="00E26672">
              <w:t>Space Object</w:t>
            </w:r>
            <w:r w:rsidR="00176275">
              <w:t>)</w:t>
            </w:r>
            <w:r w:rsidRPr="00E26672">
              <w:t xml:space="preserve"> Class Licence</w:t>
            </w:r>
            <w:r w:rsidR="00176275">
              <w:t xml:space="preserve"> 2015</w:t>
            </w:r>
            <w:r w:rsidRPr="002C75FC">
              <w:t>–discussion paper</w:t>
            </w:r>
          </w:p>
        </w:tc>
        <w:tc>
          <w:tcPr>
            <w:tcW w:w="2690" w:type="pct"/>
          </w:tcPr>
          <w:p w14:paraId="050E6CEC" w14:textId="52226CDC" w:rsidR="004D7A79" w:rsidRPr="00775B4A" w:rsidRDefault="004D7A79" w:rsidP="00DE694D">
            <w:pPr>
              <w:pStyle w:val="TableBody"/>
            </w:pPr>
            <w:r w:rsidRPr="00A27602">
              <w:t>Q4 2018–19</w:t>
            </w:r>
          </w:p>
        </w:tc>
      </w:tr>
      <w:tr w:rsidR="004D7A79" w:rsidRPr="006D46E5" w14:paraId="474E3DDA" w14:textId="77777777" w:rsidTr="00596594">
        <w:tc>
          <w:tcPr>
            <w:tcW w:w="2310" w:type="pct"/>
          </w:tcPr>
          <w:p w14:paraId="3CC6C19B" w14:textId="7BD827CA" w:rsidR="004D7A79" w:rsidRPr="00E26672" w:rsidRDefault="004D7A79" w:rsidP="00DE694D">
            <w:pPr>
              <w:pStyle w:val="TableBody"/>
            </w:pPr>
            <w:r w:rsidRPr="00E26672">
              <w:t>General review of space licensing procedures–consultation paper</w:t>
            </w:r>
          </w:p>
        </w:tc>
        <w:tc>
          <w:tcPr>
            <w:tcW w:w="2690" w:type="pct"/>
          </w:tcPr>
          <w:p w14:paraId="2FFE3BF0" w14:textId="2E7B7515" w:rsidR="004D7A79" w:rsidRPr="00BB06BC" w:rsidRDefault="004D7A79" w:rsidP="00DE694D">
            <w:pPr>
              <w:pStyle w:val="TableBody"/>
            </w:pPr>
            <w:r w:rsidRPr="002C75FC">
              <w:t>Q4 2018–19</w:t>
            </w:r>
          </w:p>
        </w:tc>
      </w:tr>
      <w:tr w:rsidR="004D7A79" w:rsidRPr="006D46E5" w14:paraId="6EB84ABD" w14:textId="5526B942" w:rsidTr="00596594">
        <w:tc>
          <w:tcPr>
            <w:tcW w:w="2310" w:type="pct"/>
          </w:tcPr>
          <w:p w14:paraId="1C563F1E" w14:textId="0D92670B" w:rsidR="004D7A79" w:rsidRPr="00E26672" w:rsidRDefault="00C7711E" w:rsidP="00DE694D">
            <w:pPr>
              <w:pStyle w:val="TableBody"/>
            </w:pPr>
            <w:r>
              <w:t>Exploration of a s</w:t>
            </w:r>
            <w:r w:rsidR="004D7A79" w:rsidRPr="00E26672">
              <w:t>pectrum</w:t>
            </w:r>
            <w:r w:rsidR="004A6EEF">
              <w:t xml:space="preserve"> </w:t>
            </w:r>
            <w:r w:rsidR="004D7A79" w:rsidRPr="00E26672">
              <w:t>space apparatus licence type–commence consultation</w:t>
            </w:r>
          </w:p>
        </w:tc>
        <w:tc>
          <w:tcPr>
            <w:tcW w:w="2690" w:type="pct"/>
          </w:tcPr>
          <w:p w14:paraId="33C02E2D" w14:textId="3C3B9743" w:rsidR="004D7A79" w:rsidRPr="00A27602" w:rsidRDefault="004D7A79" w:rsidP="00DE694D">
            <w:pPr>
              <w:pStyle w:val="TableBody"/>
            </w:pPr>
            <w:r w:rsidRPr="00E26672">
              <w:t>Q</w:t>
            </w:r>
            <w:r w:rsidRPr="002C75FC">
              <w:t>4</w:t>
            </w:r>
            <w:r w:rsidRPr="00BB06BC">
              <w:t xml:space="preserve"> 201</w:t>
            </w:r>
            <w:r w:rsidRPr="00775B4A">
              <w:t>8</w:t>
            </w:r>
            <w:r w:rsidR="004E64E0" w:rsidRPr="00775B4A">
              <w:t>–</w:t>
            </w:r>
            <w:r w:rsidRPr="00775B4A">
              <w:t>19</w:t>
            </w:r>
          </w:p>
        </w:tc>
      </w:tr>
      <w:tr w:rsidR="004D7A79" w:rsidRPr="006D46E5" w14:paraId="1557693D" w14:textId="77777777" w:rsidTr="00596594">
        <w:tc>
          <w:tcPr>
            <w:tcW w:w="2310" w:type="pct"/>
          </w:tcPr>
          <w:p w14:paraId="4B64C6AF" w14:textId="5B137FD8" w:rsidR="004D7A79" w:rsidRPr="00E26672" w:rsidRDefault="004D7A79" w:rsidP="00DE694D">
            <w:pPr>
              <w:pStyle w:val="TableBody"/>
            </w:pPr>
            <w:r w:rsidRPr="00E26672">
              <w:t>Annual work program</w:t>
            </w:r>
          </w:p>
        </w:tc>
        <w:tc>
          <w:tcPr>
            <w:tcW w:w="2690" w:type="pct"/>
          </w:tcPr>
          <w:p w14:paraId="161C655A" w14:textId="77777777" w:rsidR="004D7A79" w:rsidRPr="002C75FC" w:rsidRDefault="004D7A79" w:rsidP="00DE694D">
            <w:pPr>
              <w:pStyle w:val="TableBody"/>
            </w:pPr>
            <w:r w:rsidRPr="00E26672">
              <w:t>Q4 2018–19: consultation on draft</w:t>
            </w:r>
          </w:p>
          <w:p w14:paraId="7426F379" w14:textId="4487CB11" w:rsidR="004D7A79" w:rsidRPr="00775B4A" w:rsidRDefault="004D7A79" w:rsidP="00DE694D">
            <w:pPr>
              <w:pStyle w:val="TableBody"/>
            </w:pPr>
            <w:r w:rsidRPr="00A27602">
              <w:t xml:space="preserve">Q4 2019–20: consultation on draft </w:t>
            </w:r>
          </w:p>
        </w:tc>
      </w:tr>
      <w:tr w:rsidR="00ED4E90" w:rsidRPr="006D46E5" w14:paraId="767CABCA" w14:textId="77777777" w:rsidTr="00596594">
        <w:tc>
          <w:tcPr>
            <w:tcW w:w="2310" w:type="pct"/>
          </w:tcPr>
          <w:p w14:paraId="5BC6DB52" w14:textId="6622CFC1" w:rsidR="00ED4E90" w:rsidRPr="00E26672" w:rsidRDefault="004D7A79" w:rsidP="00DE694D">
            <w:pPr>
              <w:pStyle w:val="TableBody"/>
            </w:pPr>
            <w:r w:rsidRPr="00E26672">
              <w:t>Digital radio channel plans for Bathurst, Cooma, Goulburn and Warragul</w:t>
            </w:r>
          </w:p>
        </w:tc>
        <w:tc>
          <w:tcPr>
            <w:tcW w:w="2690" w:type="pct"/>
          </w:tcPr>
          <w:p w14:paraId="76D8CEA6" w14:textId="6089004B" w:rsidR="00ED4E90" w:rsidRPr="00BB06BC" w:rsidRDefault="004D7A79" w:rsidP="00DE694D">
            <w:pPr>
              <w:pStyle w:val="TableBody"/>
            </w:pPr>
            <w:r w:rsidRPr="002C75FC">
              <w:t>Q1 2019–20</w:t>
            </w:r>
          </w:p>
        </w:tc>
      </w:tr>
      <w:tr w:rsidR="004D7A79" w:rsidRPr="006D46E5" w14:paraId="669CB869" w14:textId="77777777" w:rsidTr="00596594">
        <w:tc>
          <w:tcPr>
            <w:tcW w:w="2310" w:type="pct"/>
          </w:tcPr>
          <w:p w14:paraId="797D61E8" w14:textId="5517F085" w:rsidR="004D7A79" w:rsidRPr="002C75FC" w:rsidRDefault="004D7A79" w:rsidP="00DE694D">
            <w:pPr>
              <w:pStyle w:val="TableBody"/>
            </w:pPr>
            <w:r w:rsidRPr="00E26672">
              <w:t>Determine whether specified community radio licence areas should be deemed to be the same as the Hobart RA1 commercial radio licence area for the purpose of digital radio</w:t>
            </w:r>
          </w:p>
        </w:tc>
        <w:tc>
          <w:tcPr>
            <w:tcW w:w="2690" w:type="pct"/>
          </w:tcPr>
          <w:p w14:paraId="5A220813" w14:textId="1CB13973" w:rsidR="004D7A79" w:rsidRPr="00A27602" w:rsidDel="00901170" w:rsidRDefault="004D7A79" w:rsidP="00DE694D">
            <w:pPr>
              <w:pStyle w:val="TableBody"/>
            </w:pPr>
            <w:r w:rsidRPr="00BB06BC" w:rsidDel="00FC6008">
              <w:t>Q</w:t>
            </w:r>
            <w:r w:rsidR="002849CF" w:rsidRPr="00775B4A">
              <w:t>4</w:t>
            </w:r>
            <w:r w:rsidRPr="00775B4A" w:rsidDel="00FC6008">
              <w:t xml:space="preserve"> 201</w:t>
            </w:r>
            <w:r w:rsidR="002849CF" w:rsidRPr="00775B4A">
              <w:t>8</w:t>
            </w:r>
            <w:r w:rsidR="004C1638" w:rsidRPr="00775B4A">
              <w:t>–</w:t>
            </w:r>
            <w:r w:rsidRPr="00775B4A">
              <w:t>20</w:t>
            </w:r>
            <w:r w:rsidR="002849CF" w:rsidRPr="00916C98">
              <w:t>19</w:t>
            </w:r>
          </w:p>
        </w:tc>
      </w:tr>
      <w:tr w:rsidR="004D7A79" w:rsidRPr="006D46E5" w14:paraId="5040AF05" w14:textId="77777777" w:rsidTr="00596594">
        <w:tc>
          <w:tcPr>
            <w:tcW w:w="2310" w:type="pct"/>
          </w:tcPr>
          <w:p w14:paraId="0B1F15FB" w14:textId="7E8A712D" w:rsidR="004D7A79" w:rsidRPr="00E26672" w:rsidRDefault="004D7A79" w:rsidP="00DE694D">
            <w:pPr>
              <w:pStyle w:val="TableBody"/>
            </w:pPr>
            <w:r w:rsidRPr="00E26672">
              <w:t>Consultation on spectrum pricing guidelines</w:t>
            </w:r>
          </w:p>
        </w:tc>
        <w:tc>
          <w:tcPr>
            <w:tcW w:w="2690" w:type="pct"/>
          </w:tcPr>
          <w:p w14:paraId="429B05F7" w14:textId="62DD8930" w:rsidR="004D7A79" w:rsidRPr="00A27602" w:rsidDel="00901170" w:rsidRDefault="004D7A79" w:rsidP="00DE694D">
            <w:pPr>
              <w:pStyle w:val="TableBody"/>
            </w:pPr>
            <w:r w:rsidRPr="002C75FC">
              <w:t>Q1 2019</w:t>
            </w:r>
            <w:r w:rsidR="00DF0112" w:rsidRPr="00BB06BC">
              <w:t>–</w:t>
            </w:r>
            <w:r w:rsidRPr="00775B4A">
              <w:t>20</w:t>
            </w:r>
          </w:p>
        </w:tc>
      </w:tr>
      <w:tr w:rsidR="004D7A79" w:rsidRPr="006D46E5" w14:paraId="15125B9C" w14:textId="77777777" w:rsidTr="00596594">
        <w:tc>
          <w:tcPr>
            <w:tcW w:w="2310" w:type="pct"/>
          </w:tcPr>
          <w:p w14:paraId="3DF295AB" w14:textId="02BB5B4B" w:rsidR="004D7A79" w:rsidRPr="00E26672" w:rsidRDefault="004D7A79" w:rsidP="00DE694D">
            <w:pPr>
              <w:pStyle w:val="TableBody"/>
            </w:pPr>
            <w:r w:rsidRPr="00E26672">
              <w:t>Consultation on the adjusting of apparatus licence taxes for inflation and removing the freeze on taxes for fixed services in remote density areas below 960MHZ</w:t>
            </w:r>
          </w:p>
        </w:tc>
        <w:tc>
          <w:tcPr>
            <w:tcW w:w="2690" w:type="pct"/>
          </w:tcPr>
          <w:p w14:paraId="1E649E1C" w14:textId="0E0BDBF1" w:rsidR="004D7A79" w:rsidRPr="00A27602" w:rsidDel="00901170" w:rsidRDefault="004D7A79" w:rsidP="00DE694D">
            <w:pPr>
              <w:pStyle w:val="TableBody"/>
            </w:pPr>
            <w:r w:rsidRPr="002C75FC">
              <w:t>Q1/2 2019</w:t>
            </w:r>
            <w:r w:rsidR="00DF0112" w:rsidRPr="00BB06BC">
              <w:t>–</w:t>
            </w:r>
            <w:r w:rsidRPr="00A27602">
              <w:t>20</w:t>
            </w:r>
          </w:p>
        </w:tc>
      </w:tr>
      <w:tr w:rsidR="003455D4" w:rsidRPr="006D46E5" w14:paraId="39DB8798" w14:textId="77777777" w:rsidTr="00596594">
        <w:tc>
          <w:tcPr>
            <w:tcW w:w="2310" w:type="pct"/>
          </w:tcPr>
          <w:p w14:paraId="550F5B69" w14:textId="19603D92" w:rsidR="003455D4" w:rsidRPr="00E26672" w:rsidRDefault="003455D4" w:rsidP="00DE694D">
            <w:pPr>
              <w:pStyle w:val="TableBody"/>
            </w:pPr>
            <w:r w:rsidRPr="00E26672">
              <w:lastRenderedPageBreak/>
              <w:t>Determine whether specified community radio licence areas should be deemed to be the same as the Bathurst RA1, Cooma RA1, Goulburn RA1 and Warragul RA1 commercial radio licence areas for the purpose of digital radio</w:t>
            </w:r>
          </w:p>
        </w:tc>
        <w:tc>
          <w:tcPr>
            <w:tcW w:w="2690" w:type="pct"/>
          </w:tcPr>
          <w:p w14:paraId="4932B877" w14:textId="1C26C649" w:rsidR="003455D4" w:rsidRPr="00BB06BC" w:rsidRDefault="003455D4" w:rsidP="00DE694D">
            <w:pPr>
              <w:pStyle w:val="TableBody"/>
            </w:pPr>
            <w:r w:rsidRPr="002C75FC">
              <w:t>Q2 2019–20</w:t>
            </w:r>
          </w:p>
        </w:tc>
      </w:tr>
      <w:tr w:rsidR="004D7A79" w:rsidRPr="006D46E5" w14:paraId="327ECFBB" w14:textId="77777777" w:rsidTr="00596594">
        <w:tc>
          <w:tcPr>
            <w:tcW w:w="2310" w:type="pct"/>
          </w:tcPr>
          <w:p w14:paraId="3B685E71" w14:textId="25D99B37" w:rsidR="004D7A79" w:rsidRPr="00A27602" w:rsidRDefault="0038595F" w:rsidP="00DE694D">
            <w:pPr>
              <w:pStyle w:val="TableBody"/>
            </w:pPr>
            <w:r w:rsidRPr="00E26672">
              <w:t>Non-assigned amateur and outpost licensing arrangements</w:t>
            </w:r>
          </w:p>
        </w:tc>
        <w:tc>
          <w:tcPr>
            <w:tcW w:w="2690" w:type="pct"/>
          </w:tcPr>
          <w:p w14:paraId="2DFBDDF5" w14:textId="5D90EF31" w:rsidR="004D7A79" w:rsidRPr="00A27602" w:rsidRDefault="004D7A79" w:rsidP="00DE694D">
            <w:pPr>
              <w:pStyle w:val="TableBody"/>
            </w:pPr>
            <w:r w:rsidRPr="00A27602">
              <w:t>Q2 2019–20</w:t>
            </w:r>
          </w:p>
        </w:tc>
      </w:tr>
      <w:tr w:rsidR="000D396A" w:rsidRPr="006D46E5" w14:paraId="50113C95" w14:textId="77777777" w:rsidTr="00596594">
        <w:tc>
          <w:tcPr>
            <w:tcW w:w="2310" w:type="pct"/>
          </w:tcPr>
          <w:p w14:paraId="10B5419F" w14:textId="0102427A" w:rsidR="000D396A" w:rsidRPr="00775B4A" w:rsidRDefault="000D396A" w:rsidP="00DE694D">
            <w:pPr>
              <w:pStyle w:val="TableBody"/>
            </w:pPr>
            <w:r w:rsidRPr="00E26672">
              <w:t>Amateur service in the frequency band 5351.5–5366.5 kHz</w:t>
            </w:r>
            <w:r w:rsidRPr="00A27602">
              <w:t>–discussion paper on implementation issues</w:t>
            </w:r>
          </w:p>
        </w:tc>
        <w:tc>
          <w:tcPr>
            <w:tcW w:w="2690" w:type="pct"/>
          </w:tcPr>
          <w:p w14:paraId="14A31960" w14:textId="4BD3F606" w:rsidR="000D396A" w:rsidRPr="00A27602" w:rsidRDefault="000D396A" w:rsidP="00DE694D">
            <w:pPr>
              <w:pStyle w:val="TableBody"/>
            </w:pPr>
            <w:r w:rsidRPr="00A27602">
              <w:t>Q3 2019–20</w:t>
            </w:r>
          </w:p>
        </w:tc>
      </w:tr>
      <w:tr w:rsidR="004D7A79" w:rsidRPr="006D46E5" w14:paraId="1C229168" w14:textId="77777777" w:rsidTr="00596594">
        <w:tc>
          <w:tcPr>
            <w:tcW w:w="2310" w:type="pct"/>
          </w:tcPr>
          <w:p w14:paraId="5996EB61" w14:textId="4EBCF9FE" w:rsidR="004D7A79" w:rsidRPr="00A27602" w:rsidRDefault="004D7A79" w:rsidP="00DE694D">
            <w:pPr>
              <w:pStyle w:val="TableBody"/>
            </w:pPr>
            <w:r w:rsidRPr="00E26672">
              <w:t>1.5 GHz (1427–1518 MHz)</w:t>
            </w:r>
            <w:r w:rsidR="0063259B" w:rsidRPr="00E26672" w:rsidDel="0063259B">
              <w:t xml:space="preserve"> </w:t>
            </w:r>
            <w:r w:rsidRPr="002C75FC">
              <w:t>options paper</w:t>
            </w:r>
          </w:p>
        </w:tc>
        <w:tc>
          <w:tcPr>
            <w:tcW w:w="2690" w:type="pct"/>
          </w:tcPr>
          <w:p w14:paraId="0DD0BE56" w14:textId="5D57A5FE" w:rsidR="004D7A79" w:rsidRPr="00A27602" w:rsidRDefault="004D7A79" w:rsidP="00DE694D">
            <w:pPr>
              <w:pStyle w:val="TableBody"/>
            </w:pPr>
            <w:r w:rsidRPr="00775B4A">
              <w:t>Q3/4 2019–20</w:t>
            </w:r>
          </w:p>
        </w:tc>
      </w:tr>
      <w:tr w:rsidR="004D7A79" w:rsidRPr="006D46E5" w14:paraId="39CC6821" w14:textId="77777777" w:rsidTr="00596594">
        <w:tc>
          <w:tcPr>
            <w:tcW w:w="2310" w:type="pct"/>
          </w:tcPr>
          <w:p w14:paraId="46EEBCBA" w14:textId="2822E90D" w:rsidR="004D7A79" w:rsidRPr="00A27602" w:rsidRDefault="004D7A79" w:rsidP="00DE694D">
            <w:pPr>
              <w:pStyle w:val="TableBody"/>
            </w:pPr>
            <w:r w:rsidRPr="00E26672">
              <w:t xml:space="preserve">Potential for replanning </w:t>
            </w:r>
            <w:proofErr w:type="spellStart"/>
            <w:r w:rsidRPr="00E26672">
              <w:t>analog</w:t>
            </w:r>
            <w:proofErr w:type="spellEnd"/>
            <w:r w:rsidRPr="00E26672">
              <w:t xml:space="preserve"> radio services in Perth, following the clearance of Band II TV in Bunbury–consultation paper</w:t>
            </w:r>
          </w:p>
        </w:tc>
        <w:tc>
          <w:tcPr>
            <w:tcW w:w="2690" w:type="pct"/>
          </w:tcPr>
          <w:p w14:paraId="4FCB0004" w14:textId="4F6A7968" w:rsidR="004D7A79" w:rsidRPr="00A27602" w:rsidRDefault="004D7A79" w:rsidP="00DE694D">
            <w:pPr>
              <w:pStyle w:val="TableBody"/>
            </w:pPr>
            <w:r w:rsidRPr="00A27602" w:rsidDel="00901170">
              <w:t>Q</w:t>
            </w:r>
            <w:r w:rsidRPr="00A27602">
              <w:t>3/4</w:t>
            </w:r>
            <w:r w:rsidRPr="00A27602" w:rsidDel="00901170">
              <w:t xml:space="preserve"> </w:t>
            </w:r>
            <w:r w:rsidRPr="00A27602">
              <w:t>20</w:t>
            </w:r>
            <w:r w:rsidRPr="00A27602" w:rsidDel="00A901C5">
              <w:t>19</w:t>
            </w:r>
            <w:r w:rsidRPr="00A27602">
              <w:t>–20</w:t>
            </w:r>
          </w:p>
        </w:tc>
      </w:tr>
      <w:tr w:rsidR="004D7A79" w:rsidRPr="006D46E5" w14:paraId="48C5B440" w14:textId="77777777" w:rsidTr="00596594">
        <w:tc>
          <w:tcPr>
            <w:tcW w:w="2310" w:type="pct"/>
          </w:tcPr>
          <w:p w14:paraId="50A465DA" w14:textId="28861C40" w:rsidR="004D7A79" w:rsidRPr="00E26672" w:rsidRDefault="00E47AFA" w:rsidP="00DE694D">
            <w:pPr>
              <w:pStyle w:val="TableBody"/>
            </w:pPr>
            <w:r>
              <w:t>Any further required c</w:t>
            </w:r>
            <w:r w:rsidR="004D7A79" w:rsidRPr="00E26672">
              <w:t>hanges to regulatory arrangements for counter-drone equipment</w:t>
            </w:r>
          </w:p>
        </w:tc>
        <w:tc>
          <w:tcPr>
            <w:tcW w:w="2690" w:type="pct"/>
          </w:tcPr>
          <w:p w14:paraId="4DE44206" w14:textId="2CFC7DFE" w:rsidR="004D7A79" w:rsidRPr="002C75FC" w:rsidRDefault="004D7A79" w:rsidP="00DE694D">
            <w:pPr>
              <w:pStyle w:val="TableBody"/>
            </w:pPr>
            <w:r w:rsidRPr="00E26672">
              <w:t>2019–20</w:t>
            </w:r>
          </w:p>
        </w:tc>
      </w:tr>
    </w:tbl>
    <w:p w14:paraId="0DEA3E31" w14:textId="4392A0B9" w:rsidR="00C61187" w:rsidRDefault="00C61187" w:rsidP="00D7755E">
      <w:bookmarkStart w:id="27" w:name="_Toc510104927"/>
      <w:bookmarkStart w:id="28" w:name="_Toc510105724"/>
      <w:bookmarkStart w:id="29" w:name="_Toc510795065"/>
      <w:bookmarkStart w:id="30" w:name="_Toc511716266"/>
      <w:bookmarkStart w:id="31" w:name="_Toc511719077"/>
      <w:bookmarkStart w:id="32" w:name="_Toc514156682"/>
      <w:bookmarkEnd w:id="22"/>
      <w:bookmarkEnd w:id="23"/>
      <w:bookmarkEnd w:id="24"/>
    </w:p>
    <w:tbl>
      <w:tblPr>
        <w:tblStyle w:val="TableGrid"/>
        <w:tblW w:w="0" w:type="auto"/>
        <w:tblLook w:val="04A0" w:firstRow="1" w:lastRow="0" w:firstColumn="1" w:lastColumn="0" w:noHBand="0" w:noVBand="1"/>
      </w:tblPr>
      <w:tblGrid>
        <w:gridCol w:w="7661"/>
      </w:tblGrid>
      <w:tr w:rsidR="00303C65" w14:paraId="42025382" w14:textId="77777777" w:rsidTr="005C4D86">
        <w:trPr>
          <w:trHeight w:val="1242"/>
        </w:trPr>
        <w:tc>
          <w:tcPr>
            <w:tcW w:w="7661" w:type="dxa"/>
            <w:shd w:val="clear" w:color="auto" w:fill="F2F2F2" w:themeFill="background1" w:themeFillShade="F2"/>
          </w:tcPr>
          <w:p w14:paraId="5ADEACB8" w14:textId="77777777" w:rsidR="00303C65" w:rsidRPr="00DE694D" w:rsidRDefault="00303C65" w:rsidP="00DE694D">
            <w:pPr>
              <w:spacing w:before="120"/>
              <w:rPr>
                <w:b/>
              </w:rPr>
            </w:pPr>
            <w:r w:rsidRPr="00DE694D">
              <w:rPr>
                <w:b/>
              </w:rPr>
              <w:t>Consultation question</w:t>
            </w:r>
          </w:p>
          <w:p w14:paraId="57DC85B5" w14:textId="5A5881B6" w:rsidR="00303C65" w:rsidRDefault="00303C65" w:rsidP="00DE694D">
            <w:pPr>
              <w:pStyle w:val="ListParagraph"/>
              <w:numPr>
                <w:ilvl w:val="0"/>
                <w:numId w:val="60"/>
              </w:numPr>
              <w:spacing w:after="360"/>
            </w:pPr>
            <w:r>
              <w:t>What further improvements to the FYSO would make it easier for stakeholders to engage with the ACMA on its spectrum</w:t>
            </w:r>
            <w:r w:rsidR="00151518">
              <w:t xml:space="preserve"> management</w:t>
            </w:r>
            <w:r>
              <w:t xml:space="preserve"> work program?</w:t>
            </w:r>
          </w:p>
        </w:tc>
      </w:tr>
    </w:tbl>
    <w:p w14:paraId="6B2CA435" w14:textId="77777777" w:rsidR="00303C65" w:rsidRDefault="00303C65" w:rsidP="00D7755E"/>
    <w:bookmarkEnd w:id="27"/>
    <w:bookmarkEnd w:id="28"/>
    <w:bookmarkEnd w:id="29"/>
    <w:bookmarkEnd w:id="30"/>
    <w:bookmarkEnd w:id="31"/>
    <w:bookmarkEnd w:id="32"/>
    <w:p w14:paraId="0C4A2498" w14:textId="77777777" w:rsidR="00C61187" w:rsidRPr="00D7755E" w:rsidRDefault="00C61187" w:rsidP="00D7755E">
      <w:pPr>
        <w:pStyle w:val="ListNumber"/>
        <w:numPr>
          <w:ilvl w:val="0"/>
          <w:numId w:val="0"/>
        </w:numPr>
        <w:shd w:val="clear" w:color="auto" w:fill="auto"/>
        <w:ind w:left="360"/>
        <w:rPr>
          <w:rFonts w:eastAsiaTheme="majorEastAsia"/>
          <w:b w:val="0"/>
        </w:rPr>
      </w:pPr>
    </w:p>
    <w:p w14:paraId="528F1116" w14:textId="2D14275E" w:rsidR="000C4ED6" w:rsidRPr="0056784A" w:rsidRDefault="000C4ED6" w:rsidP="00D7755E">
      <w:pPr>
        <w:pStyle w:val="Heading1"/>
        <w:rPr>
          <w:rStyle w:val="TitleChar"/>
          <w:rFonts w:ascii="Arial" w:hAnsi="Arial" w:cs="Arial"/>
          <w:b/>
          <w:bCs w:val="0"/>
          <w:color w:val="auto"/>
          <w:spacing w:val="0"/>
          <w:kern w:val="32"/>
          <w:sz w:val="53"/>
          <w:szCs w:val="32"/>
          <w:lang w:eastAsia="en-AU"/>
        </w:rPr>
      </w:pPr>
      <w:bookmarkStart w:id="33" w:name="_Toc492369998"/>
      <w:bookmarkStart w:id="34" w:name="_Toc492371194"/>
      <w:bookmarkStart w:id="35" w:name="_Toc492371270"/>
      <w:bookmarkStart w:id="36" w:name="_Toc492371763"/>
      <w:bookmarkStart w:id="37" w:name="_Toc492374153"/>
      <w:bookmarkStart w:id="38" w:name="_Toc492374934"/>
      <w:bookmarkStart w:id="39" w:name="_Toc492383120"/>
      <w:bookmarkStart w:id="40" w:name="_Toc492385610"/>
      <w:bookmarkStart w:id="41" w:name="_Toc492388328"/>
      <w:bookmarkStart w:id="42" w:name="_Toc492390376"/>
      <w:bookmarkStart w:id="43" w:name="_Toc492554253"/>
      <w:bookmarkStart w:id="44" w:name="_Toc492557299"/>
      <w:bookmarkStart w:id="45" w:name="_Toc492557555"/>
      <w:bookmarkStart w:id="46" w:name="_Toc492557668"/>
      <w:bookmarkStart w:id="47" w:name="_Toc492558039"/>
      <w:bookmarkStart w:id="48" w:name="_Toc492558077"/>
      <w:bookmarkStart w:id="49" w:name="_Toc492564195"/>
      <w:bookmarkStart w:id="50" w:name="_Toc492566411"/>
      <w:bookmarkStart w:id="51" w:name="_Toc492625052"/>
      <w:bookmarkStart w:id="52" w:name="_Toc492625218"/>
      <w:bookmarkStart w:id="53" w:name="_Toc492626134"/>
      <w:bookmarkStart w:id="54" w:name="_Toc492626758"/>
      <w:bookmarkStart w:id="55" w:name="_Toc492630909"/>
      <w:bookmarkStart w:id="56" w:name="_Toc492632457"/>
      <w:bookmarkStart w:id="57" w:name="_Toc492632760"/>
      <w:bookmarkStart w:id="58" w:name="_Toc492632894"/>
      <w:bookmarkStart w:id="59" w:name="_Toc492633051"/>
      <w:bookmarkStart w:id="60" w:name="_Toc492635018"/>
      <w:bookmarkStart w:id="61" w:name="_Toc492639666"/>
      <w:bookmarkStart w:id="62" w:name="_Toc492639974"/>
      <w:bookmarkStart w:id="63" w:name="_Toc492640190"/>
      <w:bookmarkStart w:id="64" w:name="_Toc492640237"/>
      <w:bookmarkStart w:id="65" w:name="_Toc492640276"/>
      <w:bookmarkStart w:id="66" w:name="_Toc492640315"/>
      <w:bookmarkStart w:id="67" w:name="_Toc492641289"/>
      <w:bookmarkStart w:id="68" w:name="_Toc492641336"/>
      <w:bookmarkStart w:id="69" w:name="_Toc492641778"/>
      <w:bookmarkStart w:id="70" w:name="_Toc492641904"/>
      <w:bookmarkStart w:id="71" w:name="_Toc492645934"/>
      <w:bookmarkStart w:id="72" w:name="_Toc492646224"/>
      <w:bookmarkStart w:id="73" w:name="_Toc492646633"/>
      <w:bookmarkStart w:id="74" w:name="_Toc492647421"/>
      <w:bookmarkStart w:id="75" w:name="_Toc492647473"/>
      <w:bookmarkStart w:id="76" w:name="_Toc492885144"/>
      <w:bookmarkStart w:id="77" w:name="_Toc492885264"/>
      <w:bookmarkStart w:id="78" w:name="_Toc492885536"/>
      <w:bookmarkStart w:id="79" w:name="_Toc492885600"/>
      <w:bookmarkStart w:id="80" w:name="_Toc492886707"/>
      <w:bookmarkStart w:id="81" w:name="_Toc492887240"/>
      <w:bookmarkStart w:id="82" w:name="_Toc492890828"/>
      <w:bookmarkStart w:id="83" w:name="_Toc492891431"/>
      <w:bookmarkStart w:id="84" w:name="_Toc492892962"/>
      <w:bookmarkStart w:id="85" w:name="_Toc492893943"/>
      <w:bookmarkStart w:id="86" w:name="_Toc492894078"/>
      <w:bookmarkStart w:id="87" w:name="_Toc492894346"/>
      <w:bookmarkStart w:id="88" w:name="_Toc492894782"/>
      <w:bookmarkStart w:id="89" w:name="_Toc492896235"/>
      <w:bookmarkStart w:id="90" w:name="_Toc492896670"/>
      <w:bookmarkStart w:id="91" w:name="_Toc492897540"/>
      <w:bookmarkStart w:id="92" w:name="_Toc492898003"/>
      <w:bookmarkStart w:id="93" w:name="_Toc492902338"/>
      <w:bookmarkStart w:id="94" w:name="_Part_1—Five-year_spectrum"/>
      <w:bookmarkStart w:id="95" w:name="_Toc510104928"/>
      <w:bookmarkStart w:id="96" w:name="_Toc510105725"/>
      <w:bookmarkStart w:id="97" w:name="_Toc510795066"/>
      <w:bookmarkStart w:id="98" w:name="_Toc511716267"/>
      <w:bookmarkStart w:id="99" w:name="_Toc511719078"/>
      <w:bookmarkStart w:id="100" w:name="_Toc522794074"/>
      <w:bookmarkStart w:id="101" w:name="_Toc5025652"/>
      <w:bookmarkStart w:id="102" w:name="_Toc509581797"/>
      <w:bookmarkStart w:id="103" w:name="_Toc509585113"/>
      <w:bookmarkStart w:id="104" w:name="_Toc509585649"/>
      <w:bookmarkStart w:id="105" w:name="_Toc491854091"/>
      <w:bookmarkStart w:id="106" w:name="_Toc49411514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35321">
        <w:rPr>
          <w:rStyle w:val="TitleChar"/>
          <w:rFonts w:ascii="Arial" w:hAnsi="Arial" w:cs="Arial"/>
          <w:spacing w:val="0"/>
          <w:kern w:val="32"/>
          <w:sz w:val="53"/>
          <w:szCs w:val="32"/>
          <w:lang w:eastAsia="en-AU"/>
        </w:rPr>
        <w:lastRenderedPageBreak/>
        <w:t xml:space="preserve">Part </w:t>
      </w:r>
      <w:r>
        <w:rPr>
          <w:rStyle w:val="TitleChar"/>
          <w:rFonts w:ascii="Arial" w:hAnsi="Arial" w:cs="Arial"/>
          <w:spacing w:val="0"/>
          <w:kern w:val="32"/>
          <w:sz w:val="53"/>
          <w:szCs w:val="32"/>
          <w:lang w:eastAsia="en-AU"/>
        </w:rPr>
        <w:t>1—</w:t>
      </w:r>
      <w:r w:rsidRPr="00835321">
        <w:rPr>
          <w:rStyle w:val="TitleChar"/>
          <w:rFonts w:ascii="Arial" w:hAnsi="Arial" w:cs="Arial"/>
          <w:spacing w:val="0"/>
          <w:kern w:val="32"/>
          <w:sz w:val="53"/>
          <w:szCs w:val="32"/>
          <w:lang w:eastAsia="en-AU"/>
        </w:rPr>
        <w:t>Five</w:t>
      </w:r>
      <w:r>
        <w:rPr>
          <w:rStyle w:val="TitleChar"/>
          <w:rFonts w:ascii="Arial" w:hAnsi="Arial" w:cs="Arial"/>
          <w:spacing w:val="0"/>
          <w:kern w:val="32"/>
          <w:sz w:val="53"/>
          <w:szCs w:val="32"/>
          <w:lang w:eastAsia="en-AU"/>
        </w:rPr>
        <w:t>-y</w:t>
      </w:r>
      <w:r w:rsidRPr="00835321">
        <w:rPr>
          <w:rStyle w:val="TitleChar"/>
          <w:rFonts w:ascii="Arial" w:hAnsi="Arial" w:cs="Arial"/>
          <w:spacing w:val="0"/>
          <w:kern w:val="32"/>
          <w:sz w:val="53"/>
          <w:szCs w:val="32"/>
          <w:lang w:eastAsia="en-AU"/>
        </w:rPr>
        <w:t xml:space="preserve">ear </w:t>
      </w:r>
      <w:r>
        <w:rPr>
          <w:rStyle w:val="TitleChar"/>
          <w:rFonts w:ascii="Arial" w:hAnsi="Arial" w:cs="Arial"/>
          <w:spacing w:val="0"/>
          <w:kern w:val="32"/>
          <w:sz w:val="53"/>
          <w:szCs w:val="32"/>
          <w:lang w:eastAsia="en-AU"/>
        </w:rPr>
        <w:t>spectrum o</w:t>
      </w:r>
      <w:r w:rsidRPr="00835321">
        <w:rPr>
          <w:rStyle w:val="TitleChar"/>
          <w:rFonts w:ascii="Arial" w:hAnsi="Arial" w:cs="Arial"/>
          <w:spacing w:val="0"/>
          <w:kern w:val="32"/>
          <w:sz w:val="53"/>
          <w:szCs w:val="32"/>
          <w:lang w:eastAsia="en-AU"/>
        </w:rPr>
        <w:t>utlook</w:t>
      </w:r>
      <w:bookmarkEnd w:id="95"/>
      <w:bookmarkEnd w:id="96"/>
      <w:bookmarkEnd w:id="97"/>
      <w:bookmarkEnd w:id="98"/>
      <w:bookmarkEnd w:id="99"/>
      <w:bookmarkEnd w:id="100"/>
      <w:bookmarkEnd w:id="101"/>
      <w:r w:rsidRPr="00835321">
        <w:rPr>
          <w:rStyle w:val="TitleChar"/>
          <w:rFonts w:ascii="Arial" w:hAnsi="Arial" w:cs="Arial"/>
          <w:spacing w:val="0"/>
          <w:kern w:val="32"/>
          <w:sz w:val="53"/>
          <w:szCs w:val="32"/>
          <w:lang w:eastAsia="en-AU"/>
        </w:rPr>
        <w:t xml:space="preserve"> </w:t>
      </w:r>
    </w:p>
    <w:p w14:paraId="558F4A37" w14:textId="77777777" w:rsidR="00913DC4" w:rsidRPr="0058077F" w:rsidRDefault="00913DC4" w:rsidP="00D7755E">
      <w:pPr>
        <w:pStyle w:val="Heading2"/>
        <w:rPr>
          <w:rStyle w:val="TitleChar"/>
          <w:rFonts w:ascii="Arial" w:hAnsi="Arial" w:cs="Arial"/>
          <w:b w:val="0"/>
          <w:iCs w:val="0"/>
          <w:color w:val="323232"/>
          <w:spacing w:val="0"/>
          <w:kern w:val="0"/>
          <w:sz w:val="28"/>
          <w:szCs w:val="28"/>
          <w:lang w:eastAsia="en-AU"/>
        </w:rPr>
      </w:pPr>
      <w:bookmarkStart w:id="107" w:name="_Toc510104929"/>
      <w:bookmarkStart w:id="108" w:name="_Toc510105726"/>
      <w:bookmarkStart w:id="109" w:name="_Toc510795067"/>
      <w:bookmarkStart w:id="110" w:name="_Toc511716268"/>
      <w:bookmarkStart w:id="111" w:name="_Toc511719079"/>
      <w:bookmarkStart w:id="112" w:name="_Toc522794075"/>
      <w:bookmarkStart w:id="113" w:name="_Toc5025653"/>
      <w:r w:rsidRPr="005759E7">
        <w:rPr>
          <w:rStyle w:val="TitleChar"/>
          <w:rFonts w:ascii="Arial" w:hAnsi="Arial" w:cs="Arial"/>
          <w:spacing w:val="0"/>
          <w:kern w:val="0"/>
          <w:sz w:val="28"/>
          <w:szCs w:val="28"/>
          <w:lang w:eastAsia="en-AU"/>
        </w:rPr>
        <w:t>Introduction</w:t>
      </w:r>
      <w:bookmarkEnd w:id="102"/>
      <w:bookmarkEnd w:id="103"/>
      <w:bookmarkEnd w:id="104"/>
      <w:bookmarkEnd w:id="107"/>
      <w:bookmarkEnd w:id="108"/>
      <w:bookmarkEnd w:id="109"/>
      <w:bookmarkEnd w:id="110"/>
      <w:bookmarkEnd w:id="111"/>
      <w:bookmarkEnd w:id="112"/>
      <w:bookmarkEnd w:id="113"/>
    </w:p>
    <w:p w14:paraId="751EF5EC" w14:textId="40725E12" w:rsidR="00CF322E" w:rsidRDefault="00CF322E" w:rsidP="00D7755E">
      <w:bookmarkStart w:id="114" w:name="_Toc491854093"/>
      <w:bookmarkEnd w:id="105"/>
      <w:bookmarkEnd w:id="106"/>
      <w:r>
        <w:t xml:space="preserve">Part </w:t>
      </w:r>
      <w:r w:rsidR="0058077F">
        <w:t>1</w:t>
      </w:r>
      <w:r w:rsidR="000F38B6">
        <w:t xml:space="preserve"> </w:t>
      </w:r>
      <w:r>
        <w:t>take</w:t>
      </w:r>
      <w:r w:rsidR="0058077F">
        <w:t>s</w:t>
      </w:r>
      <w:r>
        <w:t xml:space="preserve"> a broad view of trends in technology and spectrum uses that inform the</w:t>
      </w:r>
      <w:r w:rsidR="00B269A2">
        <w:t xml:space="preserve"> ACMA’s</w:t>
      </w:r>
      <w:r>
        <w:t xml:space="preserve"> medium</w:t>
      </w:r>
      <w:r w:rsidR="0058077F">
        <w:t>-</w:t>
      </w:r>
      <w:r>
        <w:t xml:space="preserve">term planning, </w:t>
      </w:r>
      <w:r w:rsidR="00B269A2">
        <w:t xml:space="preserve">allocation </w:t>
      </w:r>
      <w:r w:rsidR="00B269A2" w:rsidRPr="00214E77">
        <w:t xml:space="preserve">and </w:t>
      </w:r>
      <w:r w:rsidRPr="00214E77">
        <w:t>reallocation</w:t>
      </w:r>
      <w:r>
        <w:t xml:space="preserve"> activities.</w:t>
      </w:r>
      <w:r w:rsidR="00447762">
        <w:t xml:space="preserve"> </w:t>
      </w:r>
    </w:p>
    <w:p w14:paraId="3FCD45B0" w14:textId="38E82A97" w:rsidR="003E6F65" w:rsidRDefault="003E6F65" w:rsidP="00D7755E">
      <w:r>
        <w:t>The ACMA takes account of a range of factors in planning its spectrum management work. We monitor developments in radiocommunications technology</w:t>
      </w:r>
      <w:r w:rsidR="0078767B">
        <w:t>,</w:t>
      </w:r>
      <w:r w:rsidR="002064DB">
        <w:t xml:space="preserve"> including equipment availability</w:t>
      </w:r>
      <w:r>
        <w:t>, in spectrum us</w:t>
      </w:r>
      <w:r w:rsidR="0058077F">
        <w:t>e</w:t>
      </w:r>
      <w:r>
        <w:t xml:space="preserve"> markets and in the broader policy environment</w:t>
      </w:r>
      <w:r w:rsidR="00377FEF">
        <w:t>,</w:t>
      </w:r>
      <w:r>
        <w:t xml:space="preserve"> to inform our allocation of resources.</w:t>
      </w:r>
    </w:p>
    <w:p w14:paraId="40F73A98" w14:textId="5CB201B6" w:rsidR="001F3495" w:rsidRPr="005759E7" w:rsidRDefault="003D08DC" w:rsidP="00D7755E">
      <w:pPr>
        <w:pStyle w:val="Heading2"/>
      </w:pPr>
      <w:bookmarkStart w:id="115" w:name="_Toc511716269"/>
      <w:bookmarkStart w:id="116" w:name="_Toc511719080"/>
      <w:bookmarkStart w:id="117" w:name="_Toc522794076"/>
      <w:bookmarkStart w:id="118" w:name="_Toc5025654"/>
      <w:bookmarkStart w:id="119" w:name="_Toc510104930"/>
      <w:bookmarkStart w:id="120" w:name="_Toc510105727"/>
      <w:bookmarkStart w:id="121" w:name="_Toc510795068"/>
      <w:bookmarkStart w:id="122" w:name="_Toc509581799"/>
      <w:bookmarkStart w:id="123" w:name="_Toc509585115"/>
      <w:bookmarkStart w:id="124" w:name="_Toc509585651"/>
      <w:r w:rsidRPr="005759E7">
        <w:rPr>
          <w:rStyle w:val="Heading2Char"/>
          <w:b/>
          <w:bCs/>
          <w:iCs/>
        </w:rPr>
        <w:t>Anticipated change d</w:t>
      </w:r>
      <w:r w:rsidR="007F1A09" w:rsidRPr="005759E7">
        <w:rPr>
          <w:rStyle w:val="Heading2Char"/>
          <w:b/>
          <w:bCs/>
          <w:iCs/>
        </w:rPr>
        <w:t>rivers</w:t>
      </w:r>
      <w:bookmarkEnd w:id="115"/>
      <w:bookmarkEnd w:id="116"/>
      <w:bookmarkEnd w:id="117"/>
      <w:bookmarkEnd w:id="118"/>
      <w:r w:rsidR="007F1A09" w:rsidRPr="005759E7">
        <w:rPr>
          <w:rStyle w:val="Heading2Char"/>
          <w:b/>
          <w:bCs/>
          <w:iCs/>
        </w:rPr>
        <w:t xml:space="preserve"> </w:t>
      </w:r>
      <w:bookmarkEnd w:id="119"/>
      <w:bookmarkEnd w:id="120"/>
      <w:bookmarkEnd w:id="121"/>
      <w:bookmarkEnd w:id="122"/>
      <w:bookmarkEnd w:id="123"/>
      <w:bookmarkEnd w:id="124"/>
    </w:p>
    <w:p w14:paraId="678FA1E6" w14:textId="6D891464" w:rsidR="007F1A09" w:rsidRDefault="00B269A2" w:rsidP="00D7755E">
      <w:bookmarkStart w:id="125" w:name="_Toc494115151"/>
      <w:bookmarkEnd w:id="114"/>
      <w:r>
        <w:t>D</w:t>
      </w:r>
      <w:r w:rsidR="007F1A09">
        <w:t xml:space="preserve">emand for new spectrum </w:t>
      </w:r>
      <w:r w:rsidR="00D210EA">
        <w:t xml:space="preserve">and </w:t>
      </w:r>
      <w:r w:rsidR="007B1654">
        <w:t xml:space="preserve">for </w:t>
      </w:r>
      <w:r w:rsidR="007F1A09">
        <w:t>changes to existing arrangements continue</w:t>
      </w:r>
      <w:r w:rsidR="00E17DAB">
        <w:t>s</w:t>
      </w:r>
      <w:r w:rsidR="007F1A09">
        <w:t xml:space="preserve"> to evolve quickly</w:t>
      </w:r>
      <w:r w:rsidR="005135A3">
        <w:t>. T</w:t>
      </w:r>
      <w:r w:rsidR="007F1A09">
        <w:t>he ACMA regularly reassess</w:t>
      </w:r>
      <w:r w:rsidR="005135A3">
        <w:t>es</w:t>
      </w:r>
      <w:r w:rsidR="007F1A09">
        <w:t xml:space="preserve"> </w:t>
      </w:r>
      <w:r w:rsidR="007916F4">
        <w:t xml:space="preserve">its work </w:t>
      </w:r>
      <w:r w:rsidR="00500299">
        <w:t>priorities,</w:t>
      </w:r>
      <w:r w:rsidR="005135A3">
        <w:t xml:space="preserve"> </w:t>
      </w:r>
      <w:r w:rsidR="007916F4">
        <w:t>as new opportunities arise</w:t>
      </w:r>
      <w:r w:rsidR="00500299">
        <w:t>,</w:t>
      </w:r>
      <w:r w:rsidR="007916F4">
        <w:t xml:space="preserve"> to</w:t>
      </w:r>
      <w:r w:rsidR="007F1A09">
        <w:t xml:space="preserve"> maximise the overall public benefit derived from allocating and using spectrum.</w:t>
      </w:r>
    </w:p>
    <w:p w14:paraId="0EAC7229" w14:textId="77777777" w:rsidR="00B11728" w:rsidRDefault="007F1A09" w:rsidP="00D7755E">
      <w:r>
        <w:t xml:space="preserve">International trends </w:t>
      </w:r>
      <w:r w:rsidR="001C4306">
        <w:t xml:space="preserve">driving demand for spectrum include the </w:t>
      </w:r>
      <w:r w:rsidR="004C23E1">
        <w:t>appetite for</w:t>
      </w:r>
      <w:r w:rsidDel="00FC6EF0">
        <w:t xml:space="preserve"> </w:t>
      </w:r>
      <w:r w:rsidR="00FC6EF0">
        <w:t xml:space="preserve">wireless </w:t>
      </w:r>
      <w:r>
        <w:t>broadband</w:t>
      </w:r>
      <w:r w:rsidR="00FC6EF0">
        <w:t>, particularly in the context of 5G services</w:t>
      </w:r>
      <w:r>
        <w:t xml:space="preserve">, </w:t>
      </w:r>
      <w:r w:rsidR="004C23E1">
        <w:t>ongoing commercialisation of I</w:t>
      </w:r>
      <w:r w:rsidR="00142C48">
        <w:t xml:space="preserve">nternet </w:t>
      </w:r>
      <w:r w:rsidR="004C23E1">
        <w:t>o</w:t>
      </w:r>
      <w:r w:rsidR="00142C48">
        <w:t xml:space="preserve">f </w:t>
      </w:r>
      <w:r w:rsidR="004C23E1">
        <w:t>T</w:t>
      </w:r>
      <w:r w:rsidR="00142C48">
        <w:t>hings (</w:t>
      </w:r>
      <w:r w:rsidR="004C23E1">
        <w:t>IoT</w:t>
      </w:r>
      <w:r w:rsidR="00142C48">
        <w:t>)</w:t>
      </w:r>
      <w:r w:rsidR="004C23E1">
        <w:t xml:space="preserve"> applications, advances in broadcasting technology, </w:t>
      </w:r>
      <w:r>
        <w:t>rapid innovations in satellite technologies</w:t>
      </w:r>
      <w:r w:rsidR="00E47212">
        <w:t>,</w:t>
      </w:r>
      <w:r>
        <w:t xml:space="preserve"> </w:t>
      </w:r>
      <w:r w:rsidR="007A7BF4">
        <w:t>and new approaches to spectrum sharing.</w:t>
      </w:r>
      <w:r w:rsidR="00F14E81">
        <w:t xml:space="preserve"> </w:t>
      </w:r>
    </w:p>
    <w:p w14:paraId="5EFB5EB2" w14:textId="1A3AE639" w:rsidR="00500299" w:rsidRDefault="00B11728" w:rsidP="00D7755E">
      <w:r>
        <w:t>T</w:t>
      </w:r>
      <w:r w:rsidR="00F14E81">
        <w:t>he four-yearly WRC</w:t>
      </w:r>
      <w:r w:rsidR="00037A1C">
        <w:t xml:space="preserve"> </w:t>
      </w:r>
      <w:r w:rsidR="00F14E81">
        <w:t xml:space="preserve">meeting </w:t>
      </w:r>
      <w:r w:rsidR="00037A1C">
        <w:t xml:space="preserve">is </w:t>
      </w:r>
      <w:r w:rsidR="00F14E81">
        <w:t>in October this year</w:t>
      </w:r>
      <w:r w:rsidR="00037A1C">
        <w:t xml:space="preserve"> </w:t>
      </w:r>
      <w:r>
        <w:t>where</w:t>
      </w:r>
      <w:r w:rsidR="00F14E81">
        <w:t xml:space="preserve"> </w:t>
      </w:r>
      <w:r>
        <w:t>several</w:t>
      </w:r>
      <w:r w:rsidR="00F14E81">
        <w:t xml:space="preserve"> important international harmonisation issues </w:t>
      </w:r>
      <w:r>
        <w:t>will be discussed</w:t>
      </w:r>
      <w:r w:rsidR="00F14E81">
        <w:t>. The ACMA will consider the outcomes of WRC-19 in developing the FYSO 2020</w:t>
      </w:r>
      <w:r w:rsidR="00142C48">
        <w:t>–</w:t>
      </w:r>
      <w:r w:rsidR="00F14E81">
        <w:t>21.</w:t>
      </w:r>
    </w:p>
    <w:p w14:paraId="0C42D5BD" w14:textId="4037AC0B" w:rsidR="007F1A09" w:rsidRDefault="00DB5A42" w:rsidP="00D7755E">
      <w:r>
        <w:t xml:space="preserve">As technology </w:t>
      </w:r>
      <w:r w:rsidR="0070084E">
        <w:t>develops, it is able to use available spectrum more efficiently</w:t>
      </w:r>
      <w:r w:rsidR="00B11728">
        <w:t xml:space="preserve">. </w:t>
      </w:r>
      <w:r w:rsidR="00037A1C">
        <w:t>Examples i</w:t>
      </w:r>
      <w:r w:rsidR="007F1A09">
        <w:t>nclud</w:t>
      </w:r>
      <w:r w:rsidR="00037A1C">
        <w:t>e</w:t>
      </w:r>
      <w:r w:rsidR="007F1A09">
        <w:t xml:space="preserve"> more efficient radiocommunications transmission and encoding technologies</w:t>
      </w:r>
      <w:r w:rsidR="00037A1C">
        <w:t xml:space="preserve"> and</w:t>
      </w:r>
      <w:r w:rsidR="007F1A09">
        <w:t xml:space="preserve"> </w:t>
      </w:r>
      <w:r w:rsidR="00037A1C">
        <w:t xml:space="preserve">improved </w:t>
      </w:r>
      <w:r w:rsidR="007F1A09">
        <w:t>antenna technology</w:t>
      </w:r>
      <w:r w:rsidR="001C4306">
        <w:t xml:space="preserve"> that </w:t>
      </w:r>
      <w:r w:rsidR="007F1A09">
        <w:t>provide</w:t>
      </w:r>
      <w:r w:rsidR="00037A1C">
        <w:t>s</w:t>
      </w:r>
      <w:r w:rsidR="007F1A09">
        <w:t xml:space="preserve"> greater options in the use of high frequency bands.</w:t>
      </w:r>
    </w:p>
    <w:p w14:paraId="04DE055E" w14:textId="32CFFC10" w:rsidR="00C364F1" w:rsidRPr="00D22CAE" w:rsidRDefault="00C364F1" w:rsidP="00D7755E">
      <w:pPr>
        <w:rPr>
          <w:rStyle w:val="Heading2Char"/>
          <w:rFonts w:cs="Times New Roman"/>
          <w:b w:val="0"/>
          <w:bCs w:val="0"/>
          <w:i/>
          <w:iCs w:val="0"/>
          <w:sz w:val="20"/>
          <w:szCs w:val="24"/>
        </w:rPr>
      </w:pPr>
      <w:r>
        <w:t>The ACMA’s spectrum planning work program is also</w:t>
      </w:r>
      <w:r w:rsidDel="006F4C38">
        <w:t xml:space="preserve"> </w:t>
      </w:r>
      <w:r>
        <w:t>focused on supporting the evolution of technical framework</w:t>
      </w:r>
      <w:r w:rsidR="006F4C38">
        <w:t>s that</w:t>
      </w:r>
      <w:r>
        <w:t xml:space="preserve"> support more efficient technologies within an existing use.</w:t>
      </w:r>
    </w:p>
    <w:p w14:paraId="123E0E27" w14:textId="7005B206" w:rsidR="00500299" w:rsidRDefault="00CF322E" w:rsidP="00D7755E">
      <w:pPr>
        <w:rPr>
          <w:rFonts w:cs="Arial"/>
          <w:bCs/>
          <w:szCs w:val="26"/>
        </w:rPr>
      </w:pPr>
      <w:r>
        <w:rPr>
          <w:rFonts w:cs="Arial"/>
          <w:bCs/>
          <w:szCs w:val="26"/>
        </w:rPr>
        <w:t>The ACMA’s response to these demand pressures</w:t>
      </w:r>
      <w:r w:rsidR="003F2C91">
        <w:rPr>
          <w:rFonts w:cs="Arial"/>
          <w:bCs/>
          <w:szCs w:val="26"/>
        </w:rPr>
        <w:t xml:space="preserve"> for the 2019</w:t>
      </w:r>
      <w:r w:rsidR="004F5E5F">
        <w:rPr>
          <w:rFonts w:cs="Arial"/>
          <w:bCs/>
          <w:szCs w:val="26"/>
        </w:rPr>
        <w:t>–</w:t>
      </w:r>
      <w:r w:rsidR="003F2C91">
        <w:rPr>
          <w:rFonts w:cs="Arial"/>
          <w:bCs/>
          <w:szCs w:val="26"/>
        </w:rPr>
        <w:t>20 year</w:t>
      </w:r>
      <w:r>
        <w:rPr>
          <w:rFonts w:cs="Arial"/>
          <w:bCs/>
          <w:szCs w:val="26"/>
        </w:rPr>
        <w:t xml:space="preserve"> is outlined in </w:t>
      </w:r>
      <w:r w:rsidR="001C4306">
        <w:rPr>
          <w:rFonts w:cs="Arial"/>
          <w:bCs/>
          <w:szCs w:val="26"/>
        </w:rPr>
        <w:t xml:space="preserve">more detail </w:t>
      </w:r>
      <w:r>
        <w:rPr>
          <w:rFonts w:cs="Arial"/>
          <w:bCs/>
          <w:szCs w:val="26"/>
        </w:rPr>
        <w:t>in the planning and allocation work stream activities</w:t>
      </w:r>
      <w:r w:rsidR="00500299">
        <w:rPr>
          <w:rFonts w:cs="Arial"/>
          <w:bCs/>
          <w:szCs w:val="26"/>
        </w:rPr>
        <w:t xml:space="preserve"> (</w:t>
      </w:r>
      <w:r w:rsidR="00500299" w:rsidRPr="00167289">
        <w:rPr>
          <w:rFonts w:cs="Arial"/>
          <w:bCs/>
          <w:szCs w:val="26"/>
        </w:rPr>
        <w:t xml:space="preserve">see </w:t>
      </w:r>
      <w:r w:rsidR="00037A1C" w:rsidRPr="00DE694D">
        <w:t>Part 2</w:t>
      </w:r>
      <w:r w:rsidR="00500299" w:rsidRPr="00B56445">
        <w:rPr>
          <w:rFonts w:cs="Arial"/>
          <w:bCs/>
          <w:szCs w:val="26"/>
        </w:rPr>
        <w:t>)</w:t>
      </w:r>
      <w:r w:rsidR="00242E62" w:rsidRPr="00B56445">
        <w:rPr>
          <w:rFonts w:cs="Arial"/>
          <w:bCs/>
          <w:szCs w:val="26"/>
        </w:rPr>
        <w:t>.</w:t>
      </w:r>
    </w:p>
    <w:p w14:paraId="7B0E7DB0" w14:textId="0984A0D7" w:rsidR="00E02ED8" w:rsidRDefault="00B5645B" w:rsidP="00D7755E">
      <w:pPr>
        <w:rPr>
          <w:rFonts w:cs="Arial"/>
          <w:bCs/>
          <w:szCs w:val="26"/>
        </w:rPr>
      </w:pPr>
      <w:r>
        <w:rPr>
          <w:rFonts w:cs="Arial"/>
          <w:bCs/>
          <w:szCs w:val="26"/>
        </w:rPr>
        <w:t>Part 1 (t</w:t>
      </w:r>
      <w:r w:rsidR="00B269A2">
        <w:rPr>
          <w:rFonts w:cs="Arial"/>
          <w:bCs/>
          <w:szCs w:val="26"/>
        </w:rPr>
        <w:t>he five</w:t>
      </w:r>
      <w:r w:rsidR="0058077F">
        <w:rPr>
          <w:rFonts w:cs="Arial"/>
          <w:bCs/>
          <w:szCs w:val="26"/>
        </w:rPr>
        <w:t>-</w:t>
      </w:r>
      <w:r w:rsidR="00B269A2">
        <w:rPr>
          <w:rFonts w:cs="Arial"/>
          <w:bCs/>
          <w:szCs w:val="26"/>
        </w:rPr>
        <w:t xml:space="preserve">year </w:t>
      </w:r>
      <w:r>
        <w:rPr>
          <w:rFonts w:cs="Arial"/>
          <w:bCs/>
          <w:szCs w:val="26"/>
        </w:rPr>
        <w:t>outlook)</w:t>
      </w:r>
      <w:r w:rsidR="00B269A2" w:rsidDel="00B5645B">
        <w:rPr>
          <w:rFonts w:cs="Arial"/>
          <w:bCs/>
          <w:szCs w:val="26"/>
        </w:rPr>
        <w:t xml:space="preserve"> </w:t>
      </w:r>
      <w:r w:rsidR="003039C5">
        <w:rPr>
          <w:rFonts w:cs="Arial"/>
          <w:bCs/>
          <w:szCs w:val="26"/>
        </w:rPr>
        <w:t xml:space="preserve">does not give timing commitments as experience shows the relative priority of work in future years is liable to change. The intention </w:t>
      </w:r>
      <w:r>
        <w:rPr>
          <w:rFonts w:cs="Arial"/>
          <w:bCs/>
          <w:szCs w:val="26"/>
        </w:rPr>
        <w:t xml:space="preserve">here </w:t>
      </w:r>
      <w:r w:rsidR="003039C5">
        <w:rPr>
          <w:rFonts w:cs="Arial"/>
          <w:bCs/>
          <w:szCs w:val="26"/>
        </w:rPr>
        <w:t>is</w:t>
      </w:r>
      <w:r w:rsidR="009A42F6">
        <w:rPr>
          <w:rFonts w:cs="Arial"/>
          <w:bCs/>
          <w:szCs w:val="26"/>
        </w:rPr>
        <w:t xml:space="preserve"> to alert stakeholders to the </w:t>
      </w:r>
      <w:r>
        <w:rPr>
          <w:rFonts w:cs="Arial"/>
          <w:bCs/>
          <w:szCs w:val="26"/>
        </w:rPr>
        <w:t>longer</w:t>
      </w:r>
      <w:r w:rsidR="00D50FE7">
        <w:rPr>
          <w:rFonts w:cs="Arial"/>
          <w:bCs/>
          <w:szCs w:val="26"/>
        </w:rPr>
        <w:t>-term</w:t>
      </w:r>
      <w:r>
        <w:rPr>
          <w:rFonts w:cs="Arial"/>
          <w:bCs/>
          <w:szCs w:val="26"/>
        </w:rPr>
        <w:t xml:space="preserve"> </w:t>
      </w:r>
      <w:r w:rsidR="009A42F6">
        <w:rPr>
          <w:rFonts w:cs="Arial"/>
          <w:bCs/>
          <w:szCs w:val="26"/>
        </w:rPr>
        <w:t xml:space="preserve">pressures </w:t>
      </w:r>
      <w:r>
        <w:rPr>
          <w:rFonts w:cs="Arial"/>
          <w:bCs/>
          <w:szCs w:val="26"/>
        </w:rPr>
        <w:t xml:space="preserve">that are shaping our immediate work program and </w:t>
      </w:r>
      <w:r w:rsidR="006F4C38">
        <w:rPr>
          <w:rFonts w:cs="Arial"/>
          <w:bCs/>
          <w:szCs w:val="26"/>
        </w:rPr>
        <w:t xml:space="preserve">informing </w:t>
      </w:r>
      <w:r w:rsidR="009A42F6">
        <w:rPr>
          <w:rFonts w:cs="Arial"/>
          <w:bCs/>
          <w:szCs w:val="26"/>
        </w:rPr>
        <w:t xml:space="preserve">future work programs. </w:t>
      </w:r>
    </w:p>
    <w:p w14:paraId="75F8B475" w14:textId="77777777" w:rsidR="001F3495" w:rsidRPr="0058077F" w:rsidRDefault="00B84965" w:rsidP="00D7755E">
      <w:pPr>
        <w:pStyle w:val="Heading3"/>
      </w:pPr>
      <w:bookmarkStart w:id="126" w:name="_Toc510795069"/>
      <w:bookmarkStart w:id="127" w:name="_Toc511716270"/>
      <w:bookmarkStart w:id="128" w:name="_Toc511719081"/>
      <w:bookmarkStart w:id="129" w:name="_Toc522794077"/>
      <w:bookmarkStart w:id="130" w:name="_Toc5025655"/>
      <w:bookmarkEnd w:id="125"/>
      <w:r w:rsidRPr="0058077F">
        <w:t>Wireless broadband, including 5G</w:t>
      </w:r>
      <w:bookmarkEnd w:id="126"/>
      <w:bookmarkEnd w:id="127"/>
      <w:bookmarkEnd w:id="128"/>
      <w:bookmarkEnd w:id="129"/>
      <w:bookmarkEnd w:id="130"/>
    </w:p>
    <w:p w14:paraId="3D2A5C4B" w14:textId="24778567" w:rsidR="00500299" w:rsidRDefault="00835321" w:rsidP="00D7755E">
      <w:r>
        <w:t xml:space="preserve">Demand for spectrum to support </w:t>
      </w:r>
      <w:r w:rsidR="00B84965">
        <w:t xml:space="preserve">wireless </w:t>
      </w:r>
      <w:r>
        <w:t>broadband</w:t>
      </w:r>
      <w:r w:rsidR="000D7086">
        <w:t>, includ</w:t>
      </w:r>
      <w:r w:rsidR="005605BB">
        <w:t>ing</w:t>
      </w:r>
      <w:r w:rsidR="000D7086">
        <w:t xml:space="preserve"> both mobile and fixed applications,</w:t>
      </w:r>
      <w:r>
        <w:t xml:space="preserve"> continues to be a major driver </w:t>
      </w:r>
      <w:r w:rsidRPr="005629EA">
        <w:t>for changes in highest</w:t>
      </w:r>
      <w:r>
        <w:t>-</w:t>
      </w:r>
      <w:r w:rsidRPr="005629EA">
        <w:t xml:space="preserve">value </w:t>
      </w:r>
      <w:r>
        <w:t xml:space="preserve">spectrum </w:t>
      </w:r>
      <w:r w:rsidRPr="005629EA">
        <w:t>use across bands</w:t>
      </w:r>
      <w:r w:rsidR="004D2D68">
        <w:t xml:space="preserve">. </w:t>
      </w:r>
    </w:p>
    <w:p w14:paraId="612FDF84" w14:textId="3227B806" w:rsidR="00D74381" w:rsidRDefault="004D2D68" w:rsidP="00F25AAF">
      <w:pPr>
        <w:keepNext/>
        <w:keepLines/>
      </w:pPr>
      <w:r>
        <w:lastRenderedPageBreak/>
        <w:t>M</w:t>
      </w:r>
      <w:r w:rsidR="00835321">
        <w:t>obile broadband</w:t>
      </w:r>
      <w:r w:rsidR="006975FE">
        <w:t xml:space="preserve"> applications</w:t>
      </w:r>
      <w:r w:rsidR="00835321">
        <w:t xml:space="preserve"> continu</w:t>
      </w:r>
      <w:r>
        <w:t>e</w:t>
      </w:r>
      <w:r w:rsidR="00835321">
        <w:t xml:space="preserve"> to be </w:t>
      </w:r>
      <w:r w:rsidR="0084769C">
        <w:t>a significant</w:t>
      </w:r>
      <w:r w:rsidR="00BF7D9F">
        <w:t xml:space="preserve"> source</w:t>
      </w:r>
      <w:r w:rsidR="005629C8">
        <w:t xml:space="preserve"> of demand</w:t>
      </w:r>
      <w:r w:rsidR="00835321" w:rsidRPr="00125FC9">
        <w:t>. We anticipate further spectrum will be needed to support the growth in broadband applications and mobile data.</w:t>
      </w:r>
      <w:r w:rsidR="006975FE">
        <w:t xml:space="preserve"> In addition, regulatory arrangements for broadband </w:t>
      </w:r>
      <w:r w:rsidR="00DF30FE">
        <w:t xml:space="preserve">need to </w:t>
      </w:r>
      <w:r w:rsidR="006975FE">
        <w:t>remain current and support</w:t>
      </w:r>
      <w:r w:rsidR="00DA4557">
        <w:t xml:space="preserve"> the</w:t>
      </w:r>
      <w:r w:rsidR="006975FE">
        <w:t xml:space="preserve"> latest technology developments.</w:t>
      </w:r>
      <w:r w:rsidR="00835321" w:rsidRPr="00125FC9">
        <w:t xml:space="preserve"> </w:t>
      </w:r>
    </w:p>
    <w:p w14:paraId="049EC444" w14:textId="25604523" w:rsidR="001F3495" w:rsidRDefault="00835321" w:rsidP="00D7755E">
      <w:r w:rsidRPr="00125FC9">
        <w:t xml:space="preserve">The </w:t>
      </w:r>
      <w:r w:rsidR="00ED0624">
        <w:t xml:space="preserve">current </w:t>
      </w:r>
      <w:r w:rsidR="000E0A8D">
        <w:t>FYSO</w:t>
      </w:r>
      <w:r w:rsidR="001F3495">
        <w:t xml:space="preserve">, including the forward allocation </w:t>
      </w:r>
      <w:r w:rsidR="00BA6010">
        <w:t>work plan</w:t>
      </w:r>
      <w:r w:rsidR="00E57BD4">
        <w:t xml:space="preserve"> </w:t>
      </w:r>
      <w:r w:rsidR="00875AEB">
        <w:t xml:space="preserve">and the </w:t>
      </w:r>
      <w:hyperlink r:id="rId24" w:history="1">
        <w:r w:rsidR="0058077F">
          <w:rPr>
            <w:rStyle w:val="Hyperlink"/>
          </w:rPr>
          <w:t>ACMA mobile broadband strategy</w:t>
        </w:r>
      </w:hyperlink>
      <w:r w:rsidR="001F3495">
        <w:t>,</w:t>
      </w:r>
      <w:r w:rsidRPr="00125FC9">
        <w:t xml:space="preserve"> </w:t>
      </w:r>
      <w:r>
        <w:t xml:space="preserve">remain the basis for the ACMA’s response to </w:t>
      </w:r>
      <w:r w:rsidR="00B84965">
        <w:t xml:space="preserve">wireless </w:t>
      </w:r>
      <w:r w:rsidR="00292BAD">
        <w:t>broadband spectrum demand.</w:t>
      </w:r>
    </w:p>
    <w:p w14:paraId="645D0469" w14:textId="1A80BAB9" w:rsidR="00AE4753" w:rsidRDefault="00B337BB" w:rsidP="00DE694D">
      <w:pPr>
        <w:pStyle w:val="ListBullet"/>
        <w:numPr>
          <w:ilvl w:val="0"/>
          <w:numId w:val="0"/>
        </w:numPr>
        <w:spacing w:after="240"/>
      </w:pPr>
      <w:bookmarkStart w:id="131" w:name="_Hlk1983307"/>
      <w:r>
        <w:t>T</w:t>
      </w:r>
      <w:r w:rsidR="003E6CF6">
        <w:t xml:space="preserve">he </w:t>
      </w:r>
      <w:r w:rsidR="003E6CF6" w:rsidDel="005218A1">
        <w:t xml:space="preserve">ACMA </w:t>
      </w:r>
      <w:r w:rsidR="003E6CF6">
        <w:t xml:space="preserve">recognises </w:t>
      </w:r>
      <w:r>
        <w:t xml:space="preserve">three </w:t>
      </w:r>
      <w:r w:rsidR="003E6CF6">
        <w:t xml:space="preserve">broad categories of use </w:t>
      </w:r>
      <w:r w:rsidR="00594766">
        <w:t xml:space="preserve">and </w:t>
      </w:r>
      <w:r w:rsidR="003E6CF6">
        <w:t xml:space="preserve">notes that deployments in practice may </w:t>
      </w:r>
      <w:r w:rsidR="00947B86">
        <w:t>reflect</w:t>
      </w:r>
      <w:r w:rsidR="002C75CA">
        <w:t xml:space="preserve"> </w:t>
      </w:r>
      <w:r w:rsidR="003E6CF6">
        <w:t>combination</w:t>
      </w:r>
      <w:r w:rsidR="002C75CA">
        <w:t>s</w:t>
      </w:r>
      <w:r w:rsidR="003E6CF6">
        <w:t xml:space="preserve"> of these categories. </w:t>
      </w:r>
    </w:p>
    <w:p w14:paraId="2B7A6E82" w14:textId="57880367" w:rsidR="00AE4753" w:rsidRDefault="003E6CF6" w:rsidP="00DE694D">
      <w:pPr>
        <w:pStyle w:val="ListBullet"/>
        <w:numPr>
          <w:ilvl w:val="0"/>
          <w:numId w:val="0"/>
        </w:numPr>
        <w:spacing w:after="240"/>
      </w:pPr>
      <w:r>
        <w:t>The first</w:t>
      </w:r>
      <w:r w:rsidR="004F5E5F">
        <w:t xml:space="preserve"> is that of</w:t>
      </w:r>
      <w:r>
        <w:t xml:space="preserve"> wide-area subscriber networks, served by ubiquitous base stations operated by one or more mobile service providers</w:t>
      </w:r>
      <w:r w:rsidR="00607236">
        <w:t>—</w:t>
      </w:r>
      <w:r>
        <w:t xml:space="preserve">this </w:t>
      </w:r>
      <w:r w:rsidR="00594766">
        <w:t xml:space="preserve">category </w:t>
      </w:r>
      <w:r>
        <w:t xml:space="preserve">could be considered ‘conventional’ telecommunication carrier </w:t>
      </w:r>
      <w:r w:rsidR="00594766">
        <w:t xml:space="preserve">mobile broadband </w:t>
      </w:r>
      <w:r>
        <w:t xml:space="preserve">operations. </w:t>
      </w:r>
    </w:p>
    <w:p w14:paraId="58EB320E" w14:textId="38D2A9CB" w:rsidR="00AE4753" w:rsidRDefault="003E6CF6">
      <w:pPr>
        <w:pStyle w:val="ListBullet"/>
        <w:numPr>
          <w:ilvl w:val="0"/>
          <w:numId w:val="0"/>
        </w:numPr>
        <w:spacing w:after="240"/>
      </w:pPr>
      <w:r>
        <w:t xml:space="preserve">The second </w:t>
      </w:r>
      <w:r w:rsidR="00594766">
        <w:t xml:space="preserve">category reflects </w:t>
      </w:r>
      <w:r>
        <w:t>more limited market subscriber networks over smaller, localised ar</w:t>
      </w:r>
      <w:r w:rsidR="00500299">
        <w:t>e</w:t>
      </w:r>
      <w:r>
        <w:t>as, including</w:t>
      </w:r>
      <w:r w:rsidR="00607236">
        <w:t xml:space="preserve">, </w:t>
      </w:r>
      <w:r>
        <w:t>but not limited to</w:t>
      </w:r>
      <w:r w:rsidR="00607236">
        <w:t xml:space="preserve">, </w:t>
      </w:r>
      <w:r>
        <w:t xml:space="preserve">fixed wireless broadband and fleet-oriented services. </w:t>
      </w:r>
    </w:p>
    <w:p w14:paraId="6D70BC1C" w14:textId="3A9C48E3" w:rsidR="00AB5442" w:rsidRPr="00DE694D" w:rsidRDefault="00AB5442" w:rsidP="00F25AAF">
      <w:pPr>
        <w:pStyle w:val="ListBullet"/>
        <w:numPr>
          <w:ilvl w:val="0"/>
          <w:numId w:val="0"/>
        </w:numPr>
        <w:tabs>
          <w:tab w:val="left" w:pos="720"/>
        </w:tabs>
      </w:pPr>
      <w:r w:rsidRPr="00DE694D">
        <w:t xml:space="preserve">The ACMA continues to provide support for local area fixed wireless access (FWA). </w:t>
      </w:r>
      <w:r w:rsidR="005A3409">
        <w:t xml:space="preserve">Services provided by </w:t>
      </w:r>
      <w:r w:rsidRPr="00DE694D">
        <w:t>Wireless ISP</w:t>
      </w:r>
      <w:r w:rsidR="00136E32">
        <w:t>s</w:t>
      </w:r>
      <w:r w:rsidRPr="00DE694D">
        <w:t xml:space="preserve"> (WISP</w:t>
      </w:r>
      <w:r w:rsidR="00136E32">
        <w:t>s</w:t>
      </w:r>
      <w:r w:rsidRPr="00DE694D">
        <w:t>) are a good example of this type of use. Many of the bands</w:t>
      </w:r>
      <w:r w:rsidR="000A6F02">
        <w:t xml:space="preserve"> that are suitable for </w:t>
      </w:r>
      <w:r w:rsidR="00BB6309">
        <w:t>FWA</w:t>
      </w:r>
      <w:r w:rsidRPr="00DE694D">
        <w:t xml:space="preserve"> are subject to spectrum licensing</w:t>
      </w:r>
      <w:r w:rsidR="00E24427">
        <w:t xml:space="preserve"> in </w:t>
      </w:r>
      <w:r w:rsidR="00BB6309">
        <w:t xml:space="preserve">the relevant </w:t>
      </w:r>
      <w:r w:rsidR="00E24427">
        <w:t>geographical ar</w:t>
      </w:r>
      <w:r w:rsidR="00136E32">
        <w:t>e</w:t>
      </w:r>
      <w:r w:rsidR="00E24427">
        <w:t>as</w:t>
      </w:r>
      <w:r w:rsidRPr="00DE694D">
        <w:t xml:space="preserve">. </w:t>
      </w:r>
      <w:r w:rsidR="00BB6309">
        <w:t xml:space="preserve">Spectrum licensing </w:t>
      </w:r>
      <w:r w:rsidR="00E24427">
        <w:t xml:space="preserve">arrangements </w:t>
      </w:r>
      <w:r w:rsidR="009D643B">
        <w:t>may</w:t>
      </w:r>
      <w:r w:rsidR="00E24427">
        <w:t xml:space="preserve"> </w:t>
      </w:r>
      <w:r w:rsidRPr="00DE694D">
        <w:t>not</w:t>
      </w:r>
      <w:r w:rsidR="009D643B">
        <w:t xml:space="preserve"> be</w:t>
      </w:r>
      <w:r w:rsidRPr="00DE694D">
        <w:t xml:space="preserve"> ideal for small and medium enterprises (SME)</w:t>
      </w:r>
      <w:r w:rsidR="00BB6309">
        <w:t xml:space="preserve">, and </w:t>
      </w:r>
      <w:r w:rsidRPr="00DE694D">
        <w:t>apparatus</w:t>
      </w:r>
      <w:r>
        <w:t>-</w:t>
      </w:r>
      <w:r w:rsidRPr="00DE694D">
        <w:t>licensed arrangements</w:t>
      </w:r>
      <w:r w:rsidR="00E24427">
        <w:t xml:space="preserve"> are often preferred</w:t>
      </w:r>
      <w:r w:rsidRPr="00DE694D">
        <w:t>. Part 2 discusses a number of possible bands and access arrangements at various stages of maturity that may provide options for SME FWA interests (recognising that not all bands, if implemented, will be suitable for all FWA deployment models):</w:t>
      </w:r>
    </w:p>
    <w:p w14:paraId="18ED7DB4" w14:textId="72E75E50" w:rsidR="00AB5442" w:rsidRPr="00DE694D" w:rsidRDefault="00AB5442" w:rsidP="00AB5442">
      <w:pPr>
        <w:pStyle w:val="ListBullet"/>
      </w:pPr>
      <w:r w:rsidRPr="00DE694D">
        <w:t>5.6 GHz band arrangements shared with weather radar</w:t>
      </w:r>
    </w:p>
    <w:p w14:paraId="69FC1BDC" w14:textId="311A2510" w:rsidR="00AB5442" w:rsidRPr="00DE694D" w:rsidRDefault="00AB5442" w:rsidP="00AB5442">
      <w:pPr>
        <w:pStyle w:val="ListBullet"/>
      </w:pPr>
      <w:r w:rsidRPr="00DE694D">
        <w:t>26 and 28 GHz</w:t>
      </w:r>
    </w:p>
    <w:p w14:paraId="07C5ACFA" w14:textId="530CB658" w:rsidR="00AB5442" w:rsidRPr="00DE694D" w:rsidRDefault="00AB5442" w:rsidP="00AB5442">
      <w:pPr>
        <w:pStyle w:val="ListBullet"/>
      </w:pPr>
      <w:r w:rsidRPr="00DE694D">
        <w:t>3.7</w:t>
      </w:r>
      <w:r>
        <w:t>–</w:t>
      </w:r>
      <w:r w:rsidRPr="00DE694D">
        <w:t>4.2 GHz</w:t>
      </w:r>
    </w:p>
    <w:p w14:paraId="4589B56E" w14:textId="1E7E994F" w:rsidR="00AB5442" w:rsidRPr="00DE694D" w:rsidRDefault="00FC5CF7" w:rsidP="00F25AAF">
      <w:pPr>
        <w:pStyle w:val="ListBulletLast"/>
      </w:pPr>
      <w:r>
        <w:t>a number of</w:t>
      </w:r>
      <w:r w:rsidRPr="00DE694D">
        <w:t xml:space="preserve"> </w:t>
      </w:r>
      <w:r w:rsidR="00AB5442" w:rsidRPr="00DE694D">
        <w:t>sub 6 GHz bands that may be candidates for new spectrum</w:t>
      </w:r>
      <w:r w:rsidR="00AB5442">
        <w:t>-</w:t>
      </w:r>
      <w:r w:rsidR="00AB5442" w:rsidRPr="00DE694D">
        <w:t>sharing approaches</w:t>
      </w:r>
      <w:r w:rsidR="00F25AAF">
        <w:t>.</w:t>
      </w:r>
    </w:p>
    <w:p w14:paraId="0D6F8E81" w14:textId="4F365854" w:rsidR="003E6CF6" w:rsidRDefault="003E6CF6" w:rsidP="00DE694D">
      <w:pPr>
        <w:pStyle w:val="ListBullet"/>
        <w:numPr>
          <w:ilvl w:val="0"/>
          <w:numId w:val="0"/>
        </w:numPr>
        <w:spacing w:after="240"/>
      </w:pPr>
      <w:r w:rsidRPr="00AB5442">
        <w:t xml:space="preserve">The final </w:t>
      </w:r>
      <w:r w:rsidR="00AB5442" w:rsidRPr="00DE694D">
        <w:t>category of wireless broadband</w:t>
      </w:r>
      <w:r>
        <w:t xml:space="preserve"> covers business enterprise services operated by private entities within the confines of their own premises or land estate</w:t>
      </w:r>
      <w:r w:rsidR="00607236">
        <w:t>—</w:t>
      </w:r>
      <w:r>
        <w:t>for example</w:t>
      </w:r>
      <w:r w:rsidR="004F5E5F">
        <w:t>,</w:t>
      </w:r>
      <w:r>
        <w:t xml:space="preserve"> a hospital, education precinct or an industrial facility.</w:t>
      </w:r>
    </w:p>
    <w:p w14:paraId="0FE27B90" w14:textId="10E3A816" w:rsidR="00B337BB" w:rsidRDefault="00875AEB" w:rsidP="00DE694D">
      <w:pPr>
        <w:spacing w:after="80"/>
      </w:pPr>
      <w:bookmarkStart w:id="132" w:name="_Toc509581801"/>
      <w:bookmarkStart w:id="133" w:name="_Toc509585117"/>
      <w:bookmarkStart w:id="134" w:name="_Toc509585653"/>
      <w:bookmarkStart w:id="135" w:name="_Toc510104932"/>
      <w:bookmarkStart w:id="136" w:name="_Toc510105729"/>
      <w:r>
        <w:t xml:space="preserve">The rapid development of the next generation of wireless broadband technology, known as 5G, has emerged as </w:t>
      </w:r>
      <w:r w:rsidR="005629C8">
        <w:t>a key</w:t>
      </w:r>
      <w:r>
        <w:t xml:space="preserve"> driver of </w:t>
      </w:r>
      <w:r w:rsidR="00BF7D9F">
        <w:t xml:space="preserve">change to existing </w:t>
      </w:r>
      <w:r>
        <w:t xml:space="preserve">spectrum </w:t>
      </w:r>
      <w:r w:rsidR="00BF7D9F">
        <w:t>arrangements</w:t>
      </w:r>
      <w:r>
        <w:t xml:space="preserve">. This is </w:t>
      </w:r>
      <w:r w:rsidR="00B337BB">
        <w:t>due to:</w:t>
      </w:r>
    </w:p>
    <w:p w14:paraId="54D1D523" w14:textId="2CE1726D" w:rsidR="00B337BB" w:rsidRDefault="00BF7D9F" w:rsidP="00497A4A">
      <w:pPr>
        <w:pStyle w:val="ListBullet"/>
      </w:pPr>
      <w:r>
        <w:t xml:space="preserve">the potential for </w:t>
      </w:r>
      <w:r w:rsidR="003E6CF6">
        <w:t>re-farming</w:t>
      </w:r>
      <w:r>
        <w:t xml:space="preserve"> additional</w:t>
      </w:r>
      <w:r w:rsidR="00875AEB">
        <w:t xml:space="preserve"> spectrum bands to support its deployment</w:t>
      </w:r>
    </w:p>
    <w:p w14:paraId="2C6F7238" w14:textId="463EADA3" w:rsidR="00B337BB" w:rsidRDefault="00594766" w:rsidP="00497A4A">
      <w:pPr>
        <w:pStyle w:val="ListBullet"/>
      </w:pPr>
      <w:r>
        <w:t xml:space="preserve">the </w:t>
      </w:r>
      <w:r w:rsidR="00BF7D9F">
        <w:t>characteristics</w:t>
      </w:r>
      <w:r>
        <w:t xml:space="preserve"> of 5G</w:t>
      </w:r>
    </w:p>
    <w:p w14:paraId="59DC1B1A" w14:textId="02C74B98" w:rsidR="0084523B" w:rsidRDefault="00BF7D9F" w:rsidP="00497A4A">
      <w:pPr>
        <w:pStyle w:val="ListBulletLast"/>
      </w:pPr>
      <w:r>
        <w:t xml:space="preserve">some of the bands into which </w:t>
      </w:r>
      <w:r w:rsidR="00594766">
        <w:t xml:space="preserve">5G </w:t>
      </w:r>
      <w:r>
        <w:t>will be introduced</w:t>
      </w:r>
      <w:r w:rsidR="00B337BB">
        <w:t xml:space="preserve"> </w:t>
      </w:r>
      <w:r>
        <w:t>challenge us to consider new ways to</w:t>
      </w:r>
      <w:r w:rsidR="00875AEB">
        <w:t xml:space="preserve"> plan and licen</w:t>
      </w:r>
      <w:r>
        <w:t>se</w:t>
      </w:r>
      <w:r w:rsidR="00875AEB">
        <w:t xml:space="preserve"> that spectrum.</w:t>
      </w:r>
    </w:p>
    <w:p w14:paraId="3A1DA825" w14:textId="77777777" w:rsidR="00B337BB" w:rsidRDefault="00D26845" w:rsidP="00D7755E">
      <w:pPr>
        <w:rPr>
          <w:rFonts w:cs="Arial"/>
        </w:rPr>
      </w:pPr>
      <w:r>
        <w:rPr>
          <w:rFonts w:cs="Arial"/>
        </w:rPr>
        <w:t xml:space="preserve">Reviewing the arrangements in bands that are already licensed for wireless broadband is important to ensure existing allocations are efficient and can cater for new technology developments such as 5G. </w:t>
      </w:r>
    </w:p>
    <w:p w14:paraId="6C7CEBB2" w14:textId="01952C9E" w:rsidR="00D26845" w:rsidRDefault="00D26845" w:rsidP="00D7755E">
      <w:r>
        <w:t xml:space="preserve">The </w:t>
      </w:r>
      <w:r w:rsidRPr="009962F3">
        <w:t xml:space="preserve">ACMA </w:t>
      </w:r>
      <w:r>
        <w:t>intends to commence a discussion with industry early in the 2019</w:t>
      </w:r>
      <w:r w:rsidR="004E64E0">
        <w:t>–</w:t>
      </w:r>
      <w:r>
        <w:t xml:space="preserve">20 year (see under </w:t>
      </w:r>
      <w:r w:rsidR="00ED6893" w:rsidRPr="00DE694D">
        <w:t>Optimising established planning frameworks</w:t>
      </w:r>
      <w:r>
        <w:t xml:space="preserve"> in Part 2</w:t>
      </w:r>
      <w:r w:rsidRPr="009962F3" w:rsidDel="00205514">
        <w:t>)</w:t>
      </w:r>
      <w:r>
        <w:t>.</w:t>
      </w:r>
    </w:p>
    <w:bookmarkEnd w:id="131"/>
    <w:p w14:paraId="6C088956" w14:textId="1143AEEC" w:rsidR="005629C8" w:rsidRDefault="0084523B" w:rsidP="00D7755E">
      <w:r>
        <w:lastRenderedPageBreak/>
        <w:t xml:space="preserve">The definition of 5G </w:t>
      </w:r>
      <w:r w:rsidR="003E6CF6">
        <w:t xml:space="preserve">along with </w:t>
      </w:r>
      <w:r w:rsidR="006B7748">
        <w:t xml:space="preserve">related </w:t>
      </w:r>
      <w:r w:rsidR="003E6CF6">
        <w:t>spectrum harmonisation and technology specifications</w:t>
      </w:r>
      <w:r w:rsidR="006B7748">
        <w:t xml:space="preserve"> and </w:t>
      </w:r>
      <w:r w:rsidR="003E6CF6">
        <w:t xml:space="preserve">standards </w:t>
      </w:r>
      <w:r w:rsidR="00607236">
        <w:t xml:space="preserve">has </w:t>
      </w:r>
      <w:r w:rsidR="003E6CF6">
        <w:t>continued to</w:t>
      </w:r>
      <w:r>
        <w:t xml:space="preserve"> firm over the past 12 months</w:t>
      </w:r>
      <w:r w:rsidR="003E6CF6">
        <w:t>.</w:t>
      </w:r>
      <w:r>
        <w:t xml:space="preserve"> </w:t>
      </w:r>
      <w:r w:rsidR="003E6CF6">
        <w:t xml:space="preserve">Work has progressed in </w:t>
      </w:r>
      <w:r>
        <w:t xml:space="preserve">the </w:t>
      </w:r>
      <w:r w:rsidRPr="00A60850">
        <w:rPr>
          <w:rFonts w:cs="Arial"/>
          <w:szCs w:val="20"/>
        </w:rPr>
        <w:t>I</w:t>
      </w:r>
      <w:r>
        <w:rPr>
          <w:rFonts w:cs="Arial"/>
          <w:szCs w:val="20"/>
        </w:rPr>
        <w:t xml:space="preserve">nternational </w:t>
      </w:r>
      <w:r w:rsidRPr="00A60850">
        <w:rPr>
          <w:rFonts w:cs="Arial"/>
          <w:szCs w:val="20"/>
        </w:rPr>
        <w:t>T</w:t>
      </w:r>
      <w:r>
        <w:rPr>
          <w:rFonts w:cs="Arial"/>
          <w:szCs w:val="20"/>
        </w:rPr>
        <w:t xml:space="preserve">elecommunication </w:t>
      </w:r>
      <w:r w:rsidRPr="00A60850">
        <w:rPr>
          <w:rFonts w:cs="Arial"/>
          <w:szCs w:val="20"/>
        </w:rPr>
        <w:t>U</w:t>
      </w:r>
      <w:r>
        <w:rPr>
          <w:rFonts w:cs="Arial"/>
          <w:szCs w:val="20"/>
        </w:rPr>
        <w:t>nion</w:t>
      </w:r>
      <w:r w:rsidRPr="00A60850">
        <w:rPr>
          <w:rFonts w:cs="Arial"/>
          <w:szCs w:val="20"/>
        </w:rPr>
        <w:t xml:space="preserve"> Ra</w:t>
      </w:r>
      <w:r>
        <w:rPr>
          <w:rFonts w:cs="Arial"/>
          <w:szCs w:val="20"/>
        </w:rPr>
        <w:t>diocommunication Sector (ITU-R)</w:t>
      </w:r>
      <w:r>
        <w:t xml:space="preserve"> </w:t>
      </w:r>
      <w:r w:rsidR="00293704">
        <w:t>to</w:t>
      </w:r>
      <w:r>
        <w:t xml:space="preserve"> defin</w:t>
      </w:r>
      <w:r w:rsidR="00293704">
        <w:t>e</w:t>
      </w:r>
      <w:r>
        <w:t xml:space="preserve"> IMT-2020</w:t>
      </w:r>
      <w:r>
        <w:rPr>
          <w:rStyle w:val="FootnoteReference"/>
        </w:rPr>
        <w:footnoteReference w:id="4"/>
      </w:r>
      <w:r w:rsidR="00EE1182">
        <w:t>,</w:t>
      </w:r>
      <w:r>
        <w:t xml:space="preserve"> </w:t>
      </w:r>
      <w:r w:rsidR="003E6CF6">
        <w:t xml:space="preserve">and spectrum harmonisation considerations relating to the </w:t>
      </w:r>
      <w:r w:rsidR="00DE2074">
        <w:t>WRC</w:t>
      </w:r>
      <w:r w:rsidR="00742B4C">
        <w:t xml:space="preserve"> 2019</w:t>
      </w:r>
      <w:r w:rsidR="003E6CF6">
        <w:t xml:space="preserve">. In September 2018, </w:t>
      </w:r>
      <w:r>
        <w:t>3GPP</w:t>
      </w:r>
      <w:r w:rsidR="003E6CF6">
        <w:t xml:space="preserve"> completed its ‘main drop’ of 5G-related specifications in</w:t>
      </w:r>
      <w:r>
        <w:t xml:space="preserve"> Release 15.</w:t>
      </w:r>
      <w:r>
        <w:rPr>
          <w:rStyle w:val="FootnoteReference"/>
        </w:rPr>
        <w:footnoteReference w:id="5"/>
      </w:r>
      <w:r>
        <w:t xml:space="preserve"> </w:t>
      </w:r>
    </w:p>
    <w:p w14:paraId="1E89A0BB" w14:textId="4ABFAEBB" w:rsidR="005629C8" w:rsidRDefault="003E6CF6" w:rsidP="00DE694D">
      <w:pPr>
        <w:keepNext/>
        <w:keepLines/>
        <w:spacing w:after="80"/>
      </w:pPr>
      <w:r>
        <w:rPr>
          <w:color w:val="000000"/>
        </w:rPr>
        <w:t>Key characteristics</w:t>
      </w:r>
      <w:r w:rsidR="0084523B" w:rsidRPr="003F5BF2">
        <w:rPr>
          <w:color w:val="000000"/>
        </w:rPr>
        <w:t xml:space="preserve"> </w:t>
      </w:r>
      <w:r w:rsidR="0084523B">
        <w:rPr>
          <w:color w:val="000000"/>
        </w:rPr>
        <w:t>of</w:t>
      </w:r>
      <w:r w:rsidR="0084523B" w:rsidRPr="003F5BF2">
        <w:rPr>
          <w:color w:val="000000"/>
        </w:rPr>
        <w:t xml:space="preserve"> 5G that </w:t>
      </w:r>
      <w:r w:rsidR="0084523B">
        <w:rPr>
          <w:color w:val="000000"/>
        </w:rPr>
        <w:t>distinguish</w:t>
      </w:r>
      <w:r w:rsidR="0084523B" w:rsidRPr="003F5BF2">
        <w:rPr>
          <w:color w:val="000000"/>
        </w:rPr>
        <w:t xml:space="preserve"> it </w:t>
      </w:r>
      <w:r w:rsidR="0084523B" w:rsidRPr="00D1185A">
        <w:t>from previous developments continue to include</w:t>
      </w:r>
      <w:r w:rsidR="005629C8">
        <w:t>:</w:t>
      </w:r>
    </w:p>
    <w:p w14:paraId="20E7DC69" w14:textId="77777777" w:rsidR="005629C8" w:rsidRPr="00DE694D" w:rsidRDefault="0084523B" w:rsidP="00E26672">
      <w:pPr>
        <w:pStyle w:val="ListBullet"/>
      </w:pPr>
      <w:r w:rsidRPr="00E26672">
        <w:t>support for very low latency and ultra-reliable communications</w:t>
      </w:r>
    </w:p>
    <w:p w14:paraId="79FF5DA4" w14:textId="77777777" w:rsidR="0047527A" w:rsidRPr="00BE7AFE" w:rsidRDefault="0084523B" w:rsidP="00DE694D">
      <w:pPr>
        <w:pStyle w:val="ListBullet"/>
        <w:rPr>
          <w:color w:val="000000"/>
        </w:rPr>
      </w:pPr>
      <w:r w:rsidRPr="00D1185A">
        <w:t>enhanced mobile broadband enabling data rates exceeding that of LTE/4G</w:t>
      </w:r>
    </w:p>
    <w:p w14:paraId="54B850F1" w14:textId="044814CE" w:rsidR="0047527A" w:rsidRPr="00596594" w:rsidRDefault="0084523B" w:rsidP="00DE694D">
      <w:pPr>
        <w:pStyle w:val="ListBullet"/>
        <w:rPr>
          <w:color w:val="000000"/>
        </w:rPr>
      </w:pPr>
      <w:r>
        <w:t>an ‘anytime, anywhere, anyone and anything’ capability, which is anticipated</w:t>
      </w:r>
      <w:r w:rsidDel="00D1185A">
        <w:t xml:space="preserve"> </w:t>
      </w:r>
      <w:r>
        <w:t>to play a role in supporting multiple</w:t>
      </w:r>
      <w:r w:rsidR="0025695C">
        <w:t>-</w:t>
      </w:r>
      <w:r>
        <w:t xml:space="preserve">device </w:t>
      </w:r>
      <w:r w:rsidR="0025695C">
        <w:t>machine-to-machine</w:t>
      </w:r>
      <w:r>
        <w:t xml:space="preserve"> communications and a wider deployment of the </w:t>
      </w:r>
      <w:r w:rsidRPr="00C367FC">
        <w:t>IoT</w:t>
      </w:r>
    </w:p>
    <w:p w14:paraId="3EB9F824" w14:textId="5ADB7186" w:rsidR="00856E1C" w:rsidRPr="00BE7AFE" w:rsidRDefault="00856E1C" w:rsidP="00DE694D">
      <w:pPr>
        <w:pStyle w:val="ListBullet"/>
        <w:rPr>
          <w:color w:val="000000"/>
        </w:rPr>
      </w:pPr>
      <w:r>
        <w:t xml:space="preserve">use of frequency ranges in the previously </w:t>
      </w:r>
      <w:r w:rsidR="00293704">
        <w:t xml:space="preserve">little-used </w:t>
      </w:r>
      <w:r>
        <w:t>millimetre wave (</w:t>
      </w:r>
      <w:proofErr w:type="spellStart"/>
      <w:r>
        <w:t>mmWave</w:t>
      </w:r>
      <w:proofErr w:type="spellEnd"/>
      <w:r>
        <w:t>)</w:t>
      </w:r>
      <w:r w:rsidRPr="003F5BF2">
        <w:t xml:space="preserve"> bands</w:t>
      </w:r>
      <w:r>
        <w:rPr>
          <w:rStyle w:val="FootnoteReference"/>
        </w:rPr>
        <w:footnoteReference w:id="6"/>
      </w:r>
    </w:p>
    <w:p w14:paraId="3E060AD6" w14:textId="7AAE7E24" w:rsidR="0084523B" w:rsidRDefault="0047527A" w:rsidP="00E26672">
      <w:pPr>
        <w:pStyle w:val="ListBulletLast"/>
      </w:pPr>
      <w:r w:rsidRPr="0047527A">
        <w:t xml:space="preserve">use of broader channel bandwidths than </w:t>
      </w:r>
      <w:r w:rsidR="00BF7D9F">
        <w:t>are</w:t>
      </w:r>
      <w:r w:rsidRPr="0047527A">
        <w:t xml:space="preserve"> currently used for wireless broadband services, particularly in the mid and high bands where channel bandwidths of hundreds of MHz are being contemplated.</w:t>
      </w:r>
      <w:r w:rsidR="00447762">
        <w:t xml:space="preserve"> </w:t>
      </w:r>
    </w:p>
    <w:p w14:paraId="08DA930E" w14:textId="0F3B884E" w:rsidR="0047527A" w:rsidRDefault="0084523B" w:rsidP="00E26672">
      <w:pPr>
        <w:pStyle w:val="ListBullet"/>
        <w:numPr>
          <w:ilvl w:val="0"/>
          <w:numId w:val="0"/>
        </w:numPr>
      </w:pPr>
      <w:r w:rsidRPr="003F5BF2">
        <w:t xml:space="preserve">From a spectrum </w:t>
      </w:r>
      <w:r w:rsidR="00353B4E">
        <w:t xml:space="preserve">management </w:t>
      </w:r>
      <w:r w:rsidRPr="003F5BF2">
        <w:t>perspective</w:t>
      </w:r>
      <w:r>
        <w:t>,</w:t>
      </w:r>
      <w:r w:rsidRPr="003F5BF2">
        <w:t xml:space="preserve"> 5G </w:t>
      </w:r>
      <w:r w:rsidR="00856E1C">
        <w:t>will</w:t>
      </w:r>
      <w:r w:rsidRPr="003F5BF2">
        <w:t xml:space="preserve"> </w:t>
      </w:r>
      <w:r w:rsidR="0075534E">
        <w:t xml:space="preserve">utilise spectrum </w:t>
      </w:r>
      <w:r w:rsidR="0047527A">
        <w:t xml:space="preserve">across </w:t>
      </w:r>
      <w:r w:rsidR="00BF7D9F">
        <w:t xml:space="preserve">an unprecedentedly wide range of </w:t>
      </w:r>
      <w:r w:rsidR="0075534E">
        <w:t>frequency bands. This will include</w:t>
      </w:r>
      <w:r w:rsidR="0047527A">
        <w:t>:</w:t>
      </w:r>
    </w:p>
    <w:p w14:paraId="4448355C" w14:textId="77777777" w:rsidR="0047527A" w:rsidRDefault="0075534E" w:rsidP="00DE694D">
      <w:pPr>
        <w:pStyle w:val="ListBullet"/>
      </w:pPr>
      <w:r>
        <w:t>‘low</w:t>
      </w:r>
      <w:r w:rsidR="00EE1182">
        <w:t>-</w:t>
      </w:r>
      <w:r>
        <w:t>band’ spectrum below 1 GHz</w:t>
      </w:r>
      <w:r w:rsidR="00EE1182">
        <w:t>,</w:t>
      </w:r>
      <w:r w:rsidR="0084523B" w:rsidRPr="003F5BF2">
        <w:t xml:space="preserve"> </w:t>
      </w:r>
      <w:r>
        <w:t>much of which is already used for mobile broadband networks</w:t>
      </w:r>
    </w:p>
    <w:p w14:paraId="2133E9E2" w14:textId="4C191F5D" w:rsidR="0047527A" w:rsidRDefault="0075534E" w:rsidP="00DE694D">
      <w:pPr>
        <w:pStyle w:val="ListBullet"/>
      </w:pPr>
      <w:r>
        <w:t>‘mid</w:t>
      </w:r>
      <w:r w:rsidR="00EE1182">
        <w:t>-</w:t>
      </w:r>
      <w:r>
        <w:t>band’ spectrum between 1 and 6 GHz</w:t>
      </w:r>
      <w:r w:rsidR="00082995">
        <w:t>, some of which is already used for wireless broadband</w:t>
      </w:r>
      <w:r>
        <w:t xml:space="preserve"> </w:t>
      </w:r>
    </w:p>
    <w:p w14:paraId="5FA04650" w14:textId="6E3A0C28" w:rsidR="0047527A" w:rsidRDefault="0075534E" w:rsidP="00DE694D">
      <w:pPr>
        <w:pStyle w:val="ListBulletLast"/>
      </w:pPr>
      <w:r>
        <w:t>’high bands’</w:t>
      </w:r>
      <w:r w:rsidR="00EE1182">
        <w:t>,</w:t>
      </w:r>
      <w:r w:rsidR="00082995">
        <w:t xml:space="preserve"> above 6 GHz, specifically the</w:t>
      </w:r>
      <w:r>
        <w:t xml:space="preserve"> </w:t>
      </w:r>
      <w:proofErr w:type="spellStart"/>
      <w:r>
        <w:t>mmWave</w:t>
      </w:r>
      <w:proofErr w:type="spellEnd"/>
      <w:r w:rsidRPr="003F5BF2">
        <w:t xml:space="preserve"> bands</w:t>
      </w:r>
      <w:r>
        <w:t>.</w:t>
      </w:r>
    </w:p>
    <w:p w14:paraId="599F182B" w14:textId="77777777" w:rsidR="00AE4753" w:rsidRDefault="00AC7D4B">
      <w:r>
        <w:t>In addition to</w:t>
      </w:r>
      <w:r w:rsidR="00241986">
        <w:t xml:space="preserve"> considering</w:t>
      </w:r>
      <w:r>
        <w:t xml:space="preserve"> the use of ‘new’ frequency bands</w:t>
      </w:r>
      <w:r w:rsidR="00241986">
        <w:t xml:space="preserve"> (bands previously unused for wireless broadband)</w:t>
      </w:r>
      <w:r>
        <w:t>, w</w:t>
      </w:r>
      <w:r w:rsidRPr="009F20B4">
        <w:t>e expect t</w:t>
      </w:r>
      <w:r>
        <w:t>hat</w:t>
      </w:r>
      <w:r w:rsidRPr="009F20B4">
        <w:t xml:space="preserve"> many of the bands already available for broadband in Australia will be re-farmed </w:t>
      </w:r>
      <w:r>
        <w:t xml:space="preserve">over time by </w:t>
      </w:r>
      <w:r w:rsidR="0047527A">
        <w:t xml:space="preserve">incumbent users </w:t>
      </w:r>
      <w:r>
        <w:t>for 5G technologies.</w:t>
      </w:r>
      <w:r w:rsidR="001B473D">
        <w:t xml:space="preserve"> </w:t>
      </w:r>
    </w:p>
    <w:p w14:paraId="22B64248" w14:textId="6A62E86B" w:rsidR="00AC7D4B" w:rsidRDefault="001B473D" w:rsidP="00D7755E">
      <w:r>
        <w:t>This re-farming will require the ACMA</w:t>
      </w:r>
      <w:r w:rsidR="00607236">
        <w:t>,</w:t>
      </w:r>
      <w:r>
        <w:t xml:space="preserve"> in conjunction with licensees and other potentially affected parties</w:t>
      </w:r>
      <w:r w:rsidR="004F5E5F">
        <w:t>,</w:t>
      </w:r>
      <w:r>
        <w:t xml:space="preserve"> to revise existing technical frameworks to ensure they are compatible with 5G by permitting implementation of the related technology advances. </w:t>
      </w:r>
    </w:p>
    <w:p w14:paraId="24CEC953" w14:textId="6172C027" w:rsidR="000F51E4" w:rsidRPr="00414F57" w:rsidRDefault="0075534E" w:rsidP="0062732F">
      <w:r>
        <w:t xml:space="preserve">Globally, 5G is </w:t>
      </w:r>
      <w:r w:rsidDel="004D2D68">
        <w:t xml:space="preserve">seen as </w:t>
      </w:r>
      <w:r w:rsidR="004D2D68">
        <w:t>having</w:t>
      </w:r>
      <w:r>
        <w:t xml:space="preserve"> </w:t>
      </w:r>
      <w:r w:rsidR="00AC7D4B">
        <w:t xml:space="preserve">potentially revolutionary </w:t>
      </w:r>
      <w:r>
        <w:t>economy</w:t>
      </w:r>
      <w:r w:rsidR="00EE1182">
        <w:t>-</w:t>
      </w:r>
      <w:r>
        <w:t xml:space="preserve">wide benefits, including in areas not traditionally </w:t>
      </w:r>
      <w:r w:rsidR="004D2D68">
        <w:t>associated</w:t>
      </w:r>
      <w:r>
        <w:t xml:space="preserve"> </w:t>
      </w:r>
      <w:r w:rsidR="004D2D68">
        <w:t>with fixed and</w:t>
      </w:r>
      <w:r w:rsidR="002256FC">
        <w:t xml:space="preserve"> </w:t>
      </w:r>
      <w:r w:rsidR="004D2D68">
        <w:t>mobile wireless broadband</w:t>
      </w:r>
      <w:r>
        <w:t xml:space="preserve">. </w:t>
      </w:r>
      <w:bookmarkEnd w:id="132"/>
      <w:bookmarkEnd w:id="133"/>
      <w:bookmarkEnd w:id="134"/>
      <w:bookmarkEnd w:id="135"/>
      <w:bookmarkEnd w:id="136"/>
      <w:r w:rsidR="002F3686">
        <w:t xml:space="preserve">The ACMA contributes to the work of the government’s </w:t>
      </w:r>
      <w:r w:rsidR="00F03D7F" w:rsidRPr="00CE00C9">
        <w:t>working group to drive the deployment of 5G mobile technology in Australia</w:t>
      </w:r>
      <w:r w:rsidR="00F7439E" w:rsidRPr="00CE00C9">
        <w:t>.</w:t>
      </w:r>
      <w:r w:rsidR="00F03D7F" w:rsidRPr="00CE00C9">
        <w:rPr>
          <w:rStyle w:val="FootnoteReference"/>
        </w:rPr>
        <w:footnoteReference w:id="7"/>
      </w:r>
    </w:p>
    <w:p w14:paraId="1B624D36" w14:textId="58CEBA57" w:rsidR="00982A9F" w:rsidRDefault="00982A9F" w:rsidP="00982A9F">
      <w:r>
        <w:rPr>
          <w:color w:val="12293A"/>
          <w:lang w:val="en"/>
        </w:rPr>
        <w:t xml:space="preserve">In April 2018, </w:t>
      </w:r>
      <w:proofErr w:type="spellStart"/>
      <w:r>
        <w:rPr>
          <w:color w:val="12293A"/>
          <w:lang w:val="en"/>
        </w:rPr>
        <w:t>DoCA</w:t>
      </w:r>
      <w:proofErr w:type="spellEnd"/>
      <w:r>
        <w:rPr>
          <w:color w:val="12293A"/>
          <w:lang w:val="en"/>
        </w:rPr>
        <w:t xml:space="preserve"> released the </w:t>
      </w:r>
      <w:hyperlink r:id="rId25" w:history="1">
        <w:r w:rsidRPr="00DE694D">
          <w:rPr>
            <w:rStyle w:val="Hyperlink"/>
            <w:i/>
            <w:lang w:val="en"/>
          </w:rPr>
          <w:t>Impacts of 5G on productivity and economic growth</w:t>
        </w:r>
      </w:hyperlink>
      <w:r>
        <w:rPr>
          <w:color w:val="12293A"/>
          <w:lang w:val="en"/>
        </w:rPr>
        <w:t xml:space="preserve"> research paper </w:t>
      </w:r>
      <w:r w:rsidR="0025695C">
        <w:rPr>
          <w:color w:val="12293A"/>
          <w:lang w:val="en"/>
        </w:rPr>
        <w:t>which</w:t>
      </w:r>
      <w:r>
        <w:rPr>
          <w:color w:val="12293A"/>
          <w:lang w:val="en"/>
        </w:rPr>
        <w:t xml:space="preserve"> conservatively estimated that 5G </w:t>
      </w:r>
      <w:r>
        <w:t>is likely to improve productivity across the economy. This could add an additional $1,300 to $2,000 in gross domestic product per person after the first decade of the rollout.</w:t>
      </w:r>
    </w:p>
    <w:p w14:paraId="2C0E4E05" w14:textId="2DCDD30D" w:rsidR="005629C8" w:rsidRDefault="00835321" w:rsidP="00D7755E">
      <w:r>
        <w:lastRenderedPageBreak/>
        <w:t xml:space="preserve">The ACMA acknowledges the importance and </w:t>
      </w:r>
      <w:r w:rsidR="007269E8">
        <w:t>urgency</w:t>
      </w:r>
      <w:r>
        <w:t xml:space="preserve"> of </w:t>
      </w:r>
      <w:r w:rsidR="007269E8">
        <w:t xml:space="preserve">addressing the </w:t>
      </w:r>
      <w:r>
        <w:t xml:space="preserve">5G spectrum </w:t>
      </w:r>
      <w:r w:rsidR="001F76E6">
        <w:t xml:space="preserve">needs </w:t>
      </w:r>
      <w:r>
        <w:t>and is committed to ensuring that Australia is well placed to take advantage of the opportunities offered by 5G.</w:t>
      </w:r>
      <w:r w:rsidR="005F2DB5">
        <w:t xml:space="preserve"> The ACMA continues to implement arrangements to support the rollout of 5G services in Australia, across a number of bands.</w:t>
      </w:r>
      <w:r w:rsidR="001F76E6">
        <w:t xml:space="preserve"> </w:t>
      </w:r>
    </w:p>
    <w:p w14:paraId="50698963" w14:textId="74979349" w:rsidR="00440CC7" w:rsidRDefault="00512E30" w:rsidP="00D7755E">
      <w:r w:rsidRPr="00414F57">
        <w:t>Each of the broad bands identified for wireless broadband</w:t>
      </w:r>
      <w:r w:rsidR="004602C5">
        <w:t xml:space="preserve"> </w:t>
      </w:r>
      <w:r w:rsidRPr="00414F57">
        <w:t xml:space="preserve">requires a specific approach by the ACMA. This </w:t>
      </w:r>
      <w:r w:rsidR="00387B74">
        <w:t>i</w:t>
      </w:r>
      <w:r w:rsidR="0002172A">
        <w:t xml:space="preserve">s </w:t>
      </w:r>
      <w:r w:rsidRPr="00414F57">
        <w:t xml:space="preserve">because different </w:t>
      </w:r>
      <w:r w:rsidR="00D82D08" w:rsidRPr="00414F57">
        <w:t>considerations apply</w:t>
      </w:r>
      <w:r w:rsidR="002C6A94" w:rsidRPr="00414F57">
        <w:t>,</w:t>
      </w:r>
      <w:r w:rsidR="00D82D08" w:rsidRPr="00414F57">
        <w:t xml:space="preserve"> such as</w:t>
      </w:r>
      <w:r w:rsidR="004602C5">
        <w:t xml:space="preserve"> intrinsic features of the band (</w:t>
      </w:r>
      <w:r w:rsidR="00A2079D">
        <w:t>for example,</w:t>
      </w:r>
      <w:r w:rsidR="004602C5">
        <w:t xml:space="preserve"> propagation characteristics),</w:t>
      </w:r>
      <w:r w:rsidR="00D82D08" w:rsidRPr="00414F57">
        <w:t xml:space="preserve"> </w:t>
      </w:r>
      <w:r w:rsidRPr="00414F57">
        <w:t>international harmonisation and standardisation, domestic policy, legacy planning and allocation arrangements</w:t>
      </w:r>
      <w:r w:rsidR="002C6A94" w:rsidRPr="00414F57">
        <w:t>,</w:t>
      </w:r>
      <w:r w:rsidRPr="00414F57">
        <w:t xml:space="preserve"> and other </w:t>
      </w:r>
      <w:r w:rsidR="00D82D08" w:rsidRPr="00414F57">
        <w:t xml:space="preserve">incumbency </w:t>
      </w:r>
      <w:r w:rsidRPr="00414F57">
        <w:t>factors</w:t>
      </w:r>
      <w:r w:rsidR="00D82D08" w:rsidRPr="00414F57">
        <w:t>.</w:t>
      </w:r>
    </w:p>
    <w:p w14:paraId="79F41110" w14:textId="5012CEF7" w:rsidR="001C7338" w:rsidRPr="00414F57" w:rsidRDefault="001C7338" w:rsidP="00E94604">
      <w:pPr>
        <w:pStyle w:val="BodySubHeader"/>
      </w:pPr>
      <w:r>
        <w:t>Bands below 1 GHz</w:t>
      </w:r>
    </w:p>
    <w:p w14:paraId="4950B7BA" w14:textId="20CD5CE7" w:rsidR="00D82D08" w:rsidRPr="00414F57" w:rsidRDefault="00512E30" w:rsidP="00D7755E">
      <w:pPr>
        <w:spacing w:after="80"/>
      </w:pPr>
      <w:r w:rsidRPr="00414F57">
        <w:t>In the bands below 1 GHz, the A</w:t>
      </w:r>
      <w:r w:rsidR="00361357" w:rsidRPr="00414F57">
        <w:t>CMA</w:t>
      </w:r>
      <w:r w:rsidRPr="00414F57">
        <w:t xml:space="preserve"> has two primary short</w:t>
      </w:r>
      <w:r w:rsidR="002C6A94" w:rsidRPr="00414F57">
        <w:t>-</w:t>
      </w:r>
      <w:r w:rsidRPr="00414F57">
        <w:t>to</w:t>
      </w:r>
      <w:r w:rsidR="00176275">
        <w:t>-</w:t>
      </w:r>
      <w:r w:rsidRPr="00414F57">
        <w:t>medium</w:t>
      </w:r>
      <w:r w:rsidR="002C6A94" w:rsidRPr="00414F57">
        <w:t>-</w:t>
      </w:r>
      <w:r w:rsidRPr="00414F57">
        <w:t>term objectives</w:t>
      </w:r>
      <w:r w:rsidR="00D82D08" w:rsidRPr="00414F57">
        <w:t>:</w:t>
      </w:r>
    </w:p>
    <w:p w14:paraId="38A523ED" w14:textId="0DCF918C" w:rsidR="00D82D08" w:rsidRPr="00414F57" w:rsidRDefault="00B6218E" w:rsidP="00DE694D">
      <w:pPr>
        <w:pStyle w:val="ListBullet"/>
      </w:pPr>
      <w:r w:rsidRPr="00414F57">
        <w:t xml:space="preserve">working with industry </w:t>
      </w:r>
      <w:r w:rsidR="00353F8B">
        <w:t xml:space="preserve">to </w:t>
      </w:r>
      <w:r w:rsidR="00A25816" w:rsidRPr="00414F57">
        <w:t>optimi</w:t>
      </w:r>
      <w:r w:rsidR="0025695C">
        <w:t>s</w:t>
      </w:r>
      <w:r w:rsidR="00A25816" w:rsidRPr="00414F57">
        <w:t>e</w:t>
      </w:r>
      <w:r w:rsidR="002C6A94" w:rsidRPr="00414F57">
        <w:t xml:space="preserve"> </w:t>
      </w:r>
      <w:r w:rsidR="00512E30" w:rsidRPr="00414F57">
        <w:t xml:space="preserve">the </w:t>
      </w:r>
      <w:r w:rsidR="00A25816" w:rsidRPr="00414F57">
        <w:t xml:space="preserve">efficient configuration of </w:t>
      </w:r>
      <w:r w:rsidR="00512E30" w:rsidRPr="00414F57">
        <w:t xml:space="preserve">the </w:t>
      </w:r>
      <w:r w:rsidR="004D0E46">
        <w:t xml:space="preserve">existing </w:t>
      </w:r>
      <w:r w:rsidR="00A25816" w:rsidRPr="00414F57">
        <w:t xml:space="preserve">850 and </w:t>
      </w:r>
      <w:r w:rsidR="00512E30" w:rsidRPr="00414F57">
        <w:t>900 MHz band</w:t>
      </w:r>
      <w:r w:rsidR="00A25816" w:rsidRPr="00414F57">
        <w:t xml:space="preserve"> allocations</w:t>
      </w:r>
      <w:r w:rsidR="00D82D08" w:rsidRPr="00414F57">
        <w:t>,</w:t>
      </w:r>
      <w:r w:rsidR="00512E30" w:rsidRPr="00414F57">
        <w:t xml:space="preserve"> </w:t>
      </w:r>
      <w:r w:rsidR="00A25816" w:rsidRPr="00414F57">
        <w:t>mostly</w:t>
      </w:r>
      <w:r w:rsidR="00512E30" w:rsidRPr="00414F57">
        <w:t xml:space="preserve"> already </w:t>
      </w:r>
      <w:r w:rsidR="00A25816" w:rsidRPr="00414F57">
        <w:t>allocated</w:t>
      </w:r>
      <w:r w:rsidR="00512E30" w:rsidRPr="00414F57">
        <w:t xml:space="preserve"> for mobile broadband purposes</w:t>
      </w:r>
      <w:r w:rsidR="00D82D08" w:rsidRPr="00414F57">
        <w:t>,</w:t>
      </w:r>
      <w:r w:rsidR="00512E30" w:rsidRPr="00414F57">
        <w:t xml:space="preserve"> </w:t>
      </w:r>
      <w:r w:rsidRPr="00414F57">
        <w:t xml:space="preserve">including by securing a </w:t>
      </w:r>
      <w:r w:rsidR="00A25816" w:rsidRPr="00414F57">
        <w:t xml:space="preserve">1 MHz </w:t>
      </w:r>
      <w:r w:rsidRPr="00414F57">
        <w:t xml:space="preserve">downshift of the 850 MHz spectrum </w:t>
      </w:r>
      <w:r w:rsidR="00A25816" w:rsidRPr="00414F57">
        <w:t>l</w:t>
      </w:r>
      <w:r w:rsidR="00CB2B01" w:rsidRPr="00414F57">
        <w:t>icences</w:t>
      </w:r>
    </w:p>
    <w:p w14:paraId="32600E45" w14:textId="37013C84" w:rsidR="00D82D08" w:rsidRPr="00414F57" w:rsidRDefault="00512E30" w:rsidP="00DE694D">
      <w:pPr>
        <w:pStyle w:val="ListBulletLast"/>
      </w:pPr>
      <w:r w:rsidRPr="00414F57">
        <w:t>implement</w:t>
      </w:r>
      <w:r w:rsidR="00A30790">
        <w:t>ing</w:t>
      </w:r>
      <w:r w:rsidRPr="00414F57">
        <w:t xml:space="preserve"> the </w:t>
      </w:r>
      <w:r w:rsidR="002C6A94" w:rsidRPr="00414F57">
        <w:t>existing</w:t>
      </w:r>
      <w:r w:rsidRPr="00414F57">
        <w:t xml:space="preserve"> planning decision to make additional spectrum available for mobile broadband in the 850 MHz expansion band. </w:t>
      </w:r>
    </w:p>
    <w:p w14:paraId="60EC6E0F" w14:textId="523A3C74" w:rsidR="001C7338" w:rsidRPr="00414F57" w:rsidRDefault="001C7338" w:rsidP="00E94604">
      <w:pPr>
        <w:pStyle w:val="BodySubHeader"/>
      </w:pPr>
      <w:r>
        <w:t>Mid-band spectrum</w:t>
      </w:r>
    </w:p>
    <w:p w14:paraId="6EF955D4" w14:textId="457B64CD" w:rsidR="00924191" w:rsidRDefault="00512E30">
      <w:r w:rsidRPr="00414F57">
        <w:t>The mid</w:t>
      </w:r>
      <w:r w:rsidR="002C6A94" w:rsidRPr="00414F57">
        <w:t>-</w:t>
      </w:r>
      <w:r w:rsidRPr="00414F57">
        <w:t>band between 1 and 6 GHz are currently the focus of near</w:t>
      </w:r>
      <w:r w:rsidR="002C6A94" w:rsidRPr="00414F57">
        <w:t>-</w:t>
      </w:r>
      <w:r w:rsidRPr="00414F57">
        <w:t>term 5G deployments</w:t>
      </w:r>
      <w:r w:rsidR="00265523">
        <w:t>, particularly</w:t>
      </w:r>
      <w:r w:rsidRPr="00414F57">
        <w:t xml:space="preserve"> around 3.4 to 3.7 GHz</w:t>
      </w:r>
      <w:r w:rsidR="001407B1">
        <w:t xml:space="preserve"> in Australia</w:t>
      </w:r>
      <w:r w:rsidRPr="00414F57">
        <w:t>.</w:t>
      </w:r>
      <w:r w:rsidR="006C35F3">
        <w:t xml:space="preserve"> In December 2018</w:t>
      </w:r>
      <w:r w:rsidR="00A30790">
        <w:t>,</w:t>
      </w:r>
      <w:r w:rsidR="006C35F3">
        <w:t xml:space="preserve"> the ACMA successfully allocated 125 MHz of spectrum in </w:t>
      </w:r>
      <w:r w:rsidR="006C35F3" w:rsidRPr="00414F57">
        <w:t>the 3.6 GHz band</w:t>
      </w:r>
      <w:r w:rsidR="006C35F3">
        <w:t xml:space="preserve"> (3575</w:t>
      </w:r>
      <w:r w:rsidR="004E64E0">
        <w:t>–</w:t>
      </w:r>
      <w:r w:rsidR="006C35F3">
        <w:t>3700 MHz), in metropolitan and regional areas.</w:t>
      </w:r>
    </w:p>
    <w:p w14:paraId="4B4F5D0B" w14:textId="036D132D" w:rsidR="00F850E7" w:rsidRPr="00414F57" w:rsidRDefault="0094390D" w:rsidP="00D7755E">
      <w:r>
        <w:t>T</w:t>
      </w:r>
      <w:r w:rsidR="00512E30" w:rsidRPr="00414F57">
        <w:t xml:space="preserve">he ACMA </w:t>
      </w:r>
      <w:r w:rsidR="00813809">
        <w:t xml:space="preserve">also </w:t>
      </w:r>
      <w:r w:rsidR="00512E30" w:rsidRPr="00414F57">
        <w:t>sees a major opportunity for efficiency gains through the defragmentation of the current 3.4</w:t>
      </w:r>
      <w:r w:rsidR="004E64E0">
        <w:t>–</w:t>
      </w:r>
      <w:r w:rsidR="00DA6A5B">
        <w:t>3.57</w:t>
      </w:r>
      <w:r w:rsidR="00DF0112">
        <w:t>5</w:t>
      </w:r>
      <w:r w:rsidR="00DA6A5B">
        <w:t xml:space="preserve"> GHz frequency range</w:t>
      </w:r>
      <w:r w:rsidR="00512E30" w:rsidRPr="00414F57">
        <w:t>.</w:t>
      </w:r>
      <w:r w:rsidR="00B514B8" w:rsidRPr="00414F57">
        <w:t xml:space="preserve"> T</w:t>
      </w:r>
      <w:r w:rsidR="00512E30" w:rsidRPr="00414F57">
        <w:t xml:space="preserve">his will require both industry commitment and ACMA assistance to achieve. </w:t>
      </w:r>
      <w:r w:rsidR="00863342" w:rsidRPr="00414F57">
        <w:t>Beyond the 1.</w:t>
      </w:r>
      <w:r w:rsidR="002C6A94" w:rsidRPr="00414F57">
        <w:t>5 </w:t>
      </w:r>
      <w:r w:rsidR="00863342" w:rsidRPr="00414F57">
        <w:t>GHz band</w:t>
      </w:r>
      <w:r w:rsidR="002C6A94" w:rsidRPr="00414F57">
        <w:t>,</w:t>
      </w:r>
      <w:r w:rsidR="00863342" w:rsidRPr="00414F57">
        <w:t xml:space="preserve"> which is</w:t>
      </w:r>
      <w:r w:rsidR="00863342" w:rsidRPr="00414F57" w:rsidDel="00B042D3">
        <w:t xml:space="preserve"> </w:t>
      </w:r>
      <w:r w:rsidR="00621AB8">
        <w:t>included in this year’s annual work program</w:t>
      </w:r>
      <w:r w:rsidR="00813809">
        <w:t xml:space="preserve"> </w:t>
      </w:r>
      <w:r w:rsidR="0009789D">
        <w:t>for the commencement of a</w:t>
      </w:r>
      <w:r w:rsidR="0009789D" w:rsidRPr="00414F57">
        <w:t xml:space="preserve"> </w:t>
      </w:r>
      <w:r w:rsidR="00863342" w:rsidRPr="00414F57">
        <w:t>detailed planning review, there are several other potential areas of investigation in the mid</w:t>
      </w:r>
      <w:r w:rsidR="002C6A94" w:rsidRPr="00414F57">
        <w:t>-</w:t>
      </w:r>
      <w:r w:rsidR="00863342" w:rsidRPr="00414F57">
        <w:t xml:space="preserve">bands. </w:t>
      </w:r>
      <w:r w:rsidR="005E1451">
        <w:t>Some stakeholders have indicated interest in planning for private LTE networks in mid-band spectrum such as 1.5 GHz.</w:t>
      </w:r>
    </w:p>
    <w:p w14:paraId="0F425486" w14:textId="073BB22C" w:rsidR="00863342" w:rsidRDefault="00231649" w:rsidP="00D7755E">
      <w:r w:rsidRPr="00414F57">
        <w:t xml:space="preserve">Spectrum </w:t>
      </w:r>
      <w:r w:rsidR="00F850E7" w:rsidRPr="00414F57">
        <w:t xml:space="preserve">in the 3.8 GHz band from </w:t>
      </w:r>
      <w:r w:rsidRPr="00414F57">
        <w:t xml:space="preserve">3.7 </w:t>
      </w:r>
      <w:r w:rsidR="00F850E7" w:rsidRPr="00414F57">
        <w:t xml:space="preserve">to 4.2 GHz </w:t>
      </w:r>
      <w:r w:rsidRPr="00414F57">
        <w:t xml:space="preserve">has been the subject of considerable interest </w:t>
      </w:r>
      <w:r w:rsidR="00376D57">
        <w:t xml:space="preserve">internationally as well as domestically from large </w:t>
      </w:r>
      <w:r w:rsidR="0010283C">
        <w:t>mobile network operators (</w:t>
      </w:r>
      <w:r w:rsidR="00376D57">
        <w:t>MNOs</w:t>
      </w:r>
      <w:r w:rsidR="0010283C">
        <w:t>)</w:t>
      </w:r>
      <w:r w:rsidR="00376D57">
        <w:t xml:space="preserve"> and </w:t>
      </w:r>
      <w:r w:rsidR="00AB5442">
        <w:t xml:space="preserve">FWA operators (such as </w:t>
      </w:r>
      <w:r w:rsidR="00376D57">
        <w:t>WISP</w:t>
      </w:r>
      <w:r w:rsidR="00E7016E">
        <w:t>s</w:t>
      </w:r>
      <w:r w:rsidR="00AB5442">
        <w:t>)</w:t>
      </w:r>
      <w:r w:rsidR="00DA7873" w:rsidRPr="00414F57">
        <w:t>,</w:t>
      </w:r>
      <w:r w:rsidRPr="00414F57">
        <w:t xml:space="preserve"> with </w:t>
      </w:r>
      <w:r w:rsidR="00924191" w:rsidRPr="00414F57">
        <w:t>several</w:t>
      </w:r>
      <w:r w:rsidRPr="00414F57">
        <w:t xml:space="preserve"> processes </w:t>
      </w:r>
      <w:r w:rsidR="00F850E7" w:rsidRPr="00414F57">
        <w:t xml:space="preserve">underway considering arrangements in the band. </w:t>
      </w:r>
      <w:r w:rsidR="006E6FB1" w:rsidRPr="00FD13E4">
        <w:t xml:space="preserve">The </w:t>
      </w:r>
      <w:r w:rsidR="00F850E7" w:rsidRPr="00FD13E4">
        <w:t xml:space="preserve">ACMA </w:t>
      </w:r>
      <w:r w:rsidR="006E6FB1" w:rsidRPr="00FD13E4">
        <w:t>is paying close attention to the g</w:t>
      </w:r>
      <w:r w:rsidR="00F850E7" w:rsidRPr="00FD13E4">
        <w:t xml:space="preserve">lobal </w:t>
      </w:r>
      <w:r w:rsidR="006E6FB1" w:rsidRPr="00FD13E4">
        <w:t xml:space="preserve">environment in this band </w:t>
      </w:r>
      <w:r w:rsidR="00F850E7" w:rsidRPr="00FD13E4">
        <w:t xml:space="preserve">and </w:t>
      </w:r>
      <w:r w:rsidR="0009789D">
        <w:t>will soon be releasing a discussion paper to</w:t>
      </w:r>
      <w:r w:rsidR="00FD13E4">
        <w:t xml:space="preserve"> commenc</w:t>
      </w:r>
      <w:r w:rsidR="0009789D">
        <w:t>e</w:t>
      </w:r>
      <w:r w:rsidR="00FD13E4">
        <w:t xml:space="preserve"> a </w:t>
      </w:r>
      <w:r w:rsidR="001A47A1">
        <w:t>broad review of arrangements in the 3700</w:t>
      </w:r>
      <w:r w:rsidR="00365525">
        <w:t>–</w:t>
      </w:r>
      <w:r w:rsidR="001A47A1">
        <w:t>4200 MHz band</w:t>
      </w:r>
      <w:r w:rsidR="00365525">
        <w:t>,</w:t>
      </w:r>
      <w:r w:rsidR="001A47A1">
        <w:t xml:space="preserve"> which is discussed </w:t>
      </w:r>
      <w:r w:rsidR="00D20753">
        <w:t xml:space="preserve">in </w:t>
      </w:r>
      <w:r w:rsidR="00D20753" w:rsidRPr="00D20753">
        <w:t>Part 2</w:t>
      </w:r>
      <w:r w:rsidR="00F850E7" w:rsidRPr="00FD13E4">
        <w:t>.</w:t>
      </w:r>
      <w:r w:rsidR="00B75775">
        <w:t xml:space="preserve"> </w:t>
      </w:r>
    </w:p>
    <w:p w14:paraId="4267E2EA" w14:textId="1C6F858D" w:rsidR="0009789D" w:rsidRPr="00414F57" w:rsidRDefault="0009789D" w:rsidP="00D7755E">
      <w:r w:rsidRPr="00C23994">
        <w:t xml:space="preserve">There are also potential opportunities for </w:t>
      </w:r>
      <w:r>
        <w:t xml:space="preserve">wireless broadband via </w:t>
      </w:r>
      <w:r w:rsidRPr="00C23994">
        <w:t xml:space="preserve">new spectrum sharing approaches in </w:t>
      </w:r>
      <w:r w:rsidR="00924191" w:rsidRPr="00C23994">
        <w:t>several</w:t>
      </w:r>
      <w:r w:rsidRPr="00C23994">
        <w:t xml:space="preserve"> mid-band ranges. These possibilities in</w:t>
      </w:r>
      <w:r>
        <w:t>clude</w:t>
      </w:r>
      <w:r w:rsidRPr="00C23994">
        <w:t xml:space="preserve"> the </w:t>
      </w:r>
      <w:r w:rsidRPr="00C81B4E">
        <w:t>3.3, 4.5 and 4.8 GHz bands</w:t>
      </w:r>
      <w:r w:rsidRPr="00C23994">
        <w:t xml:space="preserve"> </w:t>
      </w:r>
      <w:r>
        <w:t>that are</w:t>
      </w:r>
      <w:r w:rsidRPr="00C23994">
        <w:t xml:space="preserve"> discussed in the </w:t>
      </w:r>
      <w:r w:rsidR="00DF0112" w:rsidRPr="00DE694D">
        <w:rPr>
          <w:rStyle w:val="Hyperlink"/>
          <w:color w:val="auto"/>
          <w:u w:val="none"/>
        </w:rPr>
        <w:t>New approaches to spectrum sharing</w:t>
      </w:r>
      <w:r w:rsidRPr="006024CB">
        <w:t xml:space="preserve"> </w:t>
      </w:r>
      <w:r w:rsidRPr="00C23994">
        <w:t>section</w:t>
      </w:r>
      <w:r w:rsidRPr="00C81B4E">
        <w:t>.</w:t>
      </w:r>
    </w:p>
    <w:p w14:paraId="671D9424" w14:textId="7B7522F5" w:rsidR="001C7338" w:rsidRPr="00515AE6" w:rsidRDefault="001C7338" w:rsidP="00E97880">
      <w:pPr>
        <w:pStyle w:val="BodySubHeader"/>
      </w:pPr>
      <w:r w:rsidRPr="00515AE6">
        <w:t>High-band spectrum</w:t>
      </w:r>
    </w:p>
    <w:p w14:paraId="331C7C1F" w14:textId="2BCF8A25" w:rsidR="0009789D" w:rsidRDefault="00863342" w:rsidP="00D7755E">
      <w:r w:rsidRPr="00414F57">
        <w:t>The</w:t>
      </w:r>
      <w:r w:rsidR="00853E3C">
        <w:t xml:space="preserve"> ACMA’s </w:t>
      </w:r>
      <w:r w:rsidR="005F0005">
        <w:t>consideration of high-band spectrum for wireless broadband is focused on the</w:t>
      </w:r>
      <w:r w:rsidRPr="00414F57">
        <w:t xml:space="preserve"> millimetre waves in the bands above 24 GHz.</w:t>
      </w:r>
      <w:r w:rsidR="006F0649" w:rsidRPr="006F0649">
        <w:t xml:space="preserve"> Part 2</w:t>
      </w:r>
      <w:r w:rsidR="001D3119" w:rsidRPr="00414F57">
        <w:t xml:space="preserve"> </w:t>
      </w:r>
      <w:r w:rsidR="002B5905">
        <w:t>describes the ACMA’s proposed next steps in relation to the 26 and 28 GHz bands</w:t>
      </w:r>
      <w:r w:rsidR="001D3119" w:rsidRPr="00414F57">
        <w:t>.</w:t>
      </w:r>
    </w:p>
    <w:p w14:paraId="7EB145EF" w14:textId="67F613CB" w:rsidR="001D3119" w:rsidRPr="00414F57" w:rsidRDefault="00231649" w:rsidP="00D7755E">
      <w:r w:rsidRPr="00414F57">
        <w:lastRenderedPageBreak/>
        <w:t>H</w:t>
      </w:r>
      <w:r w:rsidR="001D3119" w:rsidRPr="00414F57">
        <w:t xml:space="preserve">igher in the </w:t>
      </w:r>
      <w:r w:rsidR="00511801">
        <w:t>spectrum</w:t>
      </w:r>
      <w:r w:rsidR="001D3119" w:rsidRPr="00414F57">
        <w:t xml:space="preserve">, the ACMA has </w:t>
      </w:r>
      <w:r w:rsidR="0064524B">
        <w:t xml:space="preserve">recently </w:t>
      </w:r>
      <w:r w:rsidR="00D431CC">
        <w:t>consulted</w:t>
      </w:r>
      <w:r w:rsidR="00D431CC">
        <w:rPr>
          <w:rStyle w:val="FootnoteReference"/>
        </w:rPr>
        <w:footnoteReference w:id="8"/>
      </w:r>
      <w:r w:rsidR="00D431CC">
        <w:t xml:space="preserve"> on</w:t>
      </w:r>
      <w:r w:rsidR="001D3119" w:rsidRPr="00414F57">
        <w:t xml:space="preserve"> changes to class</w:t>
      </w:r>
      <w:r w:rsidR="00DA7873" w:rsidRPr="00414F57">
        <w:t>-</w:t>
      </w:r>
      <w:r w:rsidR="001D3119" w:rsidRPr="00414F57">
        <w:t>licensing arrangements to support additional spectrum in the 60 GHz range</w:t>
      </w:r>
      <w:r w:rsidR="0064524B">
        <w:t xml:space="preserve"> for 5G services</w:t>
      </w:r>
      <w:r w:rsidR="00DA7873" w:rsidRPr="00414F57">
        <w:t>, which is</w:t>
      </w:r>
      <w:r w:rsidR="001D3119" w:rsidRPr="00414F57">
        <w:t xml:space="preserve"> also being looked at for 5G use around the world.</w:t>
      </w:r>
    </w:p>
    <w:p w14:paraId="1E188BDA" w14:textId="77777777" w:rsidR="002D7804" w:rsidRDefault="00B514B8" w:rsidP="00D7755E">
      <w:pPr>
        <w:rPr>
          <w:rFonts w:cs="Arial"/>
        </w:rPr>
      </w:pPr>
      <w:r>
        <w:rPr>
          <w:rFonts w:cs="Arial"/>
        </w:rPr>
        <w:t xml:space="preserve">Along with the ACMA’s efforts to make </w:t>
      </w:r>
      <w:r w:rsidR="0064524B">
        <w:rPr>
          <w:rFonts w:cs="Arial"/>
        </w:rPr>
        <w:t xml:space="preserve">further </w:t>
      </w:r>
      <w:r>
        <w:rPr>
          <w:rFonts w:cs="Arial"/>
        </w:rPr>
        <w:t>spectrum available</w:t>
      </w:r>
      <w:r w:rsidR="0064524B">
        <w:rPr>
          <w:rFonts w:cs="Arial"/>
        </w:rPr>
        <w:t xml:space="preserve"> for wireless broadband</w:t>
      </w:r>
      <w:r>
        <w:rPr>
          <w:rFonts w:cs="Arial"/>
        </w:rPr>
        <w:t xml:space="preserve">, there are continuing opportunities </w:t>
      </w:r>
      <w:r w:rsidR="002C6A94">
        <w:rPr>
          <w:rFonts w:cs="Arial"/>
        </w:rPr>
        <w:t>for</w:t>
      </w:r>
      <w:r>
        <w:rPr>
          <w:rFonts w:cs="Arial"/>
        </w:rPr>
        <w:t xml:space="preserve"> spectrum users to enter into commercial arrangements </w:t>
      </w:r>
      <w:r w:rsidR="002C6A94">
        <w:rPr>
          <w:rFonts w:cs="Arial"/>
        </w:rPr>
        <w:t xml:space="preserve">to share </w:t>
      </w:r>
      <w:r>
        <w:rPr>
          <w:rFonts w:cs="Arial"/>
        </w:rPr>
        <w:t>infrastructure or spectrum that will realise more efficient spectrum use</w:t>
      </w:r>
      <w:r w:rsidR="002C6A94">
        <w:rPr>
          <w:rFonts w:cs="Arial"/>
        </w:rPr>
        <w:t>.</w:t>
      </w:r>
      <w:r>
        <w:rPr>
          <w:rFonts w:cs="Arial"/>
        </w:rPr>
        <w:t xml:space="preserve"> </w:t>
      </w:r>
    </w:p>
    <w:p w14:paraId="71D4D6EF" w14:textId="006AD922" w:rsidR="00B514B8" w:rsidRDefault="00B514B8" w:rsidP="00D7755E">
      <w:pPr>
        <w:rPr>
          <w:rFonts w:cs="Arial"/>
        </w:rPr>
      </w:pPr>
      <w:r>
        <w:rPr>
          <w:rFonts w:cs="Arial"/>
        </w:rPr>
        <w:t>Achieving more efficient configuration and use of bands that are already licensed for wireless broadband is a vital adjunct to the clearance and reallocation of new bands to address rising demand for wireless broadband. In part</w:t>
      </w:r>
      <w:r w:rsidR="002C6A94">
        <w:rPr>
          <w:rFonts w:cs="Arial"/>
        </w:rPr>
        <w:t>,</w:t>
      </w:r>
      <w:r>
        <w:rPr>
          <w:rFonts w:cs="Arial"/>
        </w:rPr>
        <w:t xml:space="preserve"> this obligation must fall on existing licensees, as well as the regulator, to ensure that the market works to achieve defragmentation and reconfiguration of existing holdings to maximise the overall utility of bands. </w:t>
      </w:r>
    </w:p>
    <w:p w14:paraId="4A535AF7" w14:textId="3E013511" w:rsidR="0047696E" w:rsidRPr="00596594" w:rsidRDefault="007764EF" w:rsidP="00E97880">
      <w:pPr>
        <w:pStyle w:val="Heading3"/>
      </w:pPr>
      <w:bookmarkStart w:id="137" w:name="_Toc5025656"/>
      <w:r>
        <w:t xml:space="preserve">Machine-to-machine communications and the </w:t>
      </w:r>
      <w:r w:rsidR="008C226E">
        <w:t xml:space="preserve">Internet of Things </w:t>
      </w:r>
      <w:r w:rsidR="00C8052B">
        <w:t>(IoT)</w:t>
      </w:r>
      <w:bookmarkEnd w:id="137"/>
    </w:p>
    <w:p w14:paraId="0B42B09C" w14:textId="77777777" w:rsidR="00CA01D5" w:rsidRDefault="00835321">
      <w:r w:rsidRPr="00C367FC">
        <w:t>The IoT potentially</w:t>
      </w:r>
      <w:r>
        <w:t xml:space="preserve"> involves unprecedented numbers of wireless and wired interconnections of personal, consumer and industrial devices supporting a range of applications. </w:t>
      </w:r>
    </w:p>
    <w:p w14:paraId="05DB097E" w14:textId="70294BEB" w:rsidR="00835321" w:rsidRDefault="00835321" w:rsidP="00D7755E">
      <w:r>
        <w:t>It is not limited to any specific technology platform and is likely to use frequency allocations across the entire spectrum. For example, 4G and 5G standards have made</w:t>
      </w:r>
      <w:r w:rsidR="00C367FC">
        <w:t>—</w:t>
      </w:r>
      <w:r>
        <w:t>or will make</w:t>
      </w:r>
      <w:r w:rsidR="00C367FC">
        <w:t>—</w:t>
      </w:r>
      <w:r>
        <w:t>specific provisions for dedicated IoT service delivery,</w:t>
      </w:r>
      <w:r w:rsidR="00450E6D">
        <w:t xml:space="preserve"> dedicated terrestrial IoT technologies have been developed and deployed that usually utilise class</w:t>
      </w:r>
      <w:r w:rsidR="00BB1258">
        <w:t>-</w:t>
      </w:r>
      <w:r w:rsidR="00450E6D">
        <w:t>licensed bands,</w:t>
      </w:r>
      <w:r>
        <w:t xml:space="preserve"> and </w:t>
      </w:r>
      <w:r w:rsidR="00450E6D">
        <w:t xml:space="preserve">multiple </w:t>
      </w:r>
      <w:r>
        <w:t xml:space="preserve">satellite </w:t>
      </w:r>
      <w:r w:rsidR="00450E6D">
        <w:t xml:space="preserve">systems </w:t>
      </w:r>
      <w:r>
        <w:t xml:space="preserve">are </w:t>
      </w:r>
      <w:r w:rsidR="00450E6D">
        <w:t>also in use or in development</w:t>
      </w:r>
      <w:r>
        <w:t xml:space="preserve"> to enable IoT</w:t>
      </w:r>
      <w:r w:rsidR="00AD7F28">
        <w:t xml:space="preserve"> in a range of dedicated satellite bands</w:t>
      </w:r>
      <w:r>
        <w:t>.</w:t>
      </w:r>
    </w:p>
    <w:p w14:paraId="3C892308" w14:textId="174AB3FD" w:rsidR="0044006D" w:rsidRDefault="00835321">
      <w:r>
        <w:t>Devices providing industrial metering, switching and/or control (including smart infrastructure) are a subset of IoT communications technologies</w:t>
      </w:r>
      <w:r w:rsidR="00A96482">
        <w:t xml:space="preserve"> that have been of </w:t>
      </w:r>
      <w:r w:rsidR="00CA01D5">
        <w:t>interest</w:t>
      </w:r>
      <w:r w:rsidR="00A96482">
        <w:t xml:space="preserve"> in recent years</w:t>
      </w:r>
      <w:r>
        <w:t>. They require very low</w:t>
      </w:r>
      <w:r w:rsidR="002C6A94">
        <w:t xml:space="preserve"> </w:t>
      </w:r>
      <w:r>
        <w:t>data rates and/or very low duty cycles</w:t>
      </w:r>
      <w:r w:rsidRPr="00AE56E1">
        <w:t xml:space="preserve"> </w:t>
      </w:r>
      <w:r>
        <w:t>and operate in low</w:t>
      </w:r>
      <w:r w:rsidR="004C110B">
        <w:t>-</w:t>
      </w:r>
      <w:r>
        <w:t>power wide</w:t>
      </w:r>
      <w:r w:rsidR="004C110B">
        <w:t>-</w:t>
      </w:r>
      <w:r>
        <w:t>area (LPWA) networks</w:t>
      </w:r>
      <w:r w:rsidR="00887A04">
        <w:t>.</w:t>
      </w:r>
      <w:r w:rsidR="0031384A">
        <w:rPr>
          <w:rStyle w:val="FootnoteReference"/>
        </w:rPr>
        <w:footnoteReference w:id="9"/>
      </w:r>
      <w:r w:rsidR="00887A04">
        <w:t xml:space="preserve"> </w:t>
      </w:r>
      <w:r>
        <w:t>An international market has emerged for LPWA networks and devices that operate in the 900 MHz band.</w:t>
      </w:r>
      <w:r w:rsidR="00D16385">
        <w:t xml:space="preserve"> </w:t>
      </w:r>
    </w:p>
    <w:p w14:paraId="75C602C0" w14:textId="489E5B46" w:rsidR="00A96482" w:rsidRDefault="00D16385" w:rsidP="00D7755E">
      <w:r>
        <w:t xml:space="preserve">Separately, mobile </w:t>
      </w:r>
      <w:r w:rsidR="0047527A">
        <w:t>network operators</w:t>
      </w:r>
      <w:r>
        <w:t xml:space="preserve"> have been deploying IoT-specific variants of the 4G standard</w:t>
      </w:r>
      <w:r w:rsidR="002C6A94">
        <w:t>,</w:t>
      </w:r>
      <w:r>
        <w:t xml:space="preserve"> such as Narrowband IoT</w:t>
      </w:r>
      <w:r w:rsidDel="006F4C38">
        <w:t xml:space="preserve"> </w:t>
      </w:r>
      <w:r>
        <w:t xml:space="preserve">and </w:t>
      </w:r>
      <w:r w:rsidR="004C110B">
        <w:t xml:space="preserve">Category </w:t>
      </w:r>
      <w:r>
        <w:t>M1</w:t>
      </w:r>
      <w:r w:rsidR="004C110B">
        <w:t xml:space="preserve">, commonly known as </w:t>
      </w:r>
      <w:r>
        <w:t>Cat-M1</w:t>
      </w:r>
      <w:r w:rsidR="00381F16">
        <w:t>.</w:t>
      </w:r>
      <w:bookmarkStart w:id="138" w:name="_Toc494115153"/>
      <w:bookmarkStart w:id="139" w:name="_Toc509581803"/>
      <w:bookmarkStart w:id="140" w:name="_Toc509585119"/>
      <w:bookmarkStart w:id="141" w:name="_Toc509585655"/>
      <w:r w:rsidR="00BE7AFE">
        <w:t xml:space="preserve"> </w:t>
      </w:r>
      <w:r w:rsidR="00A96482">
        <w:t xml:space="preserve">In both cases services are, or </w:t>
      </w:r>
      <w:r w:rsidR="00D90F28">
        <w:t xml:space="preserve">are expected to </w:t>
      </w:r>
      <w:r w:rsidR="00A96482">
        <w:t xml:space="preserve">be, largely deployed </w:t>
      </w:r>
      <w:r w:rsidR="00D90F28">
        <w:t xml:space="preserve">using </w:t>
      </w:r>
      <w:r w:rsidR="00A96482">
        <w:t>existing spectrum management framework</w:t>
      </w:r>
      <w:r w:rsidR="00D90F28">
        <w:t>s</w:t>
      </w:r>
      <w:r w:rsidR="00A96482">
        <w:t xml:space="preserve"> and established bands.</w:t>
      </w:r>
    </w:p>
    <w:p w14:paraId="3F07DEE5" w14:textId="3A0D5B4A" w:rsidR="00512009" w:rsidRDefault="00A96482" w:rsidP="00D7755E">
      <w:r>
        <w:t>Given the unique capabilities of satellite systems, for example in terms of coverage, multiple companies are delivering or pursuing new space</w:t>
      </w:r>
      <w:r w:rsidR="004C110B">
        <w:t>-</w:t>
      </w:r>
      <w:r>
        <w:t>based IoT services</w:t>
      </w:r>
      <w:r w:rsidR="00875697">
        <w:t>—</w:t>
      </w:r>
      <w:r>
        <w:t xml:space="preserve">in some cases enabled </w:t>
      </w:r>
      <w:r w:rsidR="00AA6EE0">
        <w:t xml:space="preserve">through </w:t>
      </w:r>
      <w:r>
        <w:t xml:space="preserve">new small satellite technology. Some of these services are being pursued or delivered within established satellite bands within the existing regulatory framework. </w:t>
      </w:r>
      <w:r w:rsidRPr="00D7755E">
        <w:t>However</w:t>
      </w:r>
      <w:r w:rsidRPr="00D7755E" w:rsidDel="00EA6BBC">
        <w:t xml:space="preserve">, </w:t>
      </w:r>
      <w:r w:rsidRPr="00D7755E">
        <w:t>in some cases</w:t>
      </w:r>
      <w:r w:rsidR="00F95170">
        <w:t>,</w:t>
      </w:r>
      <w:r w:rsidRPr="00D7755E">
        <w:t xml:space="preserve"> enabling satellite IoT </w:t>
      </w:r>
      <w:r w:rsidR="00EA6BBC" w:rsidRPr="00D7755E">
        <w:t xml:space="preserve">may require </w:t>
      </w:r>
      <w:r w:rsidRPr="00D7755E">
        <w:t>specific changes to the regulatory regime</w:t>
      </w:r>
      <w:r w:rsidR="00FC384C" w:rsidRPr="00D7755E">
        <w:t>. A recent example is</w:t>
      </w:r>
      <w:r w:rsidRPr="00D7755E">
        <w:t xml:space="preserve"> the inclusion of spectrum around 400 MHz in the </w:t>
      </w:r>
      <w:hyperlink r:id="rId26" w:history="1">
        <w:r w:rsidR="00FC384C" w:rsidRPr="00DE694D">
          <w:rPr>
            <w:rStyle w:val="Hyperlink"/>
          </w:rPr>
          <w:t>Radiocommunications (</w:t>
        </w:r>
        <w:r w:rsidRPr="00DE694D">
          <w:rPr>
            <w:rStyle w:val="Hyperlink"/>
          </w:rPr>
          <w:t>Communication with Space Object</w:t>
        </w:r>
        <w:r w:rsidR="00FC384C" w:rsidRPr="00DE694D">
          <w:rPr>
            <w:rStyle w:val="Hyperlink"/>
          </w:rPr>
          <w:t>)</w:t>
        </w:r>
        <w:r w:rsidRPr="00DE694D">
          <w:rPr>
            <w:rStyle w:val="Hyperlink"/>
          </w:rPr>
          <w:t xml:space="preserve"> Class Licence</w:t>
        </w:r>
        <w:r w:rsidR="00FC384C" w:rsidRPr="00DE694D">
          <w:rPr>
            <w:rStyle w:val="Hyperlink"/>
          </w:rPr>
          <w:t xml:space="preserve"> 2015</w:t>
        </w:r>
      </w:hyperlink>
      <w:r w:rsidR="00FC384C" w:rsidRPr="00D7755E">
        <w:t xml:space="preserve"> in 2018</w:t>
      </w:r>
      <w:r w:rsidRPr="00D7755E">
        <w:t>.</w:t>
      </w:r>
      <w:r>
        <w:rPr>
          <w:rStyle w:val="FootnoteReference"/>
        </w:rPr>
        <w:footnoteReference w:id="10"/>
      </w:r>
    </w:p>
    <w:p w14:paraId="69EDCE58" w14:textId="2D0E2097" w:rsidR="00835321" w:rsidRPr="0027021C" w:rsidRDefault="00C45AA4" w:rsidP="00D7755E">
      <w:pPr>
        <w:pStyle w:val="Heading3"/>
        <w:rPr>
          <w:rFonts w:cs="Times New Roman"/>
          <w:b w:val="0"/>
          <w:bCs w:val="0"/>
          <w:szCs w:val="24"/>
        </w:rPr>
      </w:pPr>
      <w:bookmarkStart w:id="142" w:name="_Toc510104934"/>
      <w:bookmarkStart w:id="143" w:name="_Toc510105731"/>
      <w:bookmarkStart w:id="144" w:name="_Toc5025657"/>
      <w:r w:rsidRPr="00D7755E">
        <w:lastRenderedPageBreak/>
        <w:t>Future delivery of broadcasting services</w:t>
      </w:r>
      <w:bookmarkEnd w:id="138"/>
      <w:bookmarkEnd w:id="139"/>
      <w:bookmarkEnd w:id="140"/>
      <w:bookmarkEnd w:id="141"/>
      <w:bookmarkEnd w:id="142"/>
      <w:bookmarkEnd w:id="143"/>
      <w:bookmarkEnd w:id="144"/>
    </w:p>
    <w:p w14:paraId="24A55DB9" w14:textId="4E7EF547" w:rsidR="00296EFA" w:rsidRDefault="00264555" w:rsidP="00DE694D">
      <w:r>
        <w:t>T</w:t>
      </w:r>
      <w:r w:rsidR="00D357B4">
        <w:t xml:space="preserve">he ACMA’s management of spectrum to support broadcasting services will need to </w:t>
      </w:r>
      <w:r w:rsidR="00F95170">
        <w:t>consider</w:t>
      </w:r>
      <w:r w:rsidR="00D357B4">
        <w:t xml:space="preserve"> the evolution of broadcasting services and their audiences. </w:t>
      </w:r>
    </w:p>
    <w:p w14:paraId="3AF8CF57" w14:textId="251241DC" w:rsidR="00E12E45" w:rsidRDefault="009F0FF1" w:rsidP="00DE694D">
      <w:r>
        <w:t>Broadcasting services are delivered using radiocommunications spectrum</w:t>
      </w:r>
      <w:r w:rsidR="00D357B4">
        <w:t>,</w:t>
      </w:r>
      <w:r w:rsidR="00BB6634">
        <w:t xml:space="preserve"> includ</w:t>
      </w:r>
      <w:r w:rsidR="00D357B4">
        <w:t>ing</w:t>
      </w:r>
      <w:r w:rsidR="00BB6634" w:rsidDel="00D357B4">
        <w:t xml:space="preserve"> </w:t>
      </w:r>
      <w:r w:rsidR="00BB6634">
        <w:t>AM and FM frequencies</w:t>
      </w:r>
      <w:r w:rsidR="00D357B4">
        <w:t xml:space="preserve"> (for radio)</w:t>
      </w:r>
      <w:r w:rsidR="00BB6634">
        <w:t>, UHF</w:t>
      </w:r>
      <w:r w:rsidR="00D357B4">
        <w:t xml:space="preserve"> and satellite frequencies</w:t>
      </w:r>
      <w:r w:rsidR="00BB6634">
        <w:t xml:space="preserve"> </w:t>
      </w:r>
      <w:r w:rsidR="00D357B4">
        <w:t xml:space="preserve">(for television) </w:t>
      </w:r>
      <w:r w:rsidR="00BB6634">
        <w:t xml:space="preserve">and other </w:t>
      </w:r>
      <w:r w:rsidR="00D357B4">
        <w:t xml:space="preserve">parts of the spectrum deliver broadcasting services using </w:t>
      </w:r>
      <w:r w:rsidR="00BB6634">
        <w:t xml:space="preserve">mobile </w:t>
      </w:r>
      <w:r w:rsidR="00D357B4">
        <w:t xml:space="preserve">broadband </w:t>
      </w:r>
      <w:r w:rsidR="00BB6634">
        <w:t xml:space="preserve">and </w:t>
      </w:r>
      <w:r w:rsidR="00D357B4">
        <w:t xml:space="preserve">other </w:t>
      </w:r>
      <w:r w:rsidR="00BB6634">
        <w:t xml:space="preserve">wireless </w:t>
      </w:r>
      <w:r w:rsidR="00D357B4">
        <w:t>delivery systems</w:t>
      </w:r>
      <w:r w:rsidR="00BB6634">
        <w:t xml:space="preserve">. </w:t>
      </w:r>
      <w:r w:rsidR="0080223C">
        <w:t xml:space="preserve">Evolving digital transmission technology </w:t>
      </w:r>
      <w:r>
        <w:t xml:space="preserve">and changes in </w:t>
      </w:r>
      <w:r w:rsidR="00D357B4">
        <w:t xml:space="preserve">viewer and </w:t>
      </w:r>
      <w:r>
        <w:t>listener behaviour are altering the modes of delivery</w:t>
      </w:r>
      <w:r w:rsidR="00C8052B">
        <w:t xml:space="preserve"> and</w:t>
      </w:r>
      <w:r w:rsidR="00BB6634">
        <w:t xml:space="preserve"> </w:t>
      </w:r>
      <w:r w:rsidR="00C8052B">
        <w:t>consequently</w:t>
      </w:r>
      <w:r w:rsidR="00C8052B" w:rsidDel="00C8052B">
        <w:t xml:space="preserve"> </w:t>
      </w:r>
      <w:r w:rsidR="00F95170">
        <w:t>changing the</w:t>
      </w:r>
      <w:r w:rsidR="00BB6634">
        <w:t xml:space="preserve"> </w:t>
      </w:r>
      <w:r w:rsidR="00C8052B">
        <w:t xml:space="preserve">broadcasting </w:t>
      </w:r>
      <w:r w:rsidR="00BB6634">
        <w:t>demand for spectrum</w:t>
      </w:r>
      <w:r w:rsidR="00EC564D">
        <w:t xml:space="preserve">. </w:t>
      </w:r>
    </w:p>
    <w:p w14:paraId="51245918" w14:textId="6FFD9B1D" w:rsidR="00BB6634" w:rsidRDefault="00E12E45" w:rsidP="00DE694D">
      <w:r w:rsidRPr="00E12E45">
        <w:t>In recognition of the technological evolution occurring in broadcasting, the ACMA has actively supported new technology trials, such as the DVB-T2 trials for television that commenced in Q</w:t>
      </w:r>
      <w:r w:rsidR="00082070">
        <w:t>4</w:t>
      </w:r>
      <w:r w:rsidRPr="00E12E45">
        <w:t xml:space="preserve"> 2018</w:t>
      </w:r>
      <w:r w:rsidR="00F95170">
        <w:t>–</w:t>
      </w:r>
      <w:r w:rsidR="00082070">
        <w:t>19</w:t>
      </w:r>
      <w:r w:rsidRPr="00E12E45">
        <w:t xml:space="preserve">. The ACMA continues its work in facilitating the progressive migration of legacy AM services in solus markets to FM services. Similarly, the ACMA continues to progress the roll-out of digital radio into regional Australia through a collaborative and consultative process with industry participants. </w:t>
      </w:r>
    </w:p>
    <w:p w14:paraId="51941E9C" w14:textId="76B12350" w:rsidR="00C8052B" w:rsidRDefault="002E6284">
      <w:r>
        <w:t xml:space="preserve">The ACMA </w:t>
      </w:r>
      <w:r w:rsidR="00515EC0">
        <w:t>is</w:t>
      </w:r>
      <w:r>
        <w:t xml:space="preserve"> investigating the future delivery of</w:t>
      </w:r>
      <w:r w:rsidR="00627CDC">
        <w:t xml:space="preserve"> radio</w:t>
      </w:r>
      <w:r>
        <w:t xml:space="preserve"> broadcasting services in Australia to facilitate a discussion with industry on the issues and opportunities with current and new delivery systems</w:t>
      </w:r>
      <w:r w:rsidR="00362445">
        <w:t>, and</w:t>
      </w:r>
      <w:r w:rsidR="002D769B">
        <w:t xml:space="preserve"> the</w:t>
      </w:r>
      <w:r w:rsidR="00362445">
        <w:t xml:space="preserve"> impact on metropolitan</w:t>
      </w:r>
      <w:r w:rsidR="00627CDC">
        <w:t>,</w:t>
      </w:r>
      <w:r w:rsidR="00362445">
        <w:t xml:space="preserve"> and regional and remote markets</w:t>
      </w:r>
      <w:r>
        <w:t xml:space="preserve">. </w:t>
      </w:r>
    </w:p>
    <w:p w14:paraId="03C42C09" w14:textId="65252514" w:rsidR="002E6284" w:rsidRDefault="002E6284" w:rsidP="00DE694D">
      <w:r>
        <w:t xml:space="preserve">This </w:t>
      </w:r>
      <w:r w:rsidR="00C8052B">
        <w:t xml:space="preserve">will </w:t>
      </w:r>
      <w:r>
        <w:t xml:space="preserve">facilitate a holistic assessment of </w:t>
      </w:r>
      <w:r w:rsidR="00627CDC">
        <w:t xml:space="preserve">radio </w:t>
      </w:r>
      <w:r>
        <w:t>broadcasting delivery issues and develop a common understanding of those issues that will have benefits for the public and industry in the long term.</w:t>
      </w:r>
    </w:p>
    <w:p w14:paraId="7152E04D" w14:textId="786BFAC6" w:rsidR="005A2067" w:rsidRDefault="00835321" w:rsidP="00D7755E">
      <w:pPr>
        <w:pStyle w:val="Heading3"/>
      </w:pPr>
      <w:bookmarkStart w:id="145" w:name="_Toc494115154"/>
      <w:bookmarkStart w:id="146" w:name="_Toc510104935"/>
      <w:bookmarkStart w:id="147" w:name="_Toc510105732"/>
      <w:bookmarkStart w:id="148" w:name="_Toc511716273"/>
      <w:bookmarkStart w:id="149" w:name="_Toc511719084"/>
      <w:bookmarkStart w:id="150" w:name="_Toc522794080"/>
      <w:bookmarkStart w:id="151" w:name="_Toc5025658"/>
      <w:bookmarkStart w:id="152" w:name="_Toc509581804"/>
      <w:bookmarkStart w:id="153" w:name="_Toc509585120"/>
      <w:bookmarkStart w:id="154" w:name="_Toc509585656"/>
      <w:bookmarkStart w:id="155" w:name="_Toc510795072"/>
      <w:bookmarkStart w:id="156" w:name="_Hlk2582851"/>
      <w:r w:rsidRPr="005E7238">
        <w:t>Satellite communications</w:t>
      </w:r>
      <w:bookmarkEnd w:id="145"/>
      <w:bookmarkEnd w:id="146"/>
      <w:bookmarkEnd w:id="147"/>
      <w:bookmarkEnd w:id="148"/>
      <w:bookmarkEnd w:id="149"/>
      <w:bookmarkEnd w:id="150"/>
      <w:bookmarkEnd w:id="151"/>
      <w:r w:rsidR="00F45C16">
        <w:t xml:space="preserve"> </w:t>
      </w:r>
      <w:bookmarkEnd w:id="152"/>
      <w:bookmarkEnd w:id="153"/>
      <w:bookmarkEnd w:id="154"/>
      <w:bookmarkEnd w:id="155"/>
    </w:p>
    <w:p w14:paraId="070CDFAE" w14:textId="13913FF8" w:rsidR="00D02662" w:rsidRDefault="00D02662" w:rsidP="00D7755E">
      <w:r>
        <w:t xml:space="preserve">There is continuing </w:t>
      </w:r>
      <w:r w:rsidR="00835321">
        <w:t xml:space="preserve">growth and innovation in the provision of </w:t>
      </w:r>
      <w:r w:rsidR="00835321" w:rsidRPr="00A07ECB">
        <w:t xml:space="preserve">satellite-delivered telecommunication </w:t>
      </w:r>
      <w:r w:rsidR="00835321">
        <w:t>and in space science services</w:t>
      </w:r>
      <w:r>
        <w:t xml:space="preserve">. These changes are </w:t>
      </w:r>
      <w:r w:rsidR="00835321" w:rsidRPr="00A07ECB">
        <w:t>increasing pressure</w:t>
      </w:r>
      <w:r w:rsidR="00835321">
        <w:t xml:space="preserve"> both internationally and domestically</w:t>
      </w:r>
      <w:r w:rsidR="00835321" w:rsidRPr="00A07ECB">
        <w:t xml:space="preserve"> to</w:t>
      </w:r>
      <w:r w:rsidR="00835321">
        <w:t xml:space="preserve"> ensure that regulatory arrangements support this change.</w:t>
      </w:r>
      <w:r w:rsidR="004C0AFC">
        <w:t xml:space="preserve"> </w:t>
      </w:r>
      <w:r>
        <w:t xml:space="preserve">This </w:t>
      </w:r>
      <w:r w:rsidR="003D3A85">
        <w:t xml:space="preserve">can </w:t>
      </w:r>
      <w:r>
        <w:t>result in</w:t>
      </w:r>
      <w:r w:rsidDel="00366EA5">
        <w:t xml:space="preserve"> </w:t>
      </w:r>
      <w:r>
        <w:t xml:space="preserve">both </w:t>
      </w:r>
      <w:r w:rsidR="00366EA5">
        <w:t xml:space="preserve">the </w:t>
      </w:r>
      <w:r>
        <w:t>establish</w:t>
      </w:r>
      <w:r w:rsidR="00366EA5">
        <w:t>ment of</w:t>
      </w:r>
      <w:r>
        <w:t xml:space="preserve"> new spectrum access arrangements and </w:t>
      </w:r>
      <w:r w:rsidR="00366EA5">
        <w:t xml:space="preserve">the </w:t>
      </w:r>
      <w:r>
        <w:t>refine</w:t>
      </w:r>
      <w:r w:rsidR="00366EA5">
        <w:t>ment of</w:t>
      </w:r>
      <w:r>
        <w:t xml:space="preserve"> existing ones.</w:t>
      </w:r>
    </w:p>
    <w:p w14:paraId="469826A8" w14:textId="600A2CC3" w:rsidR="00A96482" w:rsidRDefault="00A96482" w:rsidP="00D7755E">
      <w:r>
        <w:t>The development</w:t>
      </w:r>
      <w:r w:rsidRPr="00A07ECB">
        <w:t xml:space="preserve"> of low</w:t>
      </w:r>
      <w:r>
        <w:t>er</w:t>
      </w:r>
      <w:r w:rsidRPr="00A07ECB">
        <w:t xml:space="preserve">-cost, miniaturised space </w:t>
      </w:r>
      <w:r>
        <w:t xml:space="preserve">hardware (often referred to as </w:t>
      </w:r>
      <w:r w:rsidRPr="00A07ECB">
        <w:t xml:space="preserve">nanosats, </w:t>
      </w:r>
      <w:proofErr w:type="spellStart"/>
      <w:r w:rsidRPr="00A07ECB">
        <w:t>cubesats</w:t>
      </w:r>
      <w:proofErr w:type="spellEnd"/>
      <w:r>
        <w:t xml:space="preserve"> or </w:t>
      </w:r>
      <w:proofErr w:type="spellStart"/>
      <w:r>
        <w:t>smallsats</w:t>
      </w:r>
      <w:proofErr w:type="spellEnd"/>
      <w:r w:rsidRPr="00A07ECB">
        <w:t>)</w:t>
      </w:r>
      <w:r>
        <w:t xml:space="preserve"> and reduced launch costs are supporting growth in the diversity and capability of services delivered by satellite. In some case</w:t>
      </w:r>
      <w:r w:rsidR="003360A4">
        <w:t>s</w:t>
      </w:r>
      <w:r w:rsidR="00BC5180">
        <w:t>,</w:t>
      </w:r>
      <w:r>
        <w:t xml:space="preserve"> </w:t>
      </w:r>
      <w:proofErr w:type="spellStart"/>
      <w:r>
        <w:t>smallsats</w:t>
      </w:r>
      <w:proofErr w:type="spellEnd"/>
      <w:r>
        <w:t xml:space="preserve"> are allowing commercial broadband business models and services requiring constellations of satellites in non-geostationary orbit that were once cost prohibitive to now be viable. Some proposed </w:t>
      </w:r>
      <w:r w:rsidR="00B84A97">
        <w:t>non-geostationary orbit</w:t>
      </w:r>
      <w:r>
        <w:t xml:space="preserve"> broadband systems require the deployment of very large numbers </w:t>
      </w:r>
      <w:r w:rsidR="00126CB6">
        <w:t xml:space="preserve">(e.g. </w:t>
      </w:r>
      <w:r>
        <w:t>hundreds or thousands</w:t>
      </w:r>
      <w:r w:rsidR="00126CB6">
        <w:t>)</w:t>
      </w:r>
      <w:r w:rsidDel="00126CB6">
        <w:t xml:space="preserve"> </w:t>
      </w:r>
      <w:r>
        <w:t xml:space="preserve">of satellites. This changed environment has also increased the opportunity for academic and scientific space missions, often of short duration. </w:t>
      </w:r>
    </w:p>
    <w:p w14:paraId="560FD7F1" w14:textId="671A68A9" w:rsidR="00A96482" w:rsidRDefault="00A96482" w:rsidP="00D7755E">
      <w:r>
        <w:t>Collectively these environmental changes are driving several spectrum management challenges</w:t>
      </w:r>
      <w:r w:rsidR="00A97E6D">
        <w:t>.</w:t>
      </w:r>
      <w:r>
        <w:t xml:space="preserve"> </w:t>
      </w:r>
      <w:r w:rsidR="00A97E6D">
        <w:rPr>
          <w:rStyle w:val="CommentReference"/>
        </w:rPr>
        <w:t>M</w:t>
      </w:r>
      <w:r>
        <w:t>any of</w:t>
      </w:r>
      <w:r w:rsidDel="00A97E6D">
        <w:t xml:space="preserve"> </w:t>
      </w:r>
      <w:r w:rsidR="00A97E6D">
        <w:t xml:space="preserve">these </w:t>
      </w:r>
      <w:r>
        <w:t>are being addressed</w:t>
      </w:r>
      <w:r w:rsidR="00A97E6D">
        <w:t>, to some extent,</w:t>
      </w:r>
      <w:r>
        <w:t xml:space="preserve"> on an international basis given the nature of satellite systems. For example, for reasons of economy and equipment availability, short duration </w:t>
      </w:r>
      <w:proofErr w:type="spellStart"/>
      <w:r>
        <w:t>smallsat</w:t>
      </w:r>
      <w:proofErr w:type="spellEnd"/>
      <w:r>
        <w:t xml:space="preserve"> missions often utilise systems operating in bands not allocated for space services </w:t>
      </w:r>
      <w:r w:rsidR="00EE1971">
        <w:t>in the</w:t>
      </w:r>
      <w:r w:rsidR="008E6685">
        <w:t xml:space="preserve"> </w:t>
      </w:r>
      <w:r w:rsidR="008E6685" w:rsidRPr="00DE694D">
        <w:rPr>
          <w:rFonts w:cs="Arial"/>
          <w:i/>
        </w:rPr>
        <w:t xml:space="preserve">Australian Radiofrequency </w:t>
      </w:r>
      <w:r w:rsidR="008E6685" w:rsidRPr="00DE694D">
        <w:rPr>
          <w:i/>
        </w:rPr>
        <w:t>Spectrum Plan</w:t>
      </w:r>
      <w:r w:rsidR="00F86111">
        <w:rPr>
          <w:i/>
        </w:rPr>
        <w:t xml:space="preserve"> 2017</w:t>
      </w:r>
      <w:r w:rsidR="00EE1971">
        <w:t xml:space="preserve"> </w:t>
      </w:r>
      <w:r w:rsidR="008E6685">
        <w:t>(</w:t>
      </w:r>
      <w:r w:rsidR="00EE1971">
        <w:t>ARSP</w:t>
      </w:r>
      <w:r w:rsidR="008E6685">
        <w:t>)</w:t>
      </w:r>
      <w:r w:rsidR="00EE1971">
        <w:t xml:space="preserve"> </w:t>
      </w:r>
      <w:r>
        <w:t xml:space="preserve">and/or are not filed and coordinated internationally for interference management purposes. This creates practical challenges for national spectrum managers such as the ACMA which are generally eager to support these missions but need to ensure practical interference management considerations are addressed. </w:t>
      </w:r>
    </w:p>
    <w:p w14:paraId="29E78FEF" w14:textId="43A3C9FC" w:rsidR="004C0AFC" w:rsidRDefault="009962F3">
      <w:r w:rsidRPr="009962F3">
        <w:lastRenderedPageBreak/>
        <w:t>The</w:t>
      </w:r>
      <w:r w:rsidR="006A45A2">
        <w:t>re has also recently been</w:t>
      </w:r>
      <w:r w:rsidRPr="009962F3">
        <w:t xml:space="preserve"> growth in satellite broadband high throughput systems (HTS) that increase the demand for spectrum arrangements to support ubiquitous earth stations for user terminals and </w:t>
      </w:r>
      <w:r w:rsidR="006A45A2">
        <w:t xml:space="preserve">for </w:t>
      </w:r>
      <w:r w:rsidRPr="009962F3">
        <w:t>supporting gateway earth stations</w:t>
      </w:r>
      <w:r w:rsidR="006A45A2">
        <w:t xml:space="preserve">. </w:t>
      </w:r>
    </w:p>
    <w:p w14:paraId="41A3323B" w14:textId="2D74003F" w:rsidR="004C0AFC" w:rsidRDefault="009962F3">
      <w:r w:rsidRPr="009962F3">
        <w:t xml:space="preserve">The current Australian spectrum management framework already provides for ubiquitous, uncoordinated </w:t>
      </w:r>
      <w:r w:rsidR="005F5045">
        <w:t>e</w:t>
      </w:r>
      <w:r w:rsidRPr="009962F3">
        <w:t>arth stations suitable for broadband HTS (</w:t>
      </w:r>
      <w:r w:rsidR="006A45A2">
        <w:t xml:space="preserve">using </w:t>
      </w:r>
      <w:r w:rsidRPr="009962F3">
        <w:t>1.55 GHz total uplink/downlink spectrum in Ku</w:t>
      </w:r>
      <w:r w:rsidR="004A3036">
        <w:t>-</w:t>
      </w:r>
      <w:r w:rsidRPr="009962F3">
        <w:t>band and 2.6 GHz in Ka</w:t>
      </w:r>
      <w:r w:rsidR="009D3560">
        <w:t>-</w:t>
      </w:r>
      <w:r w:rsidRPr="009962F3">
        <w:t xml:space="preserve">band). Parts of the satellite industry </w:t>
      </w:r>
      <w:r w:rsidR="001E0016">
        <w:t xml:space="preserve">have suggested that </w:t>
      </w:r>
      <w:r w:rsidRPr="009962F3">
        <w:t xml:space="preserve">additional spectrum in both bands </w:t>
      </w:r>
      <w:r w:rsidR="001E0016">
        <w:t xml:space="preserve">is required </w:t>
      </w:r>
      <w:r w:rsidRPr="009962F3">
        <w:t xml:space="preserve">to support planned satellite systems and expected future growth in satellite broadband HTS requirements. </w:t>
      </w:r>
    </w:p>
    <w:p w14:paraId="135D7519" w14:textId="582AA56D" w:rsidR="009962F3" w:rsidRPr="009962F3" w:rsidRDefault="001E0016" w:rsidP="00D7755E">
      <w:r>
        <w:t>The</w:t>
      </w:r>
      <w:r w:rsidRPr="009962F3">
        <w:t xml:space="preserve"> </w:t>
      </w:r>
      <w:r w:rsidR="009962F3" w:rsidRPr="009962F3">
        <w:t xml:space="preserve">ACMA </w:t>
      </w:r>
      <w:r>
        <w:t xml:space="preserve">is </w:t>
      </w:r>
      <w:r w:rsidR="009962F3" w:rsidRPr="009962F3">
        <w:t>investigating possible changes in both the Ku</w:t>
      </w:r>
      <w:r w:rsidR="004A3036">
        <w:t>-</w:t>
      </w:r>
      <w:r w:rsidR="009962F3" w:rsidRPr="009962F3">
        <w:t>band for additional downlink spectrum shared with terrestrial fixed links in 10.7</w:t>
      </w:r>
      <w:r w:rsidR="00004D7C">
        <w:t>–</w:t>
      </w:r>
      <w:r w:rsidR="009962F3" w:rsidRPr="009962F3">
        <w:t>11.7 GHz</w:t>
      </w:r>
      <w:r w:rsidR="00205514">
        <w:t xml:space="preserve"> (see under</w:t>
      </w:r>
      <w:r w:rsidR="00FE05B7">
        <w:t xml:space="preserve"> </w:t>
      </w:r>
      <w:r w:rsidR="00935F0E" w:rsidRPr="00DE694D">
        <w:t>Optimising established planning frameworks</w:t>
      </w:r>
      <w:r w:rsidR="00205514">
        <w:t xml:space="preserve"> in Part 2</w:t>
      </w:r>
      <w:r w:rsidR="009962F3" w:rsidRPr="009962F3" w:rsidDel="00205514">
        <w:t>)</w:t>
      </w:r>
      <w:r w:rsidR="009962F3" w:rsidRPr="009962F3">
        <w:t xml:space="preserve"> and </w:t>
      </w:r>
      <w:r>
        <w:t xml:space="preserve">the </w:t>
      </w:r>
      <w:r w:rsidR="009962F3" w:rsidRPr="009962F3">
        <w:t>Ka</w:t>
      </w:r>
      <w:r w:rsidR="00BC5180">
        <w:t>-</w:t>
      </w:r>
      <w:r w:rsidR="009962F3" w:rsidRPr="009962F3">
        <w:t xml:space="preserve">band </w:t>
      </w:r>
      <w:r>
        <w:t xml:space="preserve">in the context of </w:t>
      </w:r>
      <w:r w:rsidR="009962F3" w:rsidRPr="009962F3">
        <w:t>the 28 GHz band review that considers spectrum in the uplink range of 27.5</w:t>
      </w:r>
      <w:r w:rsidR="004E64E0">
        <w:t>–</w:t>
      </w:r>
      <w:r w:rsidR="009962F3" w:rsidRPr="009962F3">
        <w:t xml:space="preserve">29.5 GHz </w:t>
      </w:r>
      <w:r w:rsidR="00205514">
        <w:t xml:space="preserve">(see under </w:t>
      </w:r>
      <w:r w:rsidR="004A50A3">
        <w:t>the</w:t>
      </w:r>
      <w:r w:rsidR="002657E9">
        <w:t xml:space="preserve"> </w:t>
      </w:r>
      <w:r w:rsidR="002657E9" w:rsidRPr="002657E9">
        <w:t>Initial investigation</w:t>
      </w:r>
      <w:r w:rsidR="002657E9">
        <w:t xml:space="preserve"> </w:t>
      </w:r>
      <w:r w:rsidR="004A50A3">
        <w:t xml:space="preserve">section </w:t>
      </w:r>
      <w:r>
        <w:t>below</w:t>
      </w:r>
      <w:r w:rsidR="00205514">
        <w:t>)</w:t>
      </w:r>
      <w:r>
        <w:t>.</w:t>
      </w:r>
      <w:r w:rsidR="009962F3" w:rsidRPr="009962F3">
        <w:t xml:space="preserve"> The ACMA acknowledges that downlink spectrum arrangements </w:t>
      </w:r>
      <w:r w:rsidR="001C221D" w:rsidRPr="009962F3">
        <w:t xml:space="preserve">in </w:t>
      </w:r>
      <w:r w:rsidR="001C221D">
        <w:t xml:space="preserve">the </w:t>
      </w:r>
      <w:r w:rsidR="001C221D" w:rsidRPr="009962F3">
        <w:t>Ka</w:t>
      </w:r>
      <w:r w:rsidR="00BC5180">
        <w:t>-</w:t>
      </w:r>
      <w:r w:rsidR="001C221D" w:rsidRPr="009962F3">
        <w:t xml:space="preserve">band </w:t>
      </w:r>
      <w:r w:rsidR="009962F3" w:rsidRPr="009962F3">
        <w:t xml:space="preserve">would need to be reviewed if changes are made in the uplink </w:t>
      </w:r>
      <w:r w:rsidR="00EF65D2">
        <w:t>(</w:t>
      </w:r>
      <w:r w:rsidR="009962F3" w:rsidRPr="009962F3">
        <w:t>28 GHz</w:t>
      </w:r>
      <w:r w:rsidR="00EF65D2">
        <w:t>)</w:t>
      </w:r>
      <w:r w:rsidR="009962F3" w:rsidRPr="009962F3">
        <w:t xml:space="preserve"> band. </w:t>
      </w:r>
    </w:p>
    <w:p w14:paraId="60A19278" w14:textId="2D398E04" w:rsidR="009962F3" w:rsidRPr="009962F3" w:rsidRDefault="009962F3" w:rsidP="00D7755E">
      <w:r w:rsidRPr="009962F3">
        <w:t>One of the traditional strengths of satellite services</w:t>
      </w:r>
      <w:r w:rsidR="000B0939">
        <w:t xml:space="preserve"> is</w:t>
      </w:r>
      <w:r w:rsidRPr="009962F3">
        <w:t xml:space="preserve"> mobility</w:t>
      </w:r>
      <w:r w:rsidR="000B0939">
        <w:t>. Recently, there</w:t>
      </w:r>
      <w:r w:rsidRPr="009962F3">
        <w:t xml:space="preserve"> has </w:t>
      </w:r>
      <w:r w:rsidR="000B0939">
        <w:t>been increased interest</w:t>
      </w:r>
      <w:r w:rsidRPr="009962F3">
        <w:t xml:space="preserve"> in delivering broadband to moving </w:t>
      </w:r>
      <w:r w:rsidR="000B0939">
        <w:t xml:space="preserve">earth </w:t>
      </w:r>
      <w:r w:rsidRPr="009962F3">
        <w:t>stations</w:t>
      </w:r>
      <w:r w:rsidR="000B0939">
        <w:t xml:space="preserve"> from satellites</w:t>
      </w:r>
      <w:r w:rsidRPr="009962F3">
        <w:t>. This recent innovation has resulted from technology developments that enable moving earth stations (also referred to as ‘earth stations in motion’</w:t>
      </w:r>
      <w:r w:rsidR="00BC5180">
        <w:t xml:space="preserve"> (</w:t>
      </w:r>
      <w:r w:rsidR="000B0939">
        <w:t>ESIMs</w:t>
      </w:r>
      <w:r w:rsidRPr="009962F3">
        <w:t xml:space="preserve">) communicating with space stations in the fixed satellite service </w:t>
      </w:r>
      <w:r w:rsidR="000B0939">
        <w:t xml:space="preserve">bands </w:t>
      </w:r>
      <w:r w:rsidRPr="009962F3">
        <w:t>(FSS)</w:t>
      </w:r>
      <w:r w:rsidRPr="009962F3">
        <w:rPr>
          <w:vertAlign w:val="superscript"/>
        </w:rPr>
        <w:footnoteReference w:id="11"/>
      </w:r>
      <w:r w:rsidRPr="009962F3">
        <w:t xml:space="preserve">. The ACMA </w:t>
      </w:r>
      <w:r w:rsidR="000B0939">
        <w:t xml:space="preserve">has, </w:t>
      </w:r>
      <w:r w:rsidRPr="009962F3">
        <w:t>on two occasions</w:t>
      </w:r>
      <w:r w:rsidR="00924F1E">
        <w:rPr>
          <w:rStyle w:val="FootnoteReference"/>
        </w:rPr>
        <w:footnoteReference w:id="12"/>
      </w:r>
      <w:r w:rsidR="000B0939">
        <w:t>,</w:t>
      </w:r>
      <w:r w:rsidRPr="009962F3" w:rsidDel="000B0939">
        <w:t xml:space="preserve"> </w:t>
      </w:r>
      <w:r w:rsidRPr="009962F3">
        <w:t>established interim arrangements supporting ESIMs in parts of the Ka</w:t>
      </w:r>
      <w:r w:rsidR="00B60A66">
        <w:t>-</w:t>
      </w:r>
      <w:r w:rsidRPr="009962F3">
        <w:t>band prior to international regulatory arrangements being established</w:t>
      </w:r>
      <w:r w:rsidR="00E05718">
        <w:t xml:space="preserve">, and </w:t>
      </w:r>
      <w:r w:rsidR="00F07755">
        <w:t xml:space="preserve">during </w:t>
      </w:r>
      <w:r w:rsidR="00004D7C">
        <w:t xml:space="preserve">the </w:t>
      </w:r>
      <w:r w:rsidR="00F07755">
        <w:t>2019</w:t>
      </w:r>
      <w:r w:rsidR="004E64E0">
        <w:t>–</w:t>
      </w:r>
      <w:r w:rsidR="00F07755">
        <w:t>20 year will be</w:t>
      </w:r>
      <w:r w:rsidR="00E05718">
        <w:t xml:space="preserve"> considering further action to support ESIMs</w:t>
      </w:r>
      <w:r w:rsidR="00397DC6">
        <w:t>.</w:t>
      </w:r>
    </w:p>
    <w:p w14:paraId="40025A72" w14:textId="79371451" w:rsidR="00B14DB9" w:rsidRPr="00B14DB9" w:rsidRDefault="00E60636" w:rsidP="00D7755E">
      <w:pPr>
        <w:pStyle w:val="Heading3"/>
      </w:pPr>
      <w:bookmarkStart w:id="157" w:name="_Toc510795073"/>
      <w:bookmarkStart w:id="158" w:name="_Toc509581805"/>
      <w:bookmarkStart w:id="159" w:name="_Toc509585121"/>
      <w:bookmarkStart w:id="160" w:name="_Toc509585657"/>
      <w:bookmarkStart w:id="161" w:name="_Toc510104937"/>
      <w:bookmarkStart w:id="162" w:name="_Toc510105734"/>
      <w:bookmarkStart w:id="163" w:name="_Toc511716274"/>
      <w:bookmarkStart w:id="164" w:name="_Toc511719085"/>
      <w:bookmarkStart w:id="165" w:name="_Toc522794081"/>
      <w:bookmarkStart w:id="166" w:name="_Toc5025659"/>
      <w:bookmarkStart w:id="167" w:name="_Toc491854101"/>
      <w:bookmarkStart w:id="168" w:name="_Toc494115155"/>
      <w:bookmarkEnd w:id="156"/>
      <w:r w:rsidRPr="00B14DB9">
        <w:t xml:space="preserve">Government </w:t>
      </w:r>
      <w:r w:rsidR="00F36B41">
        <w:t>spectrum requirements</w:t>
      </w:r>
      <w:bookmarkEnd w:id="157"/>
      <w:bookmarkEnd w:id="158"/>
      <w:bookmarkEnd w:id="159"/>
      <w:bookmarkEnd w:id="160"/>
      <w:bookmarkEnd w:id="161"/>
      <w:bookmarkEnd w:id="162"/>
      <w:bookmarkEnd w:id="163"/>
      <w:bookmarkEnd w:id="164"/>
      <w:bookmarkEnd w:id="165"/>
      <w:bookmarkEnd w:id="166"/>
    </w:p>
    <w:bookmarkEnd w:id="167"/>
    <w:bookmarkEnd w:id="168"/>
    <w:p w14:paraId="028195B6" w14:textId="77777777" w:rsidR="004A50A3" w:rsidRDefault="00F9560D">
      <w:r>
        <w:t xml:space="preserve">Government spectrum users primarily incorporate commonwealth and state agencies responsible for the provision of defence, national security, law enforcement, and emergency services, as well as scientific, meteorological and transport services. </w:t>
      </w:r>
    </w:p>
    <w:p w14:paraId="23BC4F38" w14:textId="64CE7182" w:rsidR="00F9560D" w:rsidRDefault="007542A3" w:rsidP="00D7755E">
      <w:pPr>
        <w:rPr>
          <w:rFonts w:asciiTheme="minorHAnsi" w:hAnsiTheme="minorHAnsi"/>
        </w:rPr>
      </w:pPr>
      <w:r>
        <w:t>Generally</w:t>
      </w:r>
      <w:r w:rsidR="00F9560D">
        <w:t xml:space="preserve">, government spectrum users operate within the same spectrum management framework as all other users. However, in recognising their unique needs and responsibilities, on some occasions government spectrum needs require specific consideration. The ACMA’s interaction with the government spectrum community is extensive, </w:t>
      </w:r>
      <w:r w:rsidR="00085DC0">
        <w:t xml:space="preserve">typically </w:t>
      </w:r>
      <w:r w:rsidR="00F9560D">
        <w:t>on a business as usual</w:t>
      </w:r>
      <w:r w:rsidR="00085DC0">
        <w:t xml:space="preserve">, rather </w:t>
      </w:r>
      <w:r w:rsidR="00F9560D">
        <w:t>than major project basis</w:t>
      </w:r>
      <w:r w:rsidR="00085DC0">
        <w:t xml:space="preserve">. </w:t>
      </w:r>
      <w:r w:rsidR="00E84B24">
        <w:t xml:space="preserve">Here </w:t>
      </w:r>
      <w:r w:rsidR="00085DC0">
        <w:t>we outline some of the medium-term drivers of change from this sector</w:t>
      </w:r>
      <w:r w:rsidR="00F9560D">
        <w:t>.</w:t>
      </w:r>
    </w:p>
    <w:p w14:paraId="0A37EF3D" w14:textId="563A4CF9" w:rsidR="00F9560D" w:rsidRDefault="00F9560D" w:rsidP="00D7755E">
      <w:r>
        <w:t>The ACMA works closely with</w:t>
      </w:r>
      <w:r w:rsidR="00557853">
        <w:t xml:space="preserve"> the Department of</w:t>
      </w:r>
      <w:r>
        <w:t xml:space="preserve"> Defence’s Chief Information Officer Group to </w:t>
      </w:r>
      <w:r w:rsidR="009D3560">
        <w:t>en</w:t>
      </w:r>
      <w:r>
        <w:t xml:space="preserve">sure </w:t>
      </w:r>
      <w:r w:rsidR="00557853">
        <w:t xml:space="preserve">its </w:t>
      </w:r>
      <w:r>
        <w:t>ongoing access to spectrum to support a range of key capabilities. Recently, as part of the ACMA’s broader discussion on improving shared access to spectrum</w:t>
      </w:r>
      <w:r w:rsidR="00085DC0">
        <w:t xml:space="preserve"> (see also the</w:t>
      </w:r>
      <w:r w:rsidR="00B57277">
        <w:t xml:space="preserve"> </w:t>
      </w:r>
      <w:r w:rsidR="00B57277" w:rsidRPr="00B57277">
        <w:t>New approaches to spectrum sharing</w:t>
      </w:r>
      <w:r w:rsidR="00085DC0">
        <w:t xml:space="preserve"> </w:t>
      </w:r>
      <w:r w:rsidR="007542A3">
        <w:t>section</w:t>
      </w:r>
      <w:r w:rsidR="002B3DEC">
        <w:t xml:space="preserve"> below)</w:t>
      </w:r>
      <w:r>
        <w:t>, we proposed two Defence-held frequency bands, namely 3300</w:t>
      </w:r>
      <w:r w:rsidR="00004D7C">
        <w:t>–</w:t>
      </w:r>
      <w:r>
        <w:t>3400 and 4800</w:t>
      </w:r>
      <w:r w:rsidR="00004D7C">
        <w:t>–</w:t>
      </w:r>
      <w:r>
        <w:t xml:space="preserve">4940 MHz, as candidates for case studies for secondary access by non-Defence use on a shared basis. </w:t>
      </w:r>
      <w:r w:rsidR="00D81EAB">
        <w:t>The intent here is to improve the overall utility of spectrum</w:t>
      </w:r>
      <w:r w:rsidR="00004D7C">
        <w:t>—</w:t>
      </w:r>
      <w:r w:rsidR="00D81EAB">
        <w:t>there is no intention to compromise Defence’s access to these bands in any way</w:t>
      </w:r>
      <w:r w:rsidR="00844615">
        <w:t xml:space="preserve"> </w:t>
      </w:r>
      <w:r w:rsidR="00D81EAB">
        <w:t>(</w:t>
      </w:r>
      <w:r w:rsidR="00844615">
        <w:t>s</w:t>
      </w:r>
      <w:r w:rsidR="00D81EAB">
        <w:t xml:space="preserve">ee </w:t>
      </w:r>
      <w:r w:rsidR="00DF0112" w:rsidRPr="00DE694D">
        <w:t>Part 2</w:t>
      </w:r>
      <w:r w:rsidR="00D81EAB">
        <w:t xml:space="preserve"> for more details)</w:t>
      </w:r>
      <w:r w:rsidR="00844615">
        <w:t>.</w:t>
      </w:r>
    </w:p>
    <w:p w14:paraId="52BADC9E" w14:textId="33FAEA2E" w:rsidR="00F9560D" w:rsidRDefault="00D81EAB" w:rsidP="00D7755E">
      <w:r>
        <w:lastRenderedPageBreak/>
        <w:t xml:space="preserve">The ACMA supports </w:t>
      </w:r>
      <w:proofErr w:type="spellStart"/>
      <w:r>
        <w:t>DoCA’s</w:t>
      </w:r>
      <w:proofErr w:type="spellEnd"/>
      <w:r>
        <w:t xml:space="preserve"> leadership of</w:t>
      </w:r>
      <w:r w:rsidRPr="00D81EAB">
        <w:t xml:space="preserve"> </w:t>
      </w:r>
      <w:r>
        <w:t>the Government Spectrum Steering Committee (GSCC) in a technical advisory capacity.</w:t>
      </w:r>
      <w:r w:rsidDel="00D81EAB">
        <w:t xml:space="preserve"> </w:t>
      </w:r>
      <w:r>
        <w:t>The GSCC</w:t>
      </w:r>
      <w:r w:rsidR="00F9560D">
        <w:t xml:space="preserve"> comprises commonwealth agencies that rely on spectrum access to meet their business objectives. The GSCC was set</w:t>
      </w:r>
      <w:r w:rsidR="009D3560">
        <w:t xml:space="preserve"> </w:t>
      </w:r>
      <w:r w:rsidR="00F9560D">
        <w:t>up to improve transparency around the nature and management of commonwealth-held spectrum</w:t>
      </w:r>
      <w:r w:rsidR="00F9560D" w:rsidDel="0000676B">
        <w:t>.</w:t>
      </w:r>
    </w:p>
    <w:p w14:paraId="608F41D1" w14:textId="677F54A9" w:rsidR="00F9560D" w:rsidRDefault="00F9560D" w:rsidP="00D7755E">
      <w:r>
        <w:t xml:space="preserve">We continue to work with law enforcement agencies to assist with operation under the </w:t>
      </w:r>
      <w:hyperlink r:id="rId27" w:history="1">
        <w:r>
          <w:rPr>
            <w:rStyle w:val="Hyperlink"/>
          </w:rPr>
          <w:t>Electronic Counter Measures for Bomb Disposal Activities Exemption Determination</w:t>
        </w:r>
      </w:hyperlink>
      <w:r>
        <w:t xml:space="preserve"> and are working with </w:t>
      </w:r>
      <w:proofErr w:type="spellStart"/>
      <w:r>
        <w:t>DoCA</w:t>
      </w:r>
      <w:proofErr w:type="spellEnd"/>
      <w:r>
        <w:t xml:space="preserve"> and the Department of Home Affairs towards putting in place similar measures to support countermeasures against remote piloted aircraft systems (RPAS, or drones). </w:t>
      </w:r>
    </w:p>
    <w:p w14:paraId="1E371EB3" w14:textId="77777777" w:rsidR="00844615" w:rsidRDefault="00180017" w:rsidP="00D7755E">
      <w:r>
        <w:t>T</w:t>
      </w:r>
      <w:r w:rsidR="00F9560D">
        <w:t xml:space="preserve">he ACMA has been monitoring developments of RPAS regulatory arrangements, both internationally and within the Civil Aviation Safety Authority (CASA), as a precursor to reviewing planning and licensing arrangements for RPAS command and control radiocommunications systems. </w:t>
      </w:r>
    </w:p>
    <w:p w14:paraId="72DCE755" w14:textId="5D443F24" w:rsidR="00F9560D" w:rsidRDefault="00F9560D" w:rsidP="00D7755E">
      <w:r>
        <w:t xml:space="preserve">Currently, these systems are generally authorised under the </w:t>
      </w:r>
      <w:r w:rsidR="00004D7C">
        <w:t>Radiocommunications (</w:t>
      </w:r>
      <w:hyperlink r:id="rId28" w:history="1">
        <w:r>
          <w:rPr>
            <w:rStyle w:val="Hyperlink"/>
          </w:rPr>
          <w:t>Low Interference Potential Devices</w:t>
        </w:r>
        <w:r w:rsidR="00004D7C">
          <w:rPr>
            <w:rStyle w:val="Hyperlink"/>
          </w:rPr>
          <w:t>)</w:t>
        </w:r>
        <w:r>
          <w:rPr>
            <w:rStyle w:val="Hyperlink"/>
          </w:rPr>
          <w:t xml:space="preserve"> Class Licence</w:t>
        </w:r>
      </w:hyperlink>
      <w:r w:rsidR="00004D7C">
        <w:rPr>
          <w:rStyle w:val="Hyperlink"/>
        </w:rPr>
        <w:t xml:space="preserve"> 2015 (</w:t>
      </w:r>
      <w:r w:rsidR="00004D7C">
        <w:t>the LIPD class licence</w:t>
      </w:r>
      <w:r w:rsidR="00A56FF3">
        <w:t>)</w:t>
      </w:r>
      <w:r>
        <w:t>, however in the medium term the ACMA may look at creating a new type of RPAS-specific planning and apparatus licence in bands allocated to the Aeronautical Mobile Services in the 5 GHz band (specifically in the range 5030</w:t>
      </w:r>
      <w:r w:rsidR="00004D7C">
        <w:t>–</w:t>
      </w:r>
      <w:r>
        <w:t xml:space="preserve">5091 MHz). </w:t>
      </w:r>
    </w:p>
    <w:p w14:paraId="1FA3A41D" w14:textId="15A7CF5E" w:rsidR="00F9560D" w:rsidRDefault="00F9560D" w:rsidP="00D7755E">
      <w:r>
        <w:t>The necessity</w:t>
      </w:r>
      <w:r w:rsidR="00F722A0">
        <w:t xml:space="preserve"> of,</w:t>
      </w:r>
      <w:r>
        <w:t xml:space="preserve"> and planning arrangements for</w:t>
      </w:r>
      <w:r w:rsidR="00F722A0">
        <w:t>,</w:t>
      </w:r>
      <w:r>
        <w:t xml:space="preserve"> these licensing arrangements will be informed by CASA’s consideration of availability and protection requirements for these communications. It is likely that apparatus licensing would only be required for command and control of certain classes of RPAS operating in certain classes of airspace</w:t>
      </w:r>
      <w:r w:rsidR="009D3560">
        <w:t>—</w:t>
      </w:r>
      <w:r>
        <w:t xml:space="preserve">other consumer RPAS would continue to operate under the LIPD class licence. </w:t>
      </w:r>
    </w:p>
    <w:p w14:paraId="563D3816" w14:textId="211CB771" w:rsidR="00EA54D5" w:rsidRDefault="00EA54D5">
      <w:pPr>
        <w:pStyle w:val="Heading3"/>
        <w:rPr>
          <w:b w:val="0"/>
        </w:rPr>
      </w:pPr>
      <w:bookmarkStart w:id="169" w:name="_New_approaches_to"/>
      <w:bookmarkStart w:id="170" w:name="_Toc5025660"/>
      <w:bookmarkStart w:id="171" w:name="_Toc511716275"/>
      <w:bookmarkStart w:id="172" w:name="_Toc511719086"/>
      <w:bookmarkStart w:id="173" w:name="_Toc522794082"/>
      <w:bookmarkEnd w:id="169"/>
      <w:r w:rsidRPr="00D7755E">
        <w:t>New approaches to spectrum sharing</w:t>
      </w:r>
      <w:bookmarkEnd w:id="170"/>
    </w:p>
    <w:p w14:paraId="654AC182" w14:textId="77777777" w:rsidR="0010188F" w:rsidRDefault="00EA54D5">
      <w:r>
        <w:t xml:space="preserve">Spectrum sharing is fundamental to effective spectrum management and a key tool in maximising the benefits achieved through use of the spectrum resource. </w:t>
      </w:r>
    </w:p>
    <w:p w14:paraId="059D8F12" w14:textId="0EFDFCD8" w:rsidR="00EA54D5" w:rsidRDefault="00EA54D5">
      <w:r>
        <w:rPr>
          <w:rFonts w:cs="Arial"/>
        </w:rPr>
        <w:t xml:space="preserve">The ACMA, like many national spectrum managers, </w:t>
      </w:r>
      <w:r w:rsidR="00CF5999">
        <w:rPr>
          <w:rFonts w:cs="Arial"/>
        </w:rPr>
        <w:t xml:space="preserve">implements a range of spectrum </w:t>
      </w:r>
      <w:r>
        <w:rPr>
          <w:rFonts w:cs="Arial"/>
        </w:rPr>
        <w:t xml:space="preserve">sharing </w:t>
      </w:r>
      <w:r w:rsidR="00CF5999">
        <w:rPr>
          <w:rFonts w:cs="Arial"/>
        </w:rPr>
        <w:t xml:space="preserve">approaches </w:t>
      </w:r>
      <w:r>
        <w:rPr>
          <w:rFonts w:cs="Arial"/>
        </w:rPr>
        <w:t>to maximise the overall public benefit</w:t>
      </w:r>
      <w:r w:rsidR="00CF5999">
        <w:rPr>
          <w:rFonts w:cs="Arial"/>
        </w:rPr>
        <w:t xml:space="preserve"> derived from using spectrum</w:t>
      </w:r>
      <w:r>
        <w:rPr>
          <w:rFonts w:cs="Arial"/>
        </w:rPr>
        <w:t xml:space="preserve">. </w:t>
      </w:r>
      <w:r>
        <w:t xml:space="preserve">As with all forms of resource sharing, spectrum sharing requires some degree of compromise between multiple spectrum uses (that is, services or applications) </w:t>
      </w:r>
      <w:r w:rsidR="00CF5999">
        <w:t xml:space="preserve">and </w:t>
      </w:r>
      <w:r>
        <w:t xml:space="preserve">users (individual licensees) accessing the shared spectrum. </w:t>
      </w:r>
    </w:p>
    <w:p w14:paraId="0886484F" w14:textId="61CAF3A2" w:rsidR="00EA54D5" w:rsidRDefault="00EA54D5">
      <w:r>
        <w:t>Traditionally, spectrum sharing has largely focused on static approaches that establish coexistence arrangements defined through fixed geographic and spectral boundaries. More recently</w:t>
      </w:r>
      <w:r w:rsidR="00A56FF3">
        <w:t>,</w:t>
      </w:r>
      <w:r>
        <w:t xml:space="preserve"> new technologies and techniques have been developed that mak</w:t>
      </w:r>
      <w:r w:rsidR="00CF5999">
        <w:t>e</w:t>
      </w:r>
      <w:r>
        <w:t xml:space="preserve"> new approaches to spectrum sharing </w:t>
      </w:r>
      <w:r w:rsidR="00CF5999">
        <w:t xml:space="preserve">more </w:t>
      </w:r>
      <w:r>
        <w:t>viable</w:t>
      </w:r>
      <w:r w:rsidR="00CF5999">
        <w:t xml:space="preserve">. These include </w:t>
      </w:r>
      <w:r>
        <w:t xml:space="preserve">dynamic </w:t>
      </w:r>
      <w:r w:rsidR="00CF5999">
        <w:t xml:space="preserve">sharing approaches </w:t>
      </w:r>
      <w:r>
        <w:t xml:space="preserve">sometimes referred to collectively as dynamic spectrum access (DSA) or dynamic spectrum management. These techniques typically take advantage of time-based changes in spectrum use by spectrum users—that is, some spectrum users may not use all the spectrum, in all geographic areas, all the time. </w:t>
      </w:r>
    </w:p>
    <w:p w14:paraId="2290BCF7" w14:textId="77777777" w:rsidR="00EA54D5" w:rsidRDefault="00EA54D5">
      <w:r>
        <w:t>In practice, DSA approaches have relied on a hierarchical access approach, where lower-tier users</w:t>
      </w:r>
      <w:r>
        <w:rPr>
          <w:rStyle w:val="FootnoteReference"/>
        </w:rPr>
        <w:footnoteReference w:id="13"/>
      </w:r>
      <w:r>
        <w:t xml:space="preserve"> dynamically give way to higher-tier users. Clarity on tier rights is </w:t>
      </w:r>
      <w:r>
        <w:lastRenderedPageBreak/>
        <w:t>important as it provides confidence to each user about the terms of spectrum access, which allows an assessment of whether the access is suitable to their needs.</w:t>
      </w:r>
    </w:p>
    <w:p w14:paraId="25AE2766" w14:textId="509DAA9D" w:rsidR="00EA54D5" w:rsidRDefault="00EA54D5">
      <w:r>
        <w:t xml:space="preserve">Tiered sharing works best when the users are complementary in nature—for example, when one user’s usage is intermittent (often the top-tier user) and the lower-tier user can accept that in some circumstances they will need to cease operations for some time. If this condition cannot be met, then enough spectrum is needed to ensure there is a high probability of </w:t>
      </w:r>
      <w:r w:rsidR="0010188F">
        <w:t>enough</w:t>
      </w:r>
      <w:r>
        <w:t xml:space="preserve"> clear, unused, spectrum being available to meet all user needs. Lower-tier users are unlikely to invest in expensive infrastructure without sufficiently reliable spectrum access. </w:t>
      </w:r>
    </w:p>
    <w:p w14:paraId="252A3B77" w14:textId="6A66C3B1" w:rsidR="00EA54D5" w:rsidRDefault="00EA54D5">
      <w:r>
        <w:t xml:space="preserve">DSA </w:t>
      </w:r>
      <w:r w:rsidR="00B57D57">
        <w:t xml:space="preserve">implementations to date have been limited, </w:t>
      </w:r>
      <w:r w:rsidDel="00B57D57">
        <w:t xml:space="preserve">in </w:t>
      </w:r>
      <w:r>
        <w:t xml:space="preserve">part due to technological </w:t>
      </w:r>
      <w:r w:rsidR="00B57D57">
        <w:t>constraints</w:t>
      </w:r>
      <w:r>
        <w:t xml:space="preserve">, spectrum availability factors and user expectations. As such, regulatory frameworks have not been widely developed to facilitate spectrum sharing through DSA. However, </w:t>
      </w:r>
      <w:r w:rsidR="0010188F">
        <w:t>several</w:t>
      </w:r>
      <w:r>
        <w:t xml:space="preserve"> DSA frameworks have been proposed or introduced by overseas spectrum regulators</w:t>
      </w:r>
      <w:r w:rsidR="007F7991">
        <w:t xml:space="preserve"> (for example</w:t>
      </w:r>
      <w:r w:rsidR="007C0B07">
        <w:t>,</w:t>
      </w:r>
      <w:r w:rsidR="007F7991">
        <w:t xml:space="preserve"> the F</w:t>
      </w:r>
      <w:r w:rsidR="00FF1179">
        <w:t>ederal Communications Commission</w:t>
      </w:r>
      <w:r w:rsidR="007F7991">
        <w:t xml:space="preserve"> </w:t>
      </w:r>
      <w:r w:rsidR="003E3FDF">
        <w:t xml:space="preserve">(FCC) </w:t>
      </w:r>
      <w:r w:rsidR="007F7991">
        <w:t xml:space="preserve">and </w:t>
      </w:r>
      <w:proofErr w:type="spellStart"/>
      <w:r w:rsidR="007F7991">
        <w:t>Ofcom</w:t>
      </w:r>
      <w:proofErr w:type="spellEnd"/>
      <w:r w:rsidR="00E84B24">
        <w:t>)</w:t>
      </w:r>
      <w:r>
        <w:t xml:space="preserve"> with corresponding domestic interest in such approaches now growing. </w:t>
      </w:r>
    </w:p>
    <w:p w14:paraId="4D52D254" w14:textId="5A1A9ABC" w:rsidR="00CD61C3" w:rsidRDefault="00EA54D5">
      <w:r>
        <w:t>The ACMA will continue to monitor international regulatory and technical developments</w:t>
      </w:r>
      <w:r w:rsidR="0010188F">
        <w:t xml:space="preserve"> and</w:t>
      </w:r>
      <w:r>
        <w:t xml:space="preserve"> investigate and implement new sharing opportunities such as DSA arrangements when and where appropriate. </w:t>
      </w:r>
      <w:r w:rsidR="007E28C7">
        <w:t>Th</w:t>
      </w:r>
      <w:r w:rsidR="00BB0B09">
        <w:t>e</w:t>
      </w:r>
      <w:r w:rsidR="007E28C7">
        <w:t xml:space="preserve"> ACMA is also aware of related regulatory approaches to sharing such as licensed shared access and is monitoring technological developments that could facilitate more intensive spectrum sharing. </w:t>
      </w:r>
    </w:p>
    <w:p w14:paraId="6037FBAD" w14:textId="5B91D260" w:rsidR="00EA54D5" w:rsidRDefault="00EA54D5">
      <w:r>
        <w:t xml:space="preserve">To facilitate a discussion with industry to share ideas and develop a common understanding on the issues and opportunities with new sharing approaches, the ACMA </w:t>
      </w:r>
      <w:r w:rsidR="00E47AFA">
        <w:t>is considering hosting a</w:t>
      </w:r>
      <w:r w:rsidR="00BA48AA">
        <w:t xml:space="preserve"> </w:t>
      </w:r>
      <w:r w:rsidR="00397DC6">
        <w:t>‘s</w:t>
      </w:r>
      <w:r>
        <w:t xml:space="preserve">pectrum </w:t>
      </w:r>
      <w:r w:rsidR="00397DC6">
        <w:t>t</w:t>
      </w:r>
      <w:r>
        <w:t>une-up</w:t>
      </w:r>
      <w:r w:rsidR="00397DC6">
        <w:t>’</w:t>
      </w:r>
      <w:r>
        <w:t xml:space="preserve"> on the issue and</w:t>
      </w:r>
      <w:r w:rsidR="00333AEA">
        <w:t>, if it were to proceed, would</w:t>
      </w:r>
      <w:r>
        <w:t xml:space="preserve"> release </w:t>
      </w:r>
      <w:r w:rsidR="00AC3804">
        <w:t>a</w:t>
      </w:r>
      <w:r w:rsidDel="00AC3804">
        <w:t xml:space="preserve"> </w:t>
      </w:r>
      <w:r>
        <w:t xml:space="preserve">paper to assist the discussion. </w:t>
      </w:r>
    </w:p>
    <w:p w14:paraId="5EBF0592" w14:textId="77777777" w:rsidR="00EA54D5" w:rsidRDefault="00EA54D5">
      <w:pPr>
        <w:pStyle w:val="Heading3"/>
        <w:rPr>
          <w:b w:val="0"/>
        </w:rPr>
      </w:pPr>
      <w:bookmarkStart w:id="174" w:name="_Toc5025661"/>
      <w:r w:rsidRPr="00D7755E">
        <w:t>Class licensing and the spectrum commons</w:t>
      </w:r>
      <w:bookmarkEnd w:id="174"/>
    </w:p>
    <w:p w14:paraId="16C83683" w14:textId="0440831F" w:rsidR="001B76B6" w:rsidRDefault="001B76B6">
      <w:r>
        <w:t>Significant changes in d</w:t>
      </w:r>
      <w:r w:rsidR="000D1444">
        <w:t>emand for spectrum in class</w:t>
      </w:r>
      <w:r w:rsidR="007C0B07">
        <w:t>-</w:t>
      </w:r>
      <w:r w:rsidR="000D1444">
        <w:t>licen</w:t>
      </w:r>
      <w:r w:rsidR="00DF6126">
        <w:t>s</w:t>
      </w:r>
      <w:r w:rsidR="000D1444">
        <w:t>ed bands</w:t>
      </w:r>
      <w:r w:rsidR="009228B8">
        <w:t>, including Wi-Fi,</w:t>
      </w:r>
      <w:r w:rsidR="000D1444">
        <w:t xml:space="preserve"> is monitored through </w:t>
      </w:r>
      <w:r w:rsidR="00F042EC">
        <w:t xml:space="preserve">the ACMA’s active </w:t>
      </w:r>
      <w:r w:rsidR="000D1444">
        <w:t>environmental awareness</w:t>
      </w:r>
      <w:r w:rsidRPr="001B76B6">
        <w:t xml:space="preserve"> </w:t>
      </w:r>
      <w:r>
        <w:t>and stakeholder feedback</w:t>
      </w:r>
      <w:r w:rsidR="000D1444">
        <w:t>.</w:t>
      </w:r>
    </w:p>
    <w:p w14:paraId="3373556E" w14:textId="41F16751" w:rsidR="00E50661" w:rsidRDefault="00EA54D5">
      <w:r>
        <w:t xml:space="preserve">Class licensing is the approach used in Australia to implement </w:t>
      </w:r>
      <w:r w:rsidR="003D2F51">
        <w:t>less closely managed spectrum arrangements, including</w:t>
      </w:r>
      <w:r>
        <w:t xml:space="preserve"> ‘spectrum commons</w:t>
      </w:r>
      <w:r w:rsidR="00B45DAB">
        <w:t>’</w:t>
      </w:r>
      <w:r w:rsidR="003D2F51">
        <w:t>.</w:t>
      </w:r>
      <w:r>
        <w:t xml:space="preserve"> </w:t>
      </w:r>
      <w:r w:rsidR="00E50661">
        <w:t>The fundamental idea of a spectrum commons is that anyone can use commons spectrum, so long as they follow the set rules</w:t>
      </w:r>
      <w:r w:rsidR="005F6C41">
        <w:rPr>
          <w:rStyle w:val="FootnoteReference"/>
        </w:rPr>
        <w:footnoteReference w:id="14"/>
      </w:r>
      <w:r w:rsidR="007C0B07">
        <w:t>—</w:t>
      </w:r>
      <w:r w:rsidR="00E50661">
        <w:t>in Australia those r</w:t>
      </w:r>
      <w:r w:rsidR="0010188F">
        <w:t>u</w:t>
      </w:r>
      <w:r w:rsidR="00E50661">
        <w:t>les are set out in class licences.</w:t>
      </w:r>
    </w:p>
    <w:p w14:paraId="03969275" w14:textId="39F2F25C" w:rsidR="00CD61C3" w:rsidRDefault="003D2F51">
      <w:r>
        <w:t>Class licences</w:t>
      </w:r>
      <w:r w:rsidR="00EA54D5" w:rsidDel="003D2F51">
        <w:t xml:space="preserve"> </w:t>
      </w:r>
      <w:r>
        <w:t xml:space="preserve">make available </w:t>
      </w:r>
      <w:r w:rsidR="00EA54D5">
        <w:t xml:space="preserve">spectrum used by services which </w:t>
      </w:r>
      <w:r w:rsidR="001D376C">
        <w:t xml:space="preserve">operate on a </w:t>
      </w:r>
      <w:r w:rsidR="00EA54D5">
        <w:t>limited set of common frequencies under a common set of conditions</w:t>
      </w:r>
      <w:r w:rsidR="001D376C">
        <w:t xml:space="preserve"> and </w:t>
      </w:r>
      <w:r w:rsidR="00A64DB5">
        <w:t xml:space="preserve">often comply with industry or legislative </w:t>
      </w:r>
      <w:r w:rsidR="001D376C">
        <w:t>standards</w:t>
      </w:r>
      <w:r w:rsidR="00EA54D5">
        <w:t xml:space="preserve">. Class licences authorise users of designated segments of spectrum to operate on a shared basis. </w:t>
      </w:r>
      <w:r>
        <w:t xml:space="preserve">Class licences do </w:t>
      </w:r>
      <w:r w:rsidR="00EA54D5">
        <w:t xml:space="preserve">not involve licence fees, and there is minimal regulatory overhead </w:t>
      </w:r>
      <w:r w:rsidR="0090224F">
        <w:t xml:space="preserve">for </w:t>
      </w:r>
      <w:r w:rsidR="00EA54D5">
        <w:t xml:space="preserve">spectrum users. </w:t>
      </w:r>
    </w:p>
    <w:p w14:paraId="61459731" w14:textId="384892CE" w:rsidR="00EA54D5" w:rsidRDefault="00B136B3">
      <w:r>
        <w:t>In Australia, the</w:t>
      </w:r>
      <w:r w:rsidR="00A56FF3">
        <w:t xml:space="preserve"> LIPD class licence</w:t>
      </w:r>
      <w:r>
        <w:t xml:space="preserve"> </w:t>
      </w:r>
      <w:r w:rsidR="00CC2FB3">
        <w:t xml:space="preserve">authorises </w:t>
      </w:r>
      <w:r w:rsidR="0010188F">
        <w:t>most</w:t>
      </w:r>
      <w:r w:rsidR="00CC2FB3">
        <w:t xml:space="preserve"> class</w:t>
      </w:r>
      <w:r w:rsidR="007C0B07">
        <w:t>-</w:t>
      </w:r>
      <w:r w:rsidR="00CC2FB3">
        <w:t>licen</w:t>
      </w:r>
      <w:r w:rsidR="00DF6126">
        <w:t>s</w:t>
      </w:r>
      <w:r w:rsidR="00CC2FB3">
        <w:t>ed devices, including Wi-Fi and Bluetooth services along with a range of other uses including certain spread spectrum and ultra-wideband transmitters.</w:t>
      </w:r>
    </w:p>
    <w:p w14:paraId="397547AB" w14:textId="5334CB71" w:rsidR="00281E49" w:rsidRDefault="00CF505E">
      <w:r>
        <w:t>I</w:t>
      </w:r>
      <w:r w:rsidR="00281E49">
        <w:t>n many class</w:t>
      </w:r>
      <w:r w:rsidR="007C0B07">
        <w:t>-</w:t>
      </w:r>
      <w:r w:rsidR="00281E49">
        <w:t xml:space="preserve">licensed bands, particularly those included in </w:t>
      </w:r>
      <w:r w:rsidR="00365C08">
        <w:t xml:space="preserve">the </w:t>
      </w:r>
      <w:r w:rsidR="00281E49">
        <w:t xml:space="preserve">LIPD class licence, use of the spectrum is on an uncoordinated basis </w:t>
      </w:r>
      <w:r w:rsidR="000D1444">
        <w:t xml:space="preserve">and </w:t>
      </w:r>
      <w:r w:rsidR="00281E49">
        <w:t>sharing mechanisms are implemented via technical and operational conditions on device usage</w:t>
      </w:r>
      <w:r w:rsidR="000D1444">
        <w:t xml:space="preserve">, and, in some </w:t>
      </w:r>
      <w:r w:rsidR="000D1444">
        <w:lastRenderedPageBreak/>
        <w:t>cases, network or system design considerations</w:t>
      </w:r>
      <w:r w:rsidR="00281E49">
        <w:t xml:space="preserve">. In </w:t>
      </w:r>
      <w:r w:rsidR="009162AA">
        <w:t>such bands</w:t>
      </w:r>
      <w:r w:rsidR="00281E49">
        <w:t xml:space="preserve">, protection of individual devices from interference cannot be guaranteed. This </w:t>
      </w:r>
      <w:r w:rsidR="00365C08">
        <w:t xml:space="preserve">relatively low </w:t>
      </w:r>
      <w:r w:rsidR="00281E49">
        <w:t xml:space="preserve">level of interference protection means that these bands are </w:t>
      </w:r>
      <w:r w:rsidR="0049086C">
        <w:t xml:space="preserve">not </w:t>
      </w:r>
      <w:r w:rsidR="00281E49">
        <w:t xml:space="preserve">useful for </w:t>
      </w:r>
      <w:r w:rsidR="0049086C">
        <w:t xml:space="preserve">all </w:t>
      </w:r>
      <w:r w:rsidR="00281E49">
        <w:t xml:space="preserve">applications. </w:t>
      </w:r>
      <w:r>
        <w:t>T</w:t>
      </w:r>
      <w:r w:rsidR="0049086C">
        <w:t xml:space="preserve">his </w:t>
      </w:r>
      <w:r w:rsidR="00281E49">
        <w:t xml:space="preserve">is balanced by </w:t>
      </w:r>
      <w:r w:rsidR="000D1444">
        <w:t xml:space="preserve">the </w:t>
      </w:r>
      <w:r w:rsidR="00281E49">
        <w:t xml:space="preserve">high degree of flexibility </w:t>
      </w:r>
      <w:r w:rsidR="000D1444">
        <w:t xml:space="preserve">that is </w:t>
      </w:r>
      <w:r w:rsidR="00281E49">
        <w:t xml:space="preserve">possible in </w:t>
      </w:r>
      <w:r w:rsidR="000D1444">
        <w:t xml:space="preserve">the </w:t>
      </w:r>
      <w:r w:rsidR="00281E49">
        <w:t>use of these class</w:t>
      </w:r>
      <w:r w:rsidR="00D1527A">
        <w:t>-</w:t>
      </w:r>
      <w:r w:rsidR="00281E49">
        <w:t xml:space="preserve">licensed bands. </w:t>
      </w:r>
    </w:p>
    <w:p w14:paraId="5B1BF306" w14:textId="319F6F23" w:rsidR="00EA54D5" w:rsidRDefault="00EA54D5">
      <w:r>
        <w:t>This flexibility</w:t>
      </w:r>
      <w:r w:rsidR="009228B8">
        <w:t xml:space="preserve">, </w:t>
      </w:r>
      <w:r>
        <w:t>and</w:t>
      </w:r>
      <w:r w:rsidR="009228B8">
        <w:t xml:space="preserve"> the absence of licensing fees, </w:t>
      </w:r>
      <w:r>
        <w:t xml:space="preserve">has </w:t>
      </w:r>
      <w:r w:rsidR="009228B8">
        <w:t xml:space="preserve">enabled </w:t>
      </w:r>
      <w:r>
        <w:t>massive innovation both in technology use and deployment approaches</w:t>
      </w:r>
      <w:r w:rsidR="009228B8">
        <w:t xml:space="preserve"> in some class</w:t>
      </w:r>
      <w:r w:rsidR="007C0B07">
        <w:t>-</w:t>
      </w:r>
      <w:r w:rsidR="009228B8">
        <w:t>licensed bands</w:t>
      </w:r>
      <w:r>
        <w:t xml:space="preserve">.  There is no greater example of this than the 2.4 and 5 GHz bands </w:t>
      </w:r>
      <w:r w:rsidR="003360A4">
        <w:t xml:space="preserve">that are </w:t>
      </w:r>
      <w:r>
        <w:t xml:space="preserve">class licensed </w:t>
      </w:r>
      <w:r w:rsidR="003360A4">
        <w:t xml:space="preserve">and </w:t>
      </w:r>
      <w:r>
        <w:t>used for radio local area networks (RLANs)</w:t>
      </w:r>
      <w:r w:rsidR="007C0B07">
        <w:t>—</w:t>
      </w:r>
      <w:r>
        <w:t>especially Wi</w:t>
      </w:r>
      <w:r w:rsidR="003E3B37">
        <w:t>-</w:t>
      </w:r>
      <w:r>
        <w:t>Fi.</w:t>
      </w:r>
    </w:p>
    <w:p w14:paraId="5A470D9C" w14:textId="2B6D8964" w:rsidR="00EA54D5" w:rsidRDefault="00EA54D5" w:rsidP="00E26672">
      <w:r>
        <w:t>Wi-Fi devices now carry approximately half of all global Internet Protocol (IP) traffic</w:t>
      </w:r>
      <w:r>
        <w:rPr>
          <w:rStyle w:val="FootnoteReference"/>
        </w:rPr>
        <w:footnoteReference w:id="15"/>
      </w:r>
      <w:r>
        <w:t xml:space="preserve"> with Wi</w:t>
      </w:r>
      <w:r w:rsidR="003E3B37">
        <w:t>-</w:t>
      </w:r>
      <w:r>
        <w:t>Fi networks almost ubiquitous in homes and business</w:t>
      </w:r>
      <w:r w:rsidR="00A23463">
        <w:t>es</w:t>
      </w:r>
      <w:r>
        <w:t xml:space="preserve"> along with many public space</w:t>
      </w:r>
      <w:r w:rsidR="003B46D3">
        <w:t>s</w:t>
      </w:r>
      <w:r>
        <w:t xml:space="preserve">. There are regular questions </w:t>
      </w:r>
      <w:r w:rsidR="003B46D3">
        <w:t xml:space="preserve">about </w:t>
      </w:r>
      <w:r>
        <w:t>whether the class</w:t>
      </w:r>
      <w:r w:rsidR="007C0B07">
        <w:t>-</w:t>
      </w:r>
      <w:r>
        <w:t>licensed bands used for Wi</w:t>
      </w:r>
      <w:r w:rsidR="003E3B37">
        <w:t>-</w:t>
      </w:r>
      <w:r>
        <w:t xml:space="preserve">Fi are victims of their own success </w:t>
      </w:r>
      <w:r w:rsidR="003B46D3">
        <w:t xml:space="preserve">and </w:t>
      </w:r>
      <w:r>
        <w:t>are experiencing spectrum congestion due to their utilisation. These questions are hard to answer definitive</w:t>
      </w:r>
      <w:r w:rsidR="003B46D3">
        <w:t>ly. W</w:t>
      </w:r>
      <w:r>
        <w:t xml:space="preserve">hile there are anecdotal reports of congestion events </w:t>
      </w:r>
      <w:r w:rsidR="003B46D3">
        <w:t>(</w:t>
      </w:r>
      <w:r w:rsidR="00EA60DE">
        <w:t>for example,</w:t>
      </w:r>
      <w:r w:rsidR="003B46D3">
        <w:t xml:space="preserve"> poor </w:t>
      </w:r>
      <w:r>
        <w:t>or no Wi</w:t>
      </w:r>
      <w:r w:rsidR="003E3B37">
        <w:t>-</w:t>
      </w:r>
      <w:r>
        <w:t>Fi coverage</w:t>
      </w:r>
      <w:r w:rsidR="003B46D3">
        <w:t>)</w:t>
      </w:r>
      <w:r w:rsidR="007C0B07">
        <w:t>,</w:t>
      </w:r>
      <w:r>
        <w:t xml:space="preserve"> it is </w:t>
      </w:r>
      <w:r w:rsidR="003B46D3">
        <w:t xml:space="preserve">difficult </w:t>
      </w:r>
      <w:r>
        <w:t>to determine the cause</w:t>
      </w:r>
      <w:r w:rsidR="003B46D3">
        <w:t>, which could be</w:t>
      </w:r>
      <w:r>
        <w:t xml:space="preserve"> spectrum interference</w:t>
      </w:r>
      <w:r w:rsidR="007C0B07">
        <w:t>,</w:t>
      </w:r>
      <w:r w:rsidR="003B46D3">
        <w:t xml:space="preserve"> </w:t>
      </w:r>
      <w:r>
        <w:t>congestion</w:t>
      </w:r>
      <w:r w:rsidR="003B46D3">
        <w:t xml:space="preserve"> </w:t>
      </w:r>
      <w:r>
        <w:t>or</w:t>
      </w:r>
      <w:r w:rsidR="0038436D">
        <w:t xml:space="preserve"> a range of</w:t>
      </w:r>
      <w:r>
        <w:t xml:space="preserve"> other factors</w:t>
      </w:r>
      <w:r w:rsidR="003B46D3">
        <w:t>.</w:t>
      </w:r>
      <w:r>
        <w:t xml:space="preserve"> </w:t>
      </w:r>
    </w:p>
    <w:p w14:paraId="0F904BE1" w14:textId="243C84EA" w:rsidR="00CC78AD" w:rsidRDefault="00CC78AD" w:rsidP="00E26672">
      <w:r>
        <w:t>T</w:t>
      </w:r>
      <w:r w:rsidR="00EA54D5">
        <w:t xml:space="preserve">he ACMA </w:t>
      </w:r>
      <w:r>
        <w:t>will continue to</w:t>
      </w:r>
      <w:r w:rsidR="00EA54D5">
        <w:t xml:space="preserve"> review </w:t>
      </w:r>
      <w:r w:rsidR="00954440">
        <w:t xml:space="preserve">class licensing </w:t>
      </w:r>
      <w:r w:rsidR="00EA54D5">
        <w:t>arrangement</w:t>
      </w:r>
      <w:r w:rsidR="00954440">
        <w:t>s</w:t>
      </w:r>
      <w:r w:rsidR="00EA54D5">
        <w:t xml:space="preserve"> to assess whether regulatory settings can be changed to support the ongoing benefits derive</w:t>
      </w:r>
      <w:r w:rsidR="00954440">
        <w:t>d</w:t>
      </w:r>
      <w:r w:rsidR="00EA54D5">
        <w:t xml:space="preserve"> from RLANs and Wi</w:t>
      </w:r>
      <w:r w:rsidR="003E3B37">
        <w:t>-</w:t>
      </w:r>
      <w:r w:rsidR="00EA54D5">
        <w:t xml:space="preserve">Fi. </w:t>
      </w:r>
      <w:r w:rsidR="00C61187">
        <w:t>C</w:t>
      </w:r>
      <w:r>
        <w:t>onsider</w:t>
      </w:r>
      <w:r w:rsidR="00C61187">
        <w:t>ations will include</w:t>
      </w:r>
      <w:r w:rsidR="00EA54D5">
        <w:t xml:space="preserve"> whether more spectrum is required and </w:t>
      </w:r>
      <w:r>
        <w:t xml:space="preserve">if </w:t>
      </w:r>
      <w:r w:rsidR="00EA54D5">
        <w:t xml:space="preserve">changes to existing arrangements are necessary. </w:t>
      </w:r>
      <w:r>
        <w:t xml:space="preserve">For example, </w:t>
      </w:r>
      <w:r w:rsidR="00400A7B">
        <w:t>the ACMA can consider whether</w:t>
      </w:r>
      <w:r w:rsidR="00EA54D5">
        <w:t xml:space="preserve"> existing class licence conditions such as power</w:t>
      </w:r>
      <w:r w:rsidR="003360A4">
        <w:t xml:space="preserve"> level</w:t>
      </w:r>
      <w:r w:rsidR="00EA54D5">
        <w:t>s and other operating conditions (</w:t>
      </w:r>
      <w:r w:rsidR="00637B9F">
        <w:t>for example,</w:t>
      </w:r>
      <w:r w:rsidR="00EA54D5">
        <w:t xml:space="preserve"> indoor usage limitations in some frequency ranges) </w:t>
      </w:r>
      <w:r w:rsidR="00C61187">
        <w:t>should be reviewed.</w:t>
      </w:r>
    </w:p>
    <w:p w14:paraId="72E2111B" w14:textId="40C3D8B4" w:rsidR="00EA54D5" w:rsidRDefault="00954440">
      <w:r>
        <w:t xml:space="preserve">As described in this </w:t>
      </w:r>
      <w:r w:rsidR="006960A5">
        <w:t xml:space="preserve">(see </w:t>
      </w:r>
      <w:r w:rsidR="00DF0112" w:rsidRPr="00DE694D">
        <w:t>Part 2</w:t>
      </w:r>
      <w:r w:rsidR="006960A5">
        <w:t xml:space="preserve">) </w:t>
      </w:r>
      <w:r>
        <w:t>and previous FYSOs, the ACMA regularly updates class licences to improve their operation and reflect changes in demand for access to class</w:t>
      </w:r>
      <w:r w:rsidR="00D1527A">
        <w:t>-</w:t>
      </w:r>
      <w:r>
        <w:t>licensed spectrum.</w:t>
      </w:r>
    </w:p>
    <w:p w14:paraId="65B7272D" w14:textId="1B68320D" w:rsidR="00EA54D5" w:rsidRDefault="00EA54D5">
      <w:r>
        <w:t xml:space="preserve">As part of </w:t>
      </w:r>
      <w:r w:rsidR="009955CD">
        <w:t xml:space="preserve">ongoing </w:t>
      </w:r>
      <w:r>
        <w:t>environmental awareness, the ACMA monitors and, if appropriate, responds to</w:t>
      </w:r>
      <w:r w:rsidR="00637B9F">
        <w:t>,</w:t>
      </w:r>
      <w:r>
        <w:t xml:space="preserve"> developments in Wi</w:t>
      </w:r>
      <w:r w:rsidR="003E3B37">
        <w:t>-</w:t>
      </w:r>
      <w:r>
        <w:t xml:space="preserve">Fi and RLAN technology. </w:t>
      </w:r>
      <w:r w:rsidR="007C0B07">
        <w:t>T</w:t>
      </w:r>
      <w:r>
        <w:t>he ACMA recently consulted on making spectrum available via class licensing in the 66</w:t>
      </w:r>
      <w:r w:rsidR="004E64E0">
        <w:t>–</w:t>
      </w:r>
      <w:r>
        <w:t>71 GHz frequency range expected to support wireless gigabit RLANs (for exampl</w:t>
      </w:r>
      <w:r w:rsidR="003360A4">
        <w:t>e,</w:t>
      </w:r>
      <w:r>
        <w:t xml:space="preserve"> utilising IEEE 802.11ad). </w:t>
      </w:r>
    </w:p>
    <w:p w14:paraId="3E66D89E" w14:textId="237956FA" w:rsidR="00EA54D5" w:rsidRDefault="00C61187">
      <w:r>
        <w:t>There are</w:t>
      </w:r>
      <w:r w:rsidR="00EA54D5">
        <w:t xml:space="preserve"> global developments in making more spectrum available for </w:t>
      </w:r>
      <w:r w:rsidR="003E3B37">
        <w:t>Wi-Fi</w:t>
      </w:r>
      <w:r w:rsidR="00EA54D5">
        <w:t xml:space="preserve"> above the 5 GHz band already included in the LIPD</w:t>
      </w:r>
      <w:r w:rsidR="00A56FF3">
        <w:t xml:space="preserve"> class licence</w:t>
      </w:r>
      <w:r w:rsidR="00EA54D5">
        <w:t>. For example, in the US the FCC has commenced a notice of proposed rulemaking proposing rules in the 5925</w:t>
      </w:r>
      <w:r w:rsidR="004E64E0">
        <w:t>–</w:t>
      </w:r>
      <w:r w:rsidR="00EA54D5">
        <w:t xml:space="preserve">7125 MHz band that would support </w:t>
      </w:r>
      <w:r w:rsidR="003E3B37">
        <w:t>Wi-Fi</w:t>
      </w:r>
      <w:r w:rsidR="00EA54D5">
        <w:t xml:space="preserve"> use</w:t>
      </w:r>
      <w:r w:rsidR="00AC2382">
        <w:t>.</w:t>
      </w:r>
      <w:r w:rsidR="00EA54D5">
        <w:rPr>
          <w:rStyle w:val="FootnoteReference"/>
        </w:rPr>
        <w:footnoteReference w:id="16"/>
      </w:r>
      <w:r w:rsidR="00EA54D5">
        <w:t xml:space="preserve"> This would create over another 1 GHz of spectrum available for </w:t>
      </w:r>
      <w:r w:rsidR="003E3B37">
        <w:t>Wi-Fi</w:t>
      </w:r>
      <w:r w:rsidR="009955CD">
        <w:t xml:space="preserve"> in this band</w:t>
      </w:r>
      <w:r w:rsidR="00EA54D5">
        <w:t>. The ACMA will monitor the progress of this issue</w:t>
      </w:r>
      <w:r w:rsidR="00AC2382">
        <w:t>—</w:t>
      </w:r>
      <w:r w:rsidR="00EA54D5">
        <w:t xml:space="preserve">particularly the matter of coexistence between possible </w:t>
      </w:r>
      <w:r w:rsidR="003E3B37">
        <w:t>Wi-Fi</w:t>
      </w:r>
      <w:r w:rsidR="00EA54D5">
        <w:t xml:space="preserve"> </w:t>
      </w:r>
      <w:r w:rsidR="00400A7B">
        <w:t xml:space="preserve">and similar </w:t>
      </w:r>
      <w:r w:rsidR="00EA54D5">
        <w:t>use</w:t>
      </w:r>
      <w:r w:rsidR="00400A7B">
        <w:t>s</w:t>
      </w:r>
      <w:r w:rsidR="00EA54D5">
        <w:t xml:space="preserve"> of the band with other uses such as satellite uplinks and fixed links. </w:t>
      </w:r>
    </w:p>
    <w:p w14:paraId="0A90F520" w14:textId="2841248E" w:rsidR="00EA54D5" w:rsidRDefault="00EA54D5">
      <w:r>
        <w:t xml:space="preserve">The ACMA will monitor both domestic and international factors that inform consideration of changes to class licensing arrangements in Australia. </w:t>
      </w:r>
    </w:p>
    <w:p w14:paraId="6A6E171B" w14:textId="77777777" w:rsidR="00082A09" w:rsidRPr="00082A09" w:rsidRDefault="00082A09" w:rsidP="005F669A">
      <w:pPr>
        <w:pStyle w:val="Heading3"/>
      </w:pPr>
      <w:bookmarkStart w:id="175" w:name="_Toc5025662"/>
      <w:bookmarkEnd w:id="171"/>
      <w:bookmarkEnd w:id="172"/>
      <w:bookmarkEnd w:id="173"/>
      <w:r w:rsidRPr="00082A09">
        <w:lastRenderedPageBreak/>
        <w:t>Amateur radio</w:t>
      </w:r>
      <w:bookmarkEnd w:id="175"/>
    </w:p>
    <w:p w14:paraId="1C795EEC" w14:textId="637B221F" w:rsidR="00082A09" w:rsidRPr="00414FFF" w:rsidRDefault="00082A09" w:rsidP="00DE694D">
      <w:r w:rsidRPr="00C0487A">
        <w:t>The amateur service is a longstanding user of radiofrequency spectrum, with a range of ba</w:t>
      </w:r>
      <w:r w:rsidRPr="00E402DA">
        <w:t>nds made available for qualified amateurs. The amateur service is designed pr</w:t>
      </w:r>
      <w:r w:rsidRPr="00414FFF">
        <w:t xml:space="preserve">imarily to facilitate hobby radiocommunications and technical experimentation. Amateur radio operators communicate using transmission modes including, but not limited to, Morse code, </w:t>
      </w:r>
      <w:r w:rsidR="006231E7">
        <w:t>voice</w:t>
      </w:r>
      <w:r w:rsidRPr="00414FFF">
        <w:t xml:space="preserve"> and data.</w:t>
      </w:r>
    </w:p>
    <w:p w14:paraId="46DFAD19" w14:textId="46A8628D" w:rsidR="00C61187" w:rsidRPr="00414FFF" w:rsidRDefault="00082A09" w:rsidP="00DE694D">
      <w:r w:rsidRPr="00414FFF">
        <w:t>The ACMA</w:t>
      </w:r>
      <w:r w:rsidR="006231E7" w:rsidRPr="00414FFF">
        <w:t>’s amateur</w:t>
      </w:r>
      <w:r w:rsidR="004534D7">
        <w:t>-</w:t>
      </w:r>
      <w:r w:rsidR="006231E7" w:rsidRPr="00414FFF">
        <w:t xml:space="preserve">related work program is multidimensional. </w:t>
      </w:r>
      <w:r w:rsidRPr="00414FFF">
        <w:t>The ACMA support</w:t>
      </w:r>
      <w:r w:rsidR="006231E7" w:rsidRPr="00414FFF">
        <w:t>s</w:t>
      </w:r>
      <w:r w:rsidRPr="00414FFF">
        <w:t xml:space="preserve"> the amateur service through planning arrangements </w:t>
      </w:r>
      <w:r w:rsidR="006231E7" w:rsidRPr="005F669A">
        <w:t xml:space="preserve">which recognise the desires of amateur radio operators to </w:t>
      </w:r>
      <w:r w:rsidR="004A29EC" w:rsidRPr="00CD7A87">
        <w:t xml:space="preserve">access </w:t>
      </w:r>
      <w:r w:rsidR="006231E7" w:rsidRPr="005F669A">
        <w:t>frequency bands,</w:t>
      </w:r>
      <w:r w:rsidRPr="00C0487A">
        <w:t xml:space="preserve"> </w:t>
      </w:r>
      <w:r w:rsidRPr="00E402DA">
        <w:t>while balancing other demands for spectrum.</w:t>
      </w:r>
      <w:r w:rsidR="006231E7" w:rsidRPr="00414FFF">
        <w:t xml:space="preserve"> For example, this year’s work</w:t>
      </w:r>
      <w:r w:rsidR="004534D7">
        <w:t xml:space="preserve"> </w:t>
      </w:r>
      <w:r w:rsidR="006231E7" w:rsidRPr="00414FFF">
        <w:t>plan (see Part 2) includes reviewing non-assigned amateur licensing arrangements,</w:t>
      </w:r>
      <w:r w:rsidR="00A30790">
        <w:t xml:space="preserve"> and</w:t>
      </w:r>
      <w:r w:rsidR="006231E7" w:rsidRPr="00414FFF">
        <w:t xml:space="preserve"> considering outcomes of WRC-15 in the 5351.5–5366.5 kHz band.</w:t>
      </w:r>
    </w:p>
    <w:p w14:paraId="62525830" w14:textId="3110AACC" w:rsidR="00CD61C3" w:rsidRDefault="006231E7">
      <w:r w:rsidRPr="00414FFF">
        <w:t>The ACMA’s amateur</w:t>
      </w:r>
      <w:r w:rsidR="004534D7">
        <w:t>-</w:t>
      </w:r>
      <w:r w:rsidRPr="00414FFF">
        <w:t xml:space="preserve">related work program </w:t>
      </w:r>
      <w:r w:rsidR="003E6473">
        <w:t>for 2019</w:t>
      </w:r>
      <w:r w:rsidR="003673CB">
        <w:t>–</w:t>
      </w:r>
      <w:r w:rsidR="003E6473">
        <w:t>20</w:t>
      </w:r>
      <w:r w:rsidR="00262A29">
        <w:t xml:space="preserve"> </w:t>
      </w:r>
      <w:r w:rsidRPr="00C0487A">
        <w:t>also includes management of licensing and the arrangements for the qualification of amateur operators. The ACMA</w:t>
      </w:r>
      <w:r w:rsidRPr="00E402DA">
        <w:t xml:space="preserve"> has commenced work on reviewing potential changes to amateur licence conditions in response to submissions</w:t>
      </w:r>
      <w:r w:rsidR="003E6473">
        <w:t xml:space="preserve"> </w:t>
      </w:r>
      <w:r w:rsidRPr="005F669A">
        <w:t>and</w:t>
      </w:r>
      <w:r w:rsidRPr="00414FFF" w:rsidDel="003E6473">
        <w:t xml:space="preserve"> </w:t>
      </w:r>
      <w:r w:rsidRPr="00414FFF">
        <w:t xml:space="preserve">intends to consider options for a range of licensing mechanisms and conditions for non-assigned amateur licences as part of a wider review of non-assigned licences. </w:t>
      </w:r>
    </w:p>
    <w:p w14:paraId="78D59EE9" w14:textId="67752149" w:rsidR="006231E7" w:rsidRDefault="006231E7">
      <w:r w:rsidRPr="00414FFF">
        <w:t>In</w:t>
      </w:r>
      <w:r w:rsidR="00C76C36" w:rsidRPr="00414FFF">
        <w:t xml:space="preserve"> relation to</w:t>
      </w:r>
      <w:r w:rsidRPr="00414FFF">
        <w:t xml:space="preserve"> amateur qualifications, consistent with the consultation process </w:t>
      </w:r>
      <w:r w:rsidRPr="00C0487A">
        <w:t xml:space="preserve">initiated in June 2018, the ACMA </w:t>
      </w:r>
      <w:r w:rsidRPr="005F669A">
        <w:t>will pursue the inclusion of amateur qualifications as units of competency into the Australian Qualifications Framework (AQF). The ACMA will also work to establish a Syllabus Review Panel for amateur radio, consistent with its new arrangements with the Australian Maritime College, to consider potential enhancements to the existing syllabus.</w:t>
      </w:r>
    </w:p>
    <w:p w14:paraId="239C5870" w14:textId="77777777" w:rsidR="00D818E9" w:rsidRDefault="00D818E9"/>
    <w:tbl>
      <w:tblPr>
        <w:tblStyle w:val="TableGrid"/>
        <w:tblW w:w="0" w:type="auto"/>
        <w:tblLook w:val="04A0" w:firstRow="1" w:lastRow="0" w:firstColumn="1" w:lastColumn="0" w:noHBand="0" w:noVBand="1"/>
      </w:tblPr>
      <w:tblGrid>
        <w:gridCol w:w="7661"/>
      </w:tblGrid>
      <w:tr w:rsidR="00DA4557" w14:paraId="16F11CFD" w14:textId="77777777" w:rsidTr="00DE694D">
        <w:tc>
          <w:tcPr>
            <w:tcW w:w="7661" w:type="dxa"/>
            <w:shd w:val="clear" w:color="auto" w:fill="F2F2F2" w:themeFill="background1" w:themeFillShade="F2"/>
          </w:tcPr>
          <w:p w14:paraId="0B2F3F2B" w14:textId="77777777" w:rsidR="00DA4557" w:rsidRPr="00DE694D" w:rsidRDefault="00DA4557" w:rsidP="00DE694D">
            <w:pPr>
              <w:spacing w:before="120"/>
              <w:rPr>
                <w:b/>
              </w:rPr>
            </w:pPr>
            <w:r w:rsidRPr="00DE694D">
              <w:rPr>
                <w:b/>
              </w:rPr>
              <w:t>Consultation question</w:t>
            </w:r>
          </w:p>
          <w:p w14:paraId="6F39C96C" w14:textId="58DDB2A2" w:rsidR="00DA4557" w:rsidRDefault="00DA4557" w:rsidP="00DE694D">
            <w:pPr>
              <w:pStyle w:val="ListParagraph"/>
              <w:numPr>
                <w:ilvl w:val="0"/>
                <w:numId w:val="60"/>
              </w:numPr>
              <w:spacing w:after="360"/>
            </w:pPr>
            <w:r>
              <w:t>Are there other technology developments of sources of spectrum demand that the ACMA should be aware of in considering spectrum management over the next five years?</w:t>
            </w:r>
          </w:p>
        </w:tc>
      </w:tr>
    </w:tbl>
    <w:p w14:paraId="770EEF27" w14:textId="18F4AE89" w:rsidR="00B026E8" w:rsidRPr="007916F4" w:rsidRDefault="00B026E8" w:rsidP="00D7755E">
      <w:pPr>
        <w:pStyle w:val="Heading1"/>
        <w:rPr>
          <w:rStyle w:val="TitleChar"/>
          <w:rFonts w:ascii="Arial" w:hAnsi="Arial" w:cs="Arial"/>
          <w:bCs w:val="0"/>
          <w:color w:val="auto"/>
          <w:spacing w:val="0"/>
          <w:kern w:val="32"/>
          <w:sz w:val="53"/>
          <w:szCs w:val="32"/>
          <w:lang w:eastAsia="en-AU"/>
        </w:rPr>
      </w:pPr>
      <w:bookmarkStart w:id="176" w:name="_Part_2—Proposed_20189–1920"/>
      <w:bookmarkStart w:id="177" w:name="_Part_2—Proposed_2019–20"/>
      <w:bookmarkStart w:id="178" w:name="_Toc509581810"/>
      <w:bookmarkStart w:id="179" w:name="_Toc509585126"/>
      <w:bookmarkStart w:id="180" w:name="_Toc509585662"/>
      <w:bookmarkStart w:id="181" w:name="_Toc510104940"/>
      <w:bookmarkStart w:id="182" w:name="_Toc510105737"/>
      <w:bookmarkStart w:id="183" w:name="_Toc510795075"/>
      <w:bookmarkStart w:id="184" w:name="_Toc511716277"/>
      <w:bookmarkStart w:id="185" w:name="_Toc511719088"/>
      <w:bookmarkStart w:id="186" w:name="_Toc522794083"/>
      <w:bookmarkStart w:id="187" w:name="_Toc5025663"/>
      <w:bookmarkStart w:id="188" w:name="_Toc491854106"/>
      <w:bookmarkStart w:id="189" w:name="_Toc494115161"/>
      <w:bookmarkEnd w:id="176"/>
      <w:bookmarkEnd w:id="177"/>
      <w:r>
        <w:rPr>
          <w:rStyle w:val="TitleChar"/>
          <w:rFonts w:ascii="Arial" w:hAnsi="Arial" w:cs="Arial"/>
          <w:spacing w:val="0"/>
          <w:kern w:val="32"/>
          <w:sz w:val="53"/>
          <w:szCs w:val="32"/>
          <w:lang w:eastAsia="en-AU"/>
        </w:rPr>
        <w:lastRenderedPageBreak/>
        <w:t>Part 2</w:t>
      </w:r>
      <w:r w:rsidR="007261F6">
        <w:rPr>
          <w:rStyle w:val="TitleChar"/>
          <w:rFonts w:ascii="Arial" w:hAnsi="Arial" w:cs="Arial"/>
          <w:spacing w:val="0"/>
          <w:kern w:val="32"/>
          <w:sz w:val="53"/>
          <w:szCs w:val="32"/>
          <w:lang w:eastAsia="en-AU"/>
        </w:rPr>
        <w:t>—</w:t>
      </w:r>
      <w:r>
        <w:rPr>
          <w:rStyle w:val="TitleChar"/>
          <w:rFonts w:ascii="Arial" w:hAnsi="Arial" w:cs="Arial"/>
          <w:spacing w:val="0"/>
          <w:kern w:val="32"/>
          <w:sz w:val="53"/>
          <w:szCs w:val="32"/>
          <w:lang w:eastAsia="en-AU"/>
        </w:rPr>
        <w:t xml:space="preserve">Proposed </w:t>
      </w:r>
      <w:r w:rsidRPr="00835321">
        <w:rPr>
          <w:rStyle w:val="TitleChar"/>
          <w:rFonts w:ascii="Arial" w:hAnsi="Arial" w:cs="Arial"/>
          <w:spacing w:val="0"/>
          <w:kern w:val="32"/>
          <w:sz w:val="53"/>
          <w:szCs w:val="32"/>
          <w:lang w:eastAsia="en-AU"/>
        </w:rPr>
        <w:t>201</w:t>
      </w:r>
      <w:r w:rsidR="00B52324">
        <w:rPr>
          <w:rStyle w:val="TitleChar"/>
          <w:rFonts w:ascii="Arial" w:hAnsi="Arial" w:cs="Arial"/>
          <w:spacing w:val="0"/>
          <w:kern w:val="32"/>
          <w:sz w:val="53"/>
          <w:szCs w:val="32"/>
          <w:lang w:eastAsia="en-AU"/>
        </w:rPr>
        <w:t>9</w:t>
      </w:r>
      <w:r>
        <w:rPr>
          <w:rStyle w:val="TitleChar"/>
          <w:rFonts w:ascii="Arial" w:hAnsi="Arial" w:cs="Arial"/>
          <w:spacing w:val="0"/>
          <w:kern w:val="32"/>
          <w:sz w:val="53"/>
          <w:szCs w:val="32"/>
          <w:lang w:eastAsia="en-AU"/>
        </w:rPr>
        <w:t>–</w:t>
      </w:r>
      <w:r w:rsidR="00B52324">
        <w:rPr>
          <w:rStyle w:val="TitleChar"/>
          <w:rFonts w:ascii="Arial" w:hAnsi="Arial" w:cs="Arial"/>
          <w:spacing w:val="0"/>
          <w:kern w:val="32"/>
          <w:sz w:val="53"/>
          <w:szCs w:val="32"/>
          <w:lang w:eastAsia="en-AU"/>
        </w:rPr>
        <w:t>20</w:t>
      </w:r>
      <w:r w:rsidRPr="00835321">
        <w:rPr>
          <w:rStyle w:val="TitleChar"/>
          <w:rFonts w:ascii="Arial" w:hAnsi="Arial" w:cs="Arial"/>
          <w:spacing w:val="0"/>
          <w:kern w:val="32"/>
          <w:sz w:val="53"/>
          <w:szCs w:val="32"/>
          <w:lang w:eastAsia="en-AU"/>
        </w:rPr>
        <w:t xml:space="preserve"> </w:t>
      </w:r>
      <w:r w:rsidR="00151518">
        <w:rPr>
          <w:rStyle w:val="TitleChar"/>
          <w:rFonts w:ascii="Arial" w:hAnsi="Arial" w:cs="Arial"/>
          <w:spacing w:val="0"/>
          <w:kern w:val="32"/>
          <w:sz w:val="53"/>
          <w:szCs w:val="32"/>
          <w:lang w:eastAsia="en-AU"/>
        </w:rPr>
        <w:t xml:space="preserve">annual </w:t>
      </w:r>
      <w:r>
        <w:rPr>
          <w:rStyle w:val="TitleChar"/>
          <w:rFonts w:ascii="Arial" w:hAnsi="Arial" w:cs="Arial"/>
          <w:spacing w:val="0"/>
          <w:kern w:val="32"/>
          <w:sz w:val="53"/>
          <w:szCs w:val="32"/>
          <w:lang w:eastAsia="en-AU"/>
        </w:rPr>
        <w:t>spectrum</w:t>
      </w:r>
      <w:r w:rsidR="00151518">
        <w:rPr>
          <w:rStyle w:val="TitleChar"/>
          <w:rFonts w:ascii="Arial" w:hAnsi="Arial" w:cs="Arial"/>
          <w:spacing w:val="0"/>
          <w:kern w:val="32"/>
          <w:sz w:val="53"/>
          <w:szCs w:val="32"/>
          <w:lang w:eastAsia="en-AU"/>
        </w:rPr>
        <w:t xml:space="preserve"> management</w:t>
      </w:r>
      <w:r>
        <w:rPr>
          <w:rStyle w:val="TitleChar"/>
          <w:rFonts w:ascii="Arial" w:hAnsi="Arial" w:cs="Arial"/>
          <w:spacing w:val="0"/>
          <w:kern w:val="32"/>
          <w:sz w:val="53"/>
          <w:szCs w:val="32"/>
          <w:lang w:eastAsia="en-AU"/>
        </w:rPr>
        <w:t xml:space="preserve"> work program</w:t>
      </w:r>
      <w:bookmarkEnd w:id="178"/>
      <w:bookmarkEnd w:id="179"/>
      <w:bookmarkEnd w:id="180"/>
      <w:bookmarkEnd w:id="181"/>
      <w:bookmarkEnd w:id="182"/>
      <w:bookmarkEnd w:id="183"/>
      <w:bookmarkEnd w:id="184"/>
      <w:bookmarkEnd w:id="185"/>
      <w:bookmarkEnd w:id="186"/>
      <w:bookmarkEnd w:id="187"/>
    </w:p>
    <w:bookmarkEnd w:id="188"/>
    <w:bookmarkEnd w:id="189"/>
    <w:p w14:paraId="1EB019BB" w14:textId="24E0FC13" w:rsidR="00500299" w:rsidRDefault="00410CC1" w:rsidP="00D7755E">
      <w:r>
        <w:rPr>
          <w:rFonts w:cs="Arial"/>
          <w:szCs w:val="20"/>
        </w:rPr>
        <w:t>In Part 2</w:t>
      </w:r>
      <w:r w:rsidR="007261F6">
        <w:rPr>
          <w:rFonts w:cs="Arial"/>
          <w:szCs w:val="20"/>
        </w:rPr>
        <w:t>,</w:t>
      </w:r>
      <w:r>
        <w:rPr>
          <w:rFonts w:cs="Arial"/>
          <w:szCs w:val="20"/>
        </w:rPr>
        <w:t xml:space="preserve"> we provide information about the work</w:t>
      </w:r>
      <w:r w:rsidR="00AD35B8">
        <w:rPr>
          <w:rFonts w:cs="Arial"/>
          <w:szCs w:val="20"/>
        </w:rPr>
        <w:t xml:space="preserve"> </w:t>
      </w:r>
      <w:r>
        <w:rPr>
          <w:rFonts w:cs="Arial"/>
          <w:szCs w:val="20"/>
        </w:rPr>
        <w:t xml:space="preserve">streams and </w:t>
      </w:r>
      <w:r w:rsidR="004F595C">
        <w:t xml:space="preserve">activities that the </w:t>
      </w:r>
      <w:r w:rsidR="00835321">
        <w:t xml:space="preserve">ACMA is proposing to focus on over the </w:t>
      </w:r>
      <w:r w:rsidR="00A43006">
        <w:t>2019</w:t>
      </w:r>
      <w:r w:rsidR="007261F6">
        <w:t>–</w:t>
      </w:r>
      <w:r w:rsidR="00A43006">
        <w:t>20</w:t>
      </w:r>
      <w:r w:rsidR="00835321">
        <w:t xml:space="preserve"> financial year</w:t>
      </w:r>
      <w:r>
        <w:t xml:space="preserve">. </w:t>
      </w:r>
      <w:r w:rsidR="00BE2C02" w:rsidRPr="00D7755E">
        <w:t xml:space="preserve">The planning information </w:t>
      </w:r>
      <w:r w:rsidR="00BE2C02">
        <w:t>also</w:t>
      </w:r>
      <w:r w:rsidR="00BE2C02" w:rsidRPr="00D7755E">
        <w:t xml:space="preserve"> reflects expected developments over a </w:t>
      </w:r>
      <w:r w:rsidR="00BE2C02" w:rsidRPr="00D7755E" w:rsidDel="00AA40BB">
        <w:t>five</w:t>
      </w:r>
      <w:r w:rsidR="00BE2C02" w:rsidRPr="00D7755E">
        <w:t>-year timeframe.</w:t>
      </w:r>
    </w:p>
    <w:p w14:paraId="12F9AF92" w14:textId="32898439" w:rsidR="009A117B" w:rsidRDefault="00410CC1" w:rsidP="00D7755E">
      <w:pPr>
        <w:spacing w:after="120"/>
      </w:pPr>
      <w:r>
        <w:t xml:space="preserve">Where elements of planning, allocation and </w:t>
      </w:r>
      <w:r w:rsidR="00500299">
        <w:t>spectrum reform</w:t>
      </w:r>
      <w:r>
        <w:t xml:space="preserve"> activities span multiple years, we have identified the relevant timing information. Activities</w:t>
      </w:r>
      <w:r w:rsidR="004F595C">
        <w:t xml:space="preserve"> </w:t>
      </w:r>
      <w:r w:rsidR="00835321">
        <w:t xml:space="preserve">are grouped according </w:t>
      </w:r>
      <w:r w:rsidR="00835321" w:rsidRPr="00125FC9">
        <w:t xml:space="preserve">to </w:t>
      </w:r>
      <w:r>
        <w:t xml:space="preserve">the ACMA’s </w:t>
      </w:r>
      <w:r w:rsidR="00835321" w:rsidRPr="00125FC9">
        <w:t>main spectrum management functions</w:t>
      </w:r>
      <w:r w:rsidR="009A117B">
        <w:t>:</w:t>
      </w:r>
    </w:p>
    <w:p w14:paraId="13250DA0" w14:textId="336E9B1E" w:rsidR="00987287" w:rsidRPr="00FC654E" w:rsidRDefault="00987287" w:rsidP="00DE694D">
      <w:pPr>
        <w:pStyle w:val="ListBullet"/>
      </w:pPr>
      <w:r>
        <w:t>i</w:t>
      </w:r>
      <w:r w:rsidRPr="00FC654E">
        <w:t>nternational engagement</w:t>
      </w:r>
    </w:p>
    <w:p w14:paraId="0FD12605" w14:textId="77777777" w:rsidR="009A117B" w:rsidRPr="00FC654E" w:rsidRDefault="001A47A9" w:rsidP="00DE694D">
      <w:pPr>
        <w:pStyle w:val="ListBullet"/>
      </w:pPr>
      <w:r>
        <w:t>p</w:t>
      </w:r>
      <w:r w:rsidR="009A117B" w:rsidRPr="007A2ADC">
        <w:t>lanning</w:t>
      </w:r>
    </w:p>
    <w:p w14:paraId="65AC4736" w14:textId="77777777" w:rsidR="00CF322E" w:rsidRPr="00FC654E" w:rsidRDefault="001A47A9" w:rsidP="00DE694D">
      <w:pPr>
        <w:pStyle w:val="ListBullet"/>
      </w:pPr>
      <w:r>
        <w:t>a</w:t>
      </w:r>
      <w:r w:rsidR="00CF322E" w:rsidRPr="00FC654E">
        <w:t xml:space="preserve">llocations </w:t>
      </w:r>
    </w:p>
    <w:p w14:paraId="1D34C1B4" w14:textId="35B88070" w:rsidR="00950ACD" w:rsidRPr="00FC654E" w:rsidRDefault="001A47A9" w:rsidP="00DE694D">
      <w:pPr>
        <w:pStyle w:val="ListBullet"/>
      </w:pPr>
      <w:r>
        <w:t>r</w:t>
      </w:r>
      <w:r w:rsidR="00950ACD" w:rsidRPr="00FC654E">
        <w:t>egulatory review and reform</w:t>
      </w:r>
    </w:p>
    <w:p w14:paraId="0BF7DD20" w14:textId="77777777" w:rsidR="00A03B91" w:rsidRPr="00FC654E" w:rsidRDefault="001A47A9" w:rsidP="00DE694D">
      <w:pPr>
        <w:pStyle w:val="ListBullet"/>
      </w:pPr>
      <w:r>
        <w:t>l</w:t>
      </w:r>
      <w:r w:rsidR="00A03B91" w:rsidRPr="00FC654E">
        <w:t>icensing</w:t>
      </w:r>
    </w:p>
    <w:p w14:paraId="3EEADA15" w14:textId="77777777" w:rsidR="00A03B91" w:rsidRPr="00FC654E" w:rsidRDefault="001A47A9" w:rsidP="00DE694D">
      <w:pPr>
        <w:pStyle w:val="ListBullet"/>
      </w:pPr>
      <w:r>
        <w:t>p</w:t>
      </w:r>
      <w:r w:rsidR="00A03B91" w:rsidRPr="00FC654E">
        <w:t xml:space="preserve">ricing </w:t>
      </w:r>
    </w:p>
    <w:p w14:paraId="52BD4014" w14:textId="613FC5E9" w:rsidR="009A117B" w:rsidRPr="00FC654E" w:rsidRDefault="001A47A9" w:rsidP="00DE694D">
      <w:pPr>
        <w:pStyle w:val="ListBulletLast"/>
      </w:pPr>
      <w:r>
        <w:t>c</w:t>
      </w:r>
      <w:r w:rsidR="009A117B" w:rsidRPr="00FC654E">
        <w:t>ompliance and enforcement</w:t>
      </w:r>
      <w:r w:rsidR="00987287">
        <w:t>.</w:t>
      </w:r>
    </w:p>
    <w:p w14:paraId="5051FE8B" w14:textId="240132BB" w:rsidR="009414DF" w:rsidRDefault="002C689F" w:rsidP="00D7755E">
      <w:r w:rsidRPr="005435F9">
        <w:t>The planned milestones,</w:t>
      </w:r>
      <w:r w:rsidRPr="005435F9" w:rsidDel="004F00F6">
        <w:t xml:space="preserve"> </w:t>
      </w:r>
      <w:r w:rsidR="004F00F6">
        <w:t>including</w:t>
      </w:r>
      <w:r w:rsidR="004F00F6" w:rsidRPr="005435F9">
        <w:t xml:space="preserve"> </w:t>
      </w:r>
      <w:r w:rsidRPr="005435F9">
        <w:t xml:space="preserve">those relating to </w:t>
      </w:r>
      <w:r w:rsidRPr="002C689F">
        <w:t>20</w:t>
      </w:r>
      <w:r w:rsidR="00A43006">
        <w:t>19</w:t>
      </w:r>
      <w:r w:rsidR="005435F9">
        <w:t>–</w:t>
      </w:r>
      <w:r w:rsidR="00A43006">
        <w:t>20</w:t>
      </w:r>
      <w:r w:rsidRPr="002C689F">
        <w:t>, are subject to change. The ACMA</w:t>
      </w:r>
      <w:r w:rsidRPr="002C689F" w:rsidDel="009414DF">
        <w:t xml:space="preserve"> </w:t>
      </w:r>
      <w:r w:rsidR="009414DF">
        <w:t>is</w:t>
      </w:r>
      <w:r w:rsidR="00BE2C02">
        <w:t xml:space="preserve"> </w:t>
      </w:r>
      <w:r w:rsidR="009414DF">
        <w:t>continually monitoring factors that may impact spectrum management including any</w:t>
      </w:r>
      <w:r w:rsidR="00BE2C02">
        <w:t xml:space="preserve"> </w:t>
      </w:r>
      <w:r w:rsidR="009414DF">
        <w:t>short-term</w:t>
      </w:r>
      <w:r w:rsidR="00BE2C02">
        <w:t xml:space="preserve"> changes in spectr</w:t>
      </w:r>
      <w:r w:rsidR="009414DF">
        <w:t xml:space="preserve">um demand, technological developments, government priorities and available resourcing. </w:t>
      </w:r>
    </w:p>
    <w:p w14:paraId="3A10A4C6" w14:textId="5F183DEF" w:rsidR="002C689F" w:rsidRDefault="009414DF" w:rsidP="00D7755E">
      <w:r>
        <w:t>The ACMA also has</w:t>
      </w:r>
      <w:r w:rsidR="002C689F" w:rsidRPr="002C689F">
        <w:t xml:space="preserve"> responsibilities in implementing </w:t>
      </w:r>
      <w:r>
        <w:t xml:space="preserve">the </w:t>
      </w:r>
      <w:r w:rsidR="002C689F" w:rsidRPr="002C689F">
        <w:t>new spectrum management legislation (see</w:t>
      </w:r>
      <w:r w:rsidR="00173EC1">
        <w:t xml:space="preserve"> </w:t>
      </w:r>
      <w:r w:rsidR="00935F0E" w:rsidRPr="00DE694D">
        <w:t>Spectrum management</w:t>
      </w:r>
      <w:r w:rsidR="000D2F88">
        <w:t xml:space="preserve"> practice</w:t>
      </w:r>
      <w:r w:rsidR="00935F0E" w:rsidRPr="00DE694D">
        <w:t xml:space="preserve"> improvements</w:t>
      </w:r>
      <w:r w:rsidR="00173EC1">
        <w:t>)</w:t>
      </w:r>
      <w:r w:rsidR="00BE2C02">
        <w:t xml:space="preserve"> </w:t>
      </w:r>
      <w:r>
        <w:t xml:space="preserve">as part of the recommendations of </w:t>
      </w:r>
      <w:r w:rsidR="00BE2C02">
        <w:t>the Spectrum Review</w:t>
      </w:r>
      <w:r w:rsidR="002C689F" w:rsidRPr="002C689F">
        <w:t>. As the legislation is settled, the timing and nature of the ACMA’s responsibilities will become clearer and may affect other milestones.</w:t>
      </w:r>
    </w:p>
    <w:p w14:paraId="0BF42631" w14:textId="3DD7F167" w:rsidR="00BE2C02" w:rsidRDefault="00BE2C02" w:rsidP="00DE694D">
      <w:pPr>
        <w:pStyle w:val="Heading2"/>
        <w:keepNext w:val="0"/>
      </w:pPr>
      <w:bookmarkStart w:id="190" w:name="_Toc5025664"/>
      <w:r>
        <w:t>Priorities and resources</w:t>
      </w:r>
      <w:bookmarkEnd w:id="190"/>
    </w:p>
    <w:p w14:paraId="2B8E0A7C" w14:textId="4B1BBABB" w:rsidR="00F029CD" w:rsidRDefault="00051696" w:rsidP="00E26672">
      <w:r>
        <w:t>T</w:t>
      </w:r>
      <w:r w:rsidR="00F029CD">
        <w:t>here</w:t>
      </w:r>
      <w:r>
        <w:t xml:space="preserve"> remains a continued</w:t>
      </w:r>
      <w:r w:rsidR="00F029CD">
        <w:t xml:space="preserve"> demand for more activity from the ACMA than can be accommodated within our finite resources.</w:t>
      </w:r>
    </w:p>
    <w:p w14:paraId="033506A0" w14:textId="15B8CDD6" w:rsidR="00F029CD" w:rsidRDefault="00F029CD" w:rsidP="00E26672">
      <w:pPr>
        <w:spacing w:after="80"/>
      </w:pPr>
      <w:r>
        <w:t xml:space="preserve">In responding to suggestions to our spectrum management priorities, the ACMA </w:t>
      </w:r>
      <w:r w:rsidR="00BE2C02">
        <w:t>considers</w:t>
      </w:r>
      <w:r>
        <w:t xml:space="preserve"> a range of relevant considerations</w:t>
      </w:r>
      <w:r w:rsidR="00315B33">
        <w:t>,</w:t>
      </w:r>
      <w:r>
        <w:t xml:space="preserve"> including:</w:t>
      </w:r>
    </w:p>
    <w:p w14:paraId="244BD7DB" w14:textId="77777777" w:rsidR="00585DA3" w:rsidRDefault="00A76060" w:rsidP="00DE694D">
      <w:pPr>
        <w:pStyle w:val="ListBullet"/>
        <w:keepNext w:val="0"/>
        <w:keepLines w:val="0"/>
      </w:pPr>
      <w:r>
        <w:t xml:space="preserve">maximising the efficient allocation and use of </w:t>
      </w:r>
      <w:r w:rsidR="00585DA3">
        <w:t>radiofrequency spectrum</w:t>
      </w:r>
    </w:p>
    <w:p w14:paraId="0CA4BB17" w14:textId="0B1FC67F" w:rsidR="00F029CD" w:rsidRDefault="00F029CD" w:rsidP="00DE694D">
      <w:pPr>
        <w:pStyle w:val="ListBullet"/>
        <w:keepNext w:val="0"/>
        <w:keepLines w:val="0"/>
      </w:pPr>
      <w:r>
        <w:t>changes in the development, availability and take-up of radiofrequency technologies</w:t>
      </w:r>
      <w:r w:rsidR="00585DA3">
        <w:t>, both in Australia and internationally</w:t>
      </w:r>
    </w:p>
    <w:p w14:paraId="62EF9F79" w14:textId="451524A7" w:rsidR="009414DF" w:rsidRDefault="00585DA3" w:rsidP="00DE694D">
      <w:pPr>
        <w:pStyle w:val="ListBullet"/>
        <w:keepNext w:val="0"/>
        <w:keepLines w:val="0"/>
      </w:pPr>
      <w:r>
        <w:t xml:space="preserve">spectrum management trends, including through the four-yearly </w:t>
      </w:r>
      <w:r w:rsidR="00AA45B0">
        <w:t xml:space="preserve">ITU-R </w:t>
      </w:r>
      <w:r w:rsidR="001C517F" w:rsidRPr="006F7E0C">
        <w:t xml:space="preserve">WRC </w:t>
      </w:r>
      <w:r w:rsidRPr="006F7E0C">
        <w:t>process</w:t>
      </w:r>
    </w:p>
    <w:p w14:paraId="0A63B2AF" w14:textId="54DCCBE9" w:rsidR="009414DF" w:rsidRDefault="00BD36DA" w:rsidP="00DE694D">
      <w:pPr>
        <w:pStyle w:val="ListBullet"/>
        <w:keepNext w:val="0"/>
        <w:keepLines w:val="0"/>
      </w:pPr>
      <w:r>
        <w:t>the least cost and least restrictive approach to achieve policy objectives</w:t>
      </w:r>
      <w:r w:rsidR="00315B33">
        <w:t>.</w:t>
      </w:r>
    </w:p>
    <w:p w14:paraId="77D5843A" w14:textId="46543090" w:rsidR="009414DF" w:rsidRDefault="00BE2C02" w:rsidP="00DE694D">
      <w:pPr>
        <w:pStyle w:val="Heading2"/>
        <w:keepLines/>
      </w:pPr>
      <w:bookmarkStart w:id="191" w:name="_Toc5025665"/>
      <w:r>
        <w:lastRenderedPageBreak/>
        <w:t>FYSO 2018</w:t>
      </w:r>
      <w:r w:rsidR="00243870">
        <w:t>–</w:t>
      </w:r>
      <w:r>
        <w:t>22 progress report</w:t>
      </w:r>
      <w:bookmarkEnd w:id="191"/>
    </w:p>
    <w:p w14:paraId="76F83F40" w14:textId="5B0628D7" w:rsidR="009414DF" w:rsidRPr="007058B2" w:rsidRDefault="009414DF" w:rsidP="00DE694D">
      <w:pPr>
        <w:keepNext/>
        <w:keepLines/>
      </w:pPr>
      <w:r w:rsidRPr="007058B2">
        <w:t xml:space="preserve">The </w:t>
      </w:r>
      <w:hyperlink r:id="rId29" w:history="1">
        <w:r w:rsidRPr="006D134F">
          <w:rPr>
            <w:rStyle w:val="Hyperlink"/>
          </w:rPr>
          <w:t>FYSO 2018</w:t>
        </w:r>
        <w:r w:rsidR="00243870" w:rsidRPr="006D134F">
          <w:rPr>
            <w:rStyle w:val="Hyperlink"/>
          </w:rPr>
          <w:t>–</w:t>
        </w:r>
        <w:r w:rsidRPr="006D134F">
          <w:rPr>
            <w:rStyle w:val="Hyperlink"/>
          </w:rPr>
          <w:t>22 six-monthly progress report</w:t>
        </w:r>
      </w:hyperlink>
      <w:r w:rsidRPr="007058B2">
        <w:t xml:space="preserve"> provides an update on planned activities outlined in the most recent FYSO.</w:t>
      </w:r>
    </w:p>
    <w:p w14:paraId="7E267A81" w14:textId="00FA1215" w:rsidR="009414DF" w:rsidRPr="007058B2" w:rsidRDefault="009414DF" w:rsidP="00DE694D">
      <w:pPr>
        <w:keepNext/>
        <w:keepLines/>
      </w:pPr>
      <w:r w:rsidRPr="00323368">
        <w:t>The ACMA is committed to giving regular updates on processes and explanations of changes to plans</w:t>
      </w:r>
      <w:r w:rsidR="006D134F">
        <w:t>,</w:t>
      </w:r>
      <w:r>
        <w:t xml:space="preserve"> and t</w:t>
      </w:r>
      <w:r w:rsidRPr="007058B2">
        <w:t xml:space="preserve">he publishing of this information meets the </w:t>
      </w:r>
      <w:hyperlink r:id="rId30" w:history="1">
        <w:r w:rsidRPr="00D7755E">
          <w:t xml:space="preserve">Spectrum Review’s </w:t>
        </w:r>
      </w:hyperlink>
      <w:r w:rsidRPr="007058B2">
        <w:t xml:space="preserve">call for greater government transparency and accountability. </w:t>
      </w:r>
    </w:p>
    <w:p w14:paraId="3B133BC0" w14:textId="6515639E" w:rsidR="009414DF" w:rsidRPr="007058B2" w:rsidRDefault="009414DF" w:rsidP="00DE694D">
      <w:pPr>
        <w:keepNext/>
        <w:keepLines/>
      </w:pPr>
      <w:r w:rsidRPr="007058B2">
        <w:t>The report has nine tables that show the ACMA’s 2018–19 work program for 1 July to 31 December 2018. Where applicable, it provides reasons for any timeframe slippage or change in direction.</w:t>
      </w:r>
    </w:p>
    <w:p w14:paraId="2FB14691" w14:textId="77777777" w:rsidR="00961E3F" w:rsidRPr="00CF1BE6" w:rsidRDefault="00961E3F">
      <w:pPr>
        <w:pStyle w:val="Heading1"/>
      </w:pPr>
      <w:bookmarkStart w:id="192" w:name="_Toc5025666"/>
      <w:r w:rsidRPr="00CF1BE6">
        <w:lastRenderedPageBreak/>
        <w:t>International engagement</w:t>
      </w:r>
      <w:bookmarkEnd w:id="192"/>
    </w:p>
    <w:p w14:paraId="3EED080F" w14:textId="77777777" w:rsidR="00961E3F" w:rsidRPr="00CF1BE6" w:rsidRDefault="00961E3F">
      <w:r w:rsidRPr="00CF1BE6">
        <w:t xml:space="preserve">The ACMA, </w:t>
      </w:r>
      <w:proofErr w:type="spellStart"/>
      <w:r w:rsidRPr="00CF1BE6">
        <w:t>DoCA</w:t>
      </w:r>
      <w:proofErr w:type="spellEnd"/>
      <w:r w:rsidRPr="00CF1BE6">
        <w:t xml:space="preserve">, Australian industry and government stakeholders participate in international radiocommunications forums to promote and protect Australian interests in spectrum management, including spectrum harmonisation and international frequency coordination. </w:t>
      </w:r>
    </w:p>
    <w:p w14:paraId="72D56326" w14:textId="4B883F8E" w:rsidR="00BE7323" w:rsidRDefault="00961E3F" w:rsidP="00D7755E">
      <w:bookmarkStart w:id="193" w:name="_Hlk2352723"/>
      <w:r w:rsidRPr="00CF1BE6">
        <w:t>The peak international forum is the International Telecommunication Union’s (ITU) WRC, which reviews and revises the Radio Regulations</w:t>
      </w:r>
      <w:r w:rsidR="00262A29">
        <w:t xml:space="preserve"> (RRs)</w:t>
      </w:r>
      <w:r w:rsidRPr="00CF1BE6">
        <w:t xml:space="preserve">, the international treaty </w:t>
      </w:r>
      <w:r w:rsidR="00703070">
        <w:t>level document</w:t>
      </w:r>
      <w:r w:rsidRPr="00CF1BE6">
        <w:t xml:space="preserve"> regarding use of the spectrum and satellite orbits</w:t>
      </w:r>
      <w:bookmarkEnd w:id="193"/>
      <w:r w:rsidRPr="00CF1BE6">
        <w:t xml:space="preserve">. </w:t>
      </w:r>
    </w:p>
    <w:p w14:paraId="265B0A0F" w14:textId="00077737" w:rsidR="00961E3F" w:rsidRDefault="00961E3F">
      <w:r w:rsidRPr="00CF1BE6">
        <w:t xml:space="preserve">The next </w:t>
      </w:r>
      <w:r>
        <w:t>WRC</w:t>
      </w:r>
      <w:r w:rsidRPr="00CF1BE6">
        <w:t xml:space="preserve"> </w:t>
      </w:r>
      <w:r>
        <w:t>will be held from</w:t>
      </w:r>
      <w:r w:rsidRPr="00CF1BE6">
        <w:t xml:space="preserve"> 28 October–22 November 2019 (WR</w:t>
      </w:r>
      <w:r w:rsidRPr="00C51923">
        <w:t>C-19</w:t>
      </w:r>
      <w:r w:rsidRPr="00CF1BE6">
        <w:t>)</w:t>
      </w:r>
      <w:r>
        <w:t xml:space="preserve"> in Sharm El-Sheik</w:t>
      </w:r>
      <w:r w:rsidR="004A4E78">
        <w:t>h</w:t>
      </w:r>
      <w:r>
        <w:t>, Egypt</w:t>
      </w:r>
      <w:r w:rsidRPr="00CF1BE6">
        <w:t>. WRC-19 will consider a large agenda concerning a range of new frequency allocation and procedural matters, including possible allocations for satellite services and identification of spectrum suitable for 5G services.</w:t>
      </w:r>
      <w:r>
        <w:t xml:space="preserve"> </w:t>
      </w:r>
      <w:proofErr w:type="spellStart"/>
      <w:r w:rsidR="0050338D">
        <w:t>DoCA</w:t>
      </w:r>
      <w:proofErr w:type="spellEnd"/>
      <w:r w:rsidR="0050338D">
        <w:t xml:space="preserve"> will lead the </w:t>
      </w:r>
      <w:r>
        <w:t xml:space="preserve">Australian preparatory processes and Australian delegation to this meeting, </w:t>
      </w:r>
      <w:r w:rsidR="00262A29">
        <w:t xml:space="preserve">including Asia-Pacific region and international preparation meetings, </w:t>
      </w:r>
      <w:r>
        <w:t>with the ACMA providing technical expertise.</w:t>
      </w:r>
    </w:p>
    <w:p w14:paraId="0D9D966D" w14:textId="5F06E9B7" w:rsidR="00961E3F" w:rsidRDefault="0050338D">
      <w:r>
        <w:t>O</w:t>
      </w:r>
      <w:r w:rsidR="00961E3F">
        <w:t xml:space="preserve">ther forums within the ITU and regionally within the </w:t>
      </w:r>
      <w:r w:rsidR="00D25B7C">
        <w:t xml:space="preserve">Asia-Pacific </w:t>
      </w:r>
      <w:proofErr w:type="spellStart"/>
      <w:r w:rsidR="00D25B7C">
        <w:t>Telecommunity</w:t>
      </w:r>
      <w:proofErr w:type="spellEnd"/>
      <w:r w:rsidR="00D25B7C">
        <w:t xml:space="preserve"> (</w:t>
      </w:r>
      <w:r w:rsidR="00961E3F">
        <w:t>APT</w:t>
      </w:r>
      <w:r w:rsidR="00D25B7C">
        <w:t>)</w:t>
      </w:r>
      <w:r w:rsidR="00961E3F">
        <w:t xml:space="preserve"> consider issues with a technical focus that are of significance to Australian spectrum management, </w:t>
      </w:r>
      <w:r>
        <w:t>including</w:t>
      </w:r>
      <w:r w:rsidR="00961E3F">
        <w:t xml:space="preserve"> ITU-R </w:t>
      </w:r>
      <w:r w:rsidR="003973CB">
        <w:t xml:space="preserve">study groups </w:t>
      </w:r>
      <w:r w:rsidR="00961E3F">
        <w:t xml:space="preserve">and </w:t>
      </w:r>
      <w:r w:rsidR="003973CB">
        <w:t>w</w:t>
      </w:r>
      <w:r w:rsidR="00961E3F">
        <w:t xml:space="preserve">orking </w:t>
      </w:r>
      <w:r w:rsidR="003973CB">
        <w:t>p</w:t>
      </w:r>
      <w:r w:rsidR="00961E3F">
        <w:t xml:space="preserve">arties, and the APT Wireless Group (AWG). The ACMA manages Australian input and participation in these meetings in consultation with </w:t>
      </w:r>
      <w:proofErr w:type="spellStart"/>
      <w:r w:rsidR="00961E3F">
        <w:t>DoCA</w:t>
      </w:r>
      <w:proofErr w:type="spellEnd"/>
      <w:r w:rsidR="00961E3F">
        <w:t xml:space="preserve"> and industry.</w:t>
      </w:r>
    </w:p>
    <w:p w14:paraId="71A0972E" w14:textId="1C10C834" w:rsidR="00961E3F" w:rsidRDefault="00DA3C27">
      <w:r>
        <w:t>T</w:t>
      </w:r>
      <w:r w:rsidR="00961E3F">
        <w:t>he ACMA</w:t>
      </w:r>
      <w:r>
        <w:t xml:space="preserve"> also</w:t>
      </w:r>
      <w:r w:rsidR="00961E3F">
        <w:t xml:space="preserve"> undertakes informal bilateral and multilateral engagement with peer regulators from around the world. This engagement is invaluable in coordinating international activities and sharing information from other spectrum managers on issues of common interest. </w:t>
      </w:r>
    </w:p>
    <w:p w14:paraId="38D4B9C5" w14:textId="22ADE375" w:rsidR="00961E3F" w:rsidRDefault="00961E3F">
      <w:pPr>
        <w:pStyle w:val="Heading2"/>
      </w:pPr>
      <w:bookmarkStart w:id="194" w:name="_Toc5025667"/>
      <w:r>
        <w:t xml:space="preserve">International </w:t>
      </w:r>
      <w:r w:rsidR="00DE14D6">
        <w:t>m</w:t>
      </w:r>
      <w:r>
        <w:t>eetings 2018</w:t>
      </w:r>
      <w:r w:rsidR="0050338D">
        <w:t>–</w:t>
      </w:r>
      <w:r>
        <w:t>19</w:t>
      </w:r>
      <w:bookmarkEnd w:id="194"/>
    </w:p>
    <w:p w14:paraId="53E7905C" w14:textId="38511089" w:rsidR="00961E3F" w:rsidRDefault="00961E3F">
      <w:r>
        <w:t>ACMA staff headed delegations to</w:t>
      </w:r>
      <w:r w:rsidR="00262A29">
        <w:t xml:space="preserve"> several</w:t>
      </w:r>
      <w:r>
        <w:t xml:space="preserve"> </w:t>
      </w:r>
      <w:r w:rsidDel="0050338D">
        <w:t>ITU</w:t>
      </w:r>
      <w:r>
        <w:noBreakHyphen/>
        <w:t>R meetings during 2018–19, including meetings of Task Group 5/1 and</w:t>
      </w:r>
      <w:r w:rsidRPr="00C51923">
        <w:t xml:space="preserve"> Study Groups 4</w:t>
      </w:r>
      <w:r>
        <w:t xml:space="preserve"> and 5 and their associated </w:t>
      </w:r>
      <w:r w:rsidR="003973CB">
        <w:t>w</w:t>
      </w:r>
      <w:r>
        <w:t xml:space="preserve">orking </w:t>
      </w:r>
      <w:r w:rsidR="003973CB">
        <w:t>parties</w:t>
      </w:r>
      <w:r>
        <w:t>, and regional AWG meetings. The ACMA also supported industry</w:t>
      </w:r>
      <w:r w:rsidR="00320D78">
        <w:t>-</w:t>
      </w:r>
      <w:r>
        <w:t xml:space="preserve">led Australian delegations to ITU-R Study Groups 3, 6 and 7 and their associated </w:t>
      </w:r>
      <w:r w:rsidR="003973CB">
        <w:t>w</w:t>
      </w:r>
      <w:r>
        <w:t xml:space="preserve">orking </w:t>
      </w:r>
      <w:r w:rsidR="003973CB">
        <w:t>parties</w:t>
      </w:r>
      <w:r>
        <w:t>.</w:t>
      </w:r>
    </w:p>
    <w:p w14:paraId="3196BC75" w14:textId="46F39D3B" w:rsidR="00BE7323" w:rsidRDefault="00961E3F" w:rsidP="00D7755E">
      <w:r>
        <w:t xml:space="preserve">The ACMA supported </w:t>
      </w:r>
      <w:proofErr w:type="spellStart"/>
      <w:r>
        <w:t>DoCA</w:t>
      </w:r>
      <w:proofErr w:type="spellEnd"/>
      <w:r>
        <w:t xml:space="preserve"> by providing the Deputy Head of Delegation to the fourth meeting of the APG19 (APG19-4) held from 7</w:t>
      </w:r>
      <w:r w:rsidR="0050338D">
        <w:t>–</w:t>
      </w:r>
      <w:r>
        <w:t xml:space="preserve">12 January 2019 in Busan, Republic of Korea. This meeting determined preliminary APT views in preparation for the second meeting of the Conference Preparatory Meeting for WRC-19 (CPM 19-2). </w:t>
      </w:r>
    </w:p>
    <w:p w14:paraId="7599F26F" w14:textId="698AB194" w:rsidR="00961E3F" w:rsidRDefault="00961E3F">
      <w:r>
        <w:t>The ACMA also provided the Deputy Head of Delegation at CPM 19-2, which met from 18</w:t>
      </w:r>
      <w:r w:rsidR="00320D78">
        <w:t>–</w:t>
      </w:r>
      <w:r>
        <w:t xml:space="preserve">28 February 2019 in Geneva, Switzerland, and finalised a consolidated report to WRC-19 on ITU-R </w:t>
      </w:r>
      <w:r w:rsidR="003973CB">
        <w:t>p</w:t>
      </w:r>
      <w:r>
        <w:t xml:space="preserve">reparatory </w:t>
      </w:r>
      <w:r w:rsidR="003973CB">
        <w:t xml:space="preserve">studies </w:t>
      </w:r>
      <w:r>
        <w:t>undertaken since 2015. The CPM report included possible solutions to address WRC-19 agenda items to be used in support of the work of WRC-19.</w:t>
      </w:r>
    </w:p>
    <w:p w14:paraId="7FB53E9F" w14:textId="075D936A" w:rsidR="005244A5" w:rsidRDefault="005244A5">
      <w:r>
        <w:t>Developments in international band planning are being actively considered in the lead up to WRC-19, and these may have an impact on the ACMA’s spectrum management activities for the 2019</w:t>
      </w:r>
      <w:r w:rsidR="00384BE2">
        <w:t>–</w:t>
      </w:r>
      <w:r>
        <w:t>20 year. The final FYSO 2019</w:t>
      </w:r>
      <w:r w:rsidR="00384BE2">
        <w:t>–</w:t>
      </w:r>
      <w:r>
        <w:t>2</w:t>
      </w:r>
      <w:r w:rsidR="00384BE2">
        <w:t>3</w:t>
      </w:r>
      <w:r w:rsidR="00CC17B7">
        <w:t xml:space="preserve"> will reflect any such changes.</w:t>
      </w:r>
    </w:p>
    <w:p w14:paraId="2DF68470" w14:textId="77777777" w:rsidR="00961E3F" w:rsidRDefault="00961E3F">
      <w:pPr>
        <w:pStyle w:val="Heading2"/>
      </w:pPr>
      <w:bookmarkStart w:id="195" w:name="_Toc5025668"/>
      <w:r>
        <w:lastRenderedPageBreak/>
        <w:t>New and ongoing activities planned for 2019–20</w:t>
      </w:r>
      <w:bookmarkEnd w:id="195"/>
    </w:p>
    <w:p w14:paraId="654376C1" w14:textId="5B00FD09" w:rsidR="00961E3F" w:rsidRDefault="00961E3F">
      <w:r>
        <w:t>The ACMA will continue to manage and provide technical expertise for Australian engagement in</w:t>
      </w:r>
      <w:r w:rsidR="00320D78">
        <w:t>,</w:t>
      </w:r>
      <w:r>
        <w:t xml:space="preserve"> international spectrum management forums through the domestic and international consultative frameworks. </w:t>
      </w:r>
    </w:p>
    <w:p w14:paraId="6061FC54" w14:textId="072D98F4" w:rsidR="00F24C8A" w:rsidRDefault="00961E3F" w:rsidP="0062732F">
      <w:pPr>
        <w:spacing w:after="80"/>
      </w:pPr>
      <w:r>
        <w:t>In addition to WRC-19</w:t>
      </w:r>
      <w:r w:rsidR="00384BE2">
        <w:t>,</w:t>
      </w:r>
      <w:r>
        <w:t xml:space="preserve"> the ACMA will provide input into development of Australian positions for key ITU and APT radiocommunication meetings during 2019</w:t>
      </w:r>
      <w:r w:rsidR="00320D78">
        <w:t>–</w:t>
      </w:r>
      <w:r>
        <w:t>20, such as the</w:t>
      </w:r>
      <w:r w:rsidR="00F24C8A">
        <w:t>:</w:t>
      </w:r>
      <w:r>
        <w:t xml:space="preserve"> </w:t>
      </w:r>
    </w:p>
    <w:p w14:paraId="5347C21C" w14:textId="08CB59C7" w:rsidR="00F24C8A" w:rsidRDefault="00961E3F" w:rsidP="00DE694D">
      <w:pPr>
        <w:pStyle w:val="ListBullet"/>
      </w:pPr>
      <w:r>
        <w:t>ITU’s Radiocommunication Assembly 2019 (21</w:t>
      </w:r>
      <w:r w:rsidR="003973CB">
        <w:t>–</w:t>
      </w:r>
      <w:r>
        <w:t>25 October 2019)</w:t>
      </w:r>
    </w:p>
    <w:p w14:paraId="5C9CD18D" w14:textId="7C3FE70E" w:rsidR="00F24C8A" w:rsidRDefault="00961E3F" w:rsidP="00DE694D">
      <w:pPr>
        <w:pStyle w:val="ListBullet"/>
      </w:pPr>
      <w:r>
        <w:t>first Conference Preparatory Meeting for WRC 2023 (25</w:t>
      </w:r>
      <w:r w:rsidR="003973CB">
        <w:t>–</w:t>
      </w:r>
      <w:r>
        <w:t>26 November 2019)</w:t>
      </w:r>
    </w:p>
    <w:p w14:paraId="5DB0C117" w14:textId="3F9198C5" w:rsidR="00F24C8A" w:rsidRDefault="00961E3F" w:rsidP="00DE694D">
      <w:pPr>
        <w:pStyle w:val="ListBulletLast"/>
      </w:pPr>
      <w:r>
        <w:t xml:space="preserve">APT Conference Preparatory Group for WRC-19, the fifth and final meeting </w:t>
      </w:r>
      <w:r w:rsidR="00384BE2">
        <w:t>(</w:t>
      </w:r>
      <w:r>
        <w:t xml:space="preserve">31 July </w:t>
      </w:r>
      <w:r w:rsidR="001D3B96">
        <w:t>to</w:t>
      </w:r>
      <w:r>
        <w:t xml:space="preserve"> 6 August 2019</w:t>
      </w:r>
      <w:r w:rsidR="00384BE2">
        <w:t>) (APG-19-5)</w:t>
      </w:r>
      <w:r>
        <w:t xml:space="preserve">. </w:t>
      </w:r>
    </w:p>
    <w:p w14:paraId="682FC18C" w14:textId="744A33C3" w:rsidR="00961E3F" w:rsidRDefault="00961E3F">
      <w:proofErr w:type="spellStart"/>
      <w:r>
        <w:t>DoCA</w:t>
      </w:r>
      <w:proofErr w:type="spellEnd"/>
      <w:r>
        <w:t xml:space="preserve"> will lead the delegation to these meetings with the ACMA closely involved in supporting Australian preparatory processes and providing technical expertise.</w:t>
      </w:r>
    </w:p>
    <w:p w14:paraId="0B21063B" w14:textId="1DB42623" w:rsidR="00961E3F" w:rsidRDefault="00961E3F">
      <w:r>
        <w:t>Supporting these meetings will require significant support from the ACMA engineering area and will be a priority for the ACMA in 2019</w:t>
      </w:r>
      <w:r w:rsidR="00320D78">
        <w:t>–</w:t>
      </w:r>
      <w:r>
        <w:t>20.</w:t>
      </w:r>
    </w:p>
    <w:p w14:paraId="400DCF75" w14:textId="1031F8D4" w:rsidR="00961E3F" w:rsidRDefault="00961E3F">
      <w:r>
        <w:t>Australia will also participate in other ITU-R and A</w:t>
      </w:r>
      <w:r w:rsidR="00D11951">
        <w:t>PT</w:t>
      </w:r>
      <w:r>
        <w:t xml:space="preserve"> forums over the coming year, with </w:t>
      </w:r>
      <w:r w:rsidR="0064598B">
        <w:t>the ACMA considering attendance at the 25</w:t>
      </w:r>
      <w:r w:rsidR="0064598B" w:rsidRPr="00DF0112">
        <w:t>th</w:t>
      </w:r>
      <w:r w:rsidR="0064598B">
        <w:t xml:space="preserve"> meeting of the of the APT Wireless Group (1</w:t>
      </w:r>
      <w:r w:rsidR="001D3B96">
        <w:t>–</w:t>
      </w:r>
      <w:r w:rsidR="0064598B">
        <w:t xml:space="preserve">5 July 2019) and the meetings of ITU-R Working Parties 4A, 4B and </w:t>
      </w:r>
      <w:r w:rsidR="00206A1E">
        <w:t>4</w:t>
      </w:r>
      <w:r w:rsidR="0064598B">
        <w:t>C (19</w:t>
      </w:r>
      <w:r w:rsidR="001D3B96">
        <w:t xml:space="preserve"> </w:t>
      </w:r>
      <w:r w:rsidR="0064598B">
        <w:t xml:space="preserve">June </w:t>
      </w:r>
      <w:r w:rsidR="00DF0112">
        <w:t>to</w:t>
      </w:r>
      <w:r w:rsidR="0064598B">
        <w:t xml:space="preserve"> 4 July 2019)</w:t>
      </w:r>
      <w:r>
        <w:t xml:space="preserve">. </w:t>
      </w:r>
    </w:p>
    <w:tbl>
      <w:tblPr>
        <w:tblStyle w:val="TableGrid"/>
        <w:tblW w:w="0" w:type="auto"/>
        <w:tblLook w:val="04A0" w:firstRow="1" w:lastRow="0" w:firstColumn="1" w:lastColumn="0" w:noHBand="0" w:noVBand="1"/>
      </w:tblPr>
      <w:tblGrid>
        <w:gridCol w:w="7661"/>
      </w:tblGrid>
      <w:tr w:rsidR="00DA4557" w14:paraId="22BBBC83" w14:textId="77777777" w:rsidTr="00DE694D">
        <w:tc>
          <w:tcPr>
            <w:tcW w:w="7661" w:type="dxa"/>
            <w:shd w:val="clear" w:color="auto" w:fill="F2F2F2" w:themeFill="background1" w:themeFillShade="F2"/>
          </w:tcPr>
          <w:p w14:paraId="330411E6" w14:textId="67451193" w:rsidR="00DA4557" w:rsidRPr="00DE694D" w:rsidRDefault="00DA4557" w:rsidP="00DE694D">
            <w:pPr>
              <w:spacing w:before="120"/>
              <w:rPr>
                <w:b/>
              </w:rPr>
            </w:pPr>
            <w:r w:rsidRPr="00DE694D">
              <w:rPr>
                <w:b/>
              </w:rPr>
              <w:t>Consultation question</w:t>
            </w:r>
          </w:p>
          <w:p w14:paraId="10DDA97C" w14:textId="05C35E44" w:rsidR="00DA4557" w:rsidRPr="00155D31" w:rsidRDefault="00DA4557" w:rsidP="00DE694D">
            <w:pPr>
              <w:pStyle w:val="ListParagraph"/>
              <w:numPr>
                <w:ilvl w:val="0"/>
                <w:numId w:val="60"/>
              </w:numPr>
              <w:spacing w:after="360"/>
            </w:pPr>
            <w:r w:rsidRPr="00DE694D">
              <w:t>Do you have any comments about the ACMA’s planned international engagement activities</w:t>
            </w:r>
            <w:r>
              <w:t>?</w:t>
            </w:r>
          </w:p>
        </w:tc>
      </w:tr>
    </w:tbl>
    <w:p w14:paraId="6AE47968" w14:textId="6C3A9728" w:rsidR="00CF322E" w:rsidRDefault="00CF322E" w:rsidP="00D7755E">
      <w:pPr>
        <w:pStyle w:val="Heading1"/>
      </w:pPr>
      <w:bookmarkStart w:id="196" w:name="_Toc510104942"/>
      <w:bookmarkStart w:id="197" w:name="_Toc510105739"/>
      <w:bookmarkStart w:id="198" w:name="_Toc510795076"/>
      <w:bookmarkStart w:id="199" w:name="_Toc511716278"/>
      <w:bookmarkStart w:id="200" w:name="_Toc511719089"/>
      <w:bookmarkStart w:id="201" w:name="_Toc522794084"/>
      <w:bookmarkStart w:id="202" w:name="_Toc5025669"/>
      <w:bookmarkStart w:id="203" w:name="_Toc491854085"/>
      <w:bookmarkStart w:id="204" w:name="_Toc494115131"/>
      <w:bookmarkStart w:id="205" w:name="_Toc496624990"/>
      <w:bookmarkStart w:id="206" w:name="_Toc509581812"/>
      <w:bookmarkStart w:id="207" w:name="_Toc509585128"/>
      <w:bookmarkStart w:id="208" w:name="_Toc509585664"/>
      <w:r>
        <w:lastRenderedPageBreak/>
        <w:t>Planning</w:t>
      </w:r>
      <w:bookmarkEnd w:id="196"/>
      <w:bookmarkEnd w:id="197"/>
      <w:bookmarkEnd w:id="198"/>
      <w:bookmarkEnd w:id="199"/>
      <w:bookmarkEnd w:id="200"/>
      <w:bookmarkEnd w:id="201"/>
      <w:bookmarkEnd w:id="202"/>
    </w:p>
    <w:p w14:paraId="02FA4223" w14:textId="168EA7B9" w:rsidR="00CC5C65" w:rsidRDefault="00CC5C65" w:rsidP="00D7755E">
      <w:bookmarkStart w:id="209" w:name="_Hlk2352813"/>
      <w:r>
        <w:t>Planning is informed by</w:t>
      </w:r>
      <w:r w:rsidDel="00A56174">
        <w:t xml:space="preserve"> </w:t>
      </w:r>
      <w:r>
        <w:t xml:space="preserve">domestic and international </w:t>
      </w:r>
      <w:r w:rsidR="00703070">
        <w:t>trends in</w:t>
      </w:r>
      <w:r>
        <w:t xml:space="preserve"> spectrum uses, developments in international spectrum harmonisation and technology standardisation, and evolution of communications technology. </w:t>
      </w:r>
    </w:p>
    <w:bookmarkEnd w:id="209"/>
    <w:p w14:paraId="5F3B152E" w14:textId="410944CC" w:rsidR="00CC5C65" w:rsidRDefault="008A199D" w:rsidP="00D7755E">
      <w:r>
        <w:t xml:space="preserve">The ACMA aims to optimise planning arrangements in each band for the use or uses that maximise the overall public benefit. </w:t>
      </w:r>
      <w:r w:rsidR="009079DD">
        <w:t xml:space="preserve">These </w:t>
      </w:r>
      <w:r>
        <w:t xml:space="preserve">arrangements </w:t>
      </w:r>
      <w:r w:rsidR="009079DD">
        <w:t>aim to allow</w:t>
      </w:r>
      <w:r>
        <w:t xml:space="preserve"> the allocation (or movement) of spectrum to users with no, or minimal, further regulatory intervention, and may remain stable over long periods of time. </w:t>
      </w:r>
    </w:p>
    <w:p w14:paraId="0DC0E55C" w14:textId="10CDD346" w:rsidR="009079DD" w:rsidRDefault="009079DD" w:rsidP="00D7755E">
      <w:r>
        <w:t>However, w</w:t>
      </w:r>
      <w:r w:rsidR="008A199D">
        <w:t xml:space="preserve">here there is evidence of </w:t>
      </w:r>
      <w:r w:rsidR="00CC5C65">
        <w:t>differing</w:t>
      </w:r>
      <w:r w:rsidR="008A199D">
        <w:t xml:space="preserve"> optimal use, the </w:t>
      </w:r>
      <w:r w:rsidR="008A199D" w:rsidRPr="00E02E8A">
        <w:t xml:space="preserve">ACMA </w:t>
      </w:r>
      <w:r w:rsidR="008A199D">
        <w:t>may identify a net public benefit in</w:t>
      </w:r>
      <w:r w:rsidR="008A199D" w:rsidRPr="00E02E8A">
        <w:t xml:space="preserve"> the band </w:t>
      </w:r>
      <w:r w:rsidR="008A199D">
        <w:t>mov</w:t>
      </w:r>
      <w:r w:rsidR="008A199D" w:rsidRPr="00E02E8A">
        <w:t xml:space="preserve">ing </w:t>
      </w:r>
      <w:r w:rsidR="008A199D">
        <w:t>to</w:t>
      </w:r>
      <w:r w:rsidR="008A199D" w:rsidRPr="00E02E8A">
        <w:t xml:space="preserve"> a new</w:t>
      </w:r>
      <w:r w:rsidR="008A199D">
        <w:t xml:space="preserve"> or changed</w:t>
      </w:r>
      <w:r w:rsidR="008A199D" w:rsidRPr="00E02E8A">
        <w:t xml:space="preserve"> use</w:t>
      </w:r>
      <w:r w:rsidRPr="00E02E8A">
        <w:t xml:space="preserve"> or</w:t>
      </w:r>
      <w:r w:rsidR="008A199D">
        <w:t xml:space="preserve"> being reconfigured to better support an existing use. </w:t>
      </w:r>
    </w:p>
    <w:p w14:paraId="117F58EC" w14:textId="66C4D261" w:rsidR="008A199D" w:rsidRDefault="008A199D" w:rsidP="00D7755E">
      <w:r>
        <w:t>Consulting where appropriate with existing and future users, the ACMA will then consider how best to accommodate additional uses or users within the available spectrum.</w:t>
      </w:r>
      <w:r w:rsidR="00466A9E">
        <w:t xml:space="preserve"> </w:t>
      </w:r>
      <w:r w:rsidR="00CC09F5">
        <w:t xml:space="preserve">In considering replanning options, the ACMA will </w:t>
      </w:r>
      <w:r w:rsidR="00466A9E" w:rsidRPr="00466A9E">
        <w:t xml:space="preserve">seek </w:t>
      </w:r>
      <w:r w:rsidR="00311BF8">
        <w:t>to identify alternative</w:t>
      </w:r>
      <w:r w:rsidR="009520A3">
        <w:t xml:space="preserve"> bands</w:t>
      </w:r>
      <w:r w:rsidR="00311BF8">
        <w:t xml:space="preserve"> or alternative arrangements within the same band</w:t>
      </w:r>
      <w:r w:rsidR="00CC09F5">
        <w:t xml:space="preserve"> </w:t>
      </w:r>
      <w:r w:rsidR="00466A9E" w:rsidRPr="00466A9E">
        <w:t xml:space="preserve">for incumbents </w:t>
      </w:r>
      <w:r w:rsidR="009520A3">
        <w:t xml:space="preserve">as part of our responsibilities to ensure spectrum is used and managed to maximise overall public benefit. However, there </w:t>
      </w:r>
      <w:r w:rsidR="00AB5442">
        <w:t>can be</w:t>
      </w:r>
      <w:r w:rsidR="009520A3">
        <w:t xml:space="preserve"> no </w:t>
      </w:r>
      <w:r w:rsidR="00AB5442">
        <w:t xml:space="preserve">guarantee </w:t>
      </w:r>
      <w:r w:rsidR="009520A3">
        <w:t xml:space="preserve">that all incumbent users will have an alternative </w:t>
      </w:r>
      <w:r w:rsidR="00311BF8">
        <w:t xml:space="preserve">arrangement </w:t>
      </w:r>
      <w:r w:rsidR="009520A3">
        <w:t xml:space="preserve">following a necessary band clearance activity. </w:t>
      </w:r>
    </w:p>
    <w:p w14:paraId="5D830D08" w14:textId="77777777" w:rsidR="00C50635" w:rsidRDefault="00C50635" w:rsidP="00D7755E">
      <w:pPr>
        <w:spacing w:after="80"/>
      </w:pPr>
      <w:r>
        <w:t>Planning activities are directed into two main streams:</w:t>
      </w:r>
    </w:p>
    <w:p w14:paraId="7DBDC1EE" w14:textId="009B9266" w:rsidR="00A45CCD" w:rsidRPr="00FC654E" w:rsidRDefault="00B43510" w:rsidP="00DE694D">
      <w:pPr>
        <w:pStyle w:val="ListBullet"/>
      </w:pPr>
      <w:r>
        <w:t>m</w:t>
      </w:r>
      <w:r w:rsidR="008A199D" w:rsidRPr="00FC654E">
        <w:t xml:space="preserve">ajor </w:t>
      </w:r>
      <w:r w:rsidR="00C50635" w:rsidRPr="00FC654E">
        <w:t>band planning</w:t>
      </w:r>
      <w:r w:rsidR="00C1270E">
        <w:t xml:space="preserve"> and replanning</w:t>
      </w:r>
      <w:r w:rsidR="00C50635" w:rsidRPr="00FC654E">
        <w:t xml:space="preserve"> </w:t>
      </w:r>
      <w:r w:rsidR="009E2FED">
        <w:t xml:space="preserve">activities </w:t>
      </w:r>
      <w:r w:rsidR="00C50635" w:rsidRPr="00FC654E">
        <w:t xml:space="preserve">to support the establishment of new </w:t>
      </w:r>
      <w:r w:rsidR="00E41275">
        <w:t xml:space="preserve">spectrum </w:t>
      </w:r>
      <w:r w:rsidR="00C50635" w:rsidRPr="00FC654E">
        <w:t>uses</w:t>
      </w:r>
    </w:p>
    <w:p w14:paraId="20F67DBB" w14:textId="1BDB6412" w:rsidR="00CC5C65" w:rsidRDefault="00B43510" w:rsidP="00DE694D">
      <w:pPr>
        <w:pStyle w:val="ListBulletLast"/>
      </w:pPr>
      <w:r>
        <w:t>o</w:t>
      </w:r>
      <w:r w:rsidR="00C50635" w:rsidRPr="00FC654E">
        <w:t>ptimising</w:t>
      </w:r>
      <w:r w:rsidR="00C50635" w:rsidRPr="00FC654E" w:rsidDel="008A199D">
        <w:t xml:space="preserve"> </w:t>
      </w:r>
      <w:r w:rsidR="008A199D">
        <w:t>established</w:t>
      </w:r>
      <w:r w:rsidR="008A199D" w:rsidRPr="00FC654E">
        <w:t xml:space="preserve"> </w:t>
      </w:r>
      <w:r w:rsidR="00E41275">
        <w:t xml:space="preserve">planning </w:t>
      </w:r>
      <w:r w:rsidR="00C50635" w:rsidRPr="00FC654E">
        <w:t xml:space="preserve">frameworks </w:t>
      </w:r>
      <w:r w:rsidR="008A199D">
        <w:t xml:space="preserve">for existing spectrum use </w:t>
      </w:r>
      <w:r w:rsidR="00C50635" w:rsidRPr="00FC654E">
        <w:t>through updating technical coordination arrangements</w:t>
      </w:r>
      <w:r w:rsidR="00E3328B">
        <w:t xml:space="preserve">. </w:t>
      </w:r>
    </w:p>
    <w:p w14:paraId="4EC95F6B" w14:textId="488F46A0" w:rsidR="0059149F" w:rsidRPr="0059149F" w:rsidRDefault="0059149F" w:rsidP="00D7755E">
      <w:pPr>
        <w:pStyle w:val="Heading2"/>
      </w:pPr>
      <w:bookmarkStart w:id="210" w:name="_Toc5025670"/>
      <w:r w:rsidRPr="0059149F">
        <w:t>Implementing outcomes of WRC-19</w:t>
      </w:r>
      <w:bookmarkEnd w:id="210"/>
    </w:p>
    <w:p w14:paraId="1586F101" w14:textId="351369BC" w:rsidR="0059149F" w:rsidRDefault="0059149F" w:rsidP="00D7755E">
      <w:pPr>
        <w:rPr>
          <w:rFonts w:cs="Arial"/>
        </w:rPr>
      </w:pPr>
      <w:r w:rsidRPr="00C46D67">
        <w:rPr>
          <w:rFonts w:cs="Arial"/>
        </w:rPr>
        <w:t>The outcomes of WRC-1</w:t>
      </w:r>
      <w:r>
        <w:rPr>
          <w:rFonts w:cs="Arial"/>
        </w:rPr>
        <w:t>9</w:t>
      </w:r>
      <w:r w:rsidRPr="00C46D67">
        <w:rPr>
          <w:rFonts w:cs="Arial"/>
        </w:rPr>
        <w:t xml:space="preserve"> will affect the ACMA’s future work p</w:t>
      </w:r>
      <w:r w:rsidR="0088477E">
        <w:rPr>
          <w:rFonts w:cs="Arial"/>
        </w:rPr>
        <w:t>rogram</w:t>
      </w:r>
      <w:r w:rsidR="00CC5C65">
        <w:rPr>
          <w:rFonts w:cs="Arial"/>
        </w:rPr>
        <w:t>.</w:t>
      </w:r>
      <w:r w:rsidRPr="00C46D67">
        <w:rPr>
          <w:rFonts w:cs="Arial"/>
        </w:rPr>
        <w:t xml:space="preserve"> Australia’s</w:t>
      </w:r>
      <w:r>
        <w:rPr>
          <w:rFonts w:cs="Arial"/>
        </w:rPr>
        <w:t xml:space="preserve"> spectrum</w:t>
      </w:r>
      <w:r w:rsidRPr="00C46D67">
        <w:rPr>
          <w:rFonts w:cs="Arial"/>
        </w:rPr>
        <w:t xml:space="preserve"> </w:t>
      </w:r>
      <w:r w:rsidR="00761079">
        <w:rPr>
          <w:rFonts w:cs="Arial"/>
        </w:rPr>
        <w:t xml:space="preserve">arrangements </w:t>
      </w:r>
      <w:r w:rsidR="00CC5C65">
        <w:rPr>
          <w:rFonts w:cs="Arial"/>
        </w:rPr>
        <w:t>will be</w:t>
      </w:r>
      <w:r w:rsidR="00761079">
        <w:rPr>
          <w:rFonts w:cs="Arial"/>
        </w:rPr>
        <w:t xml:space="preserve"> reviewed and </w:t>
      </w:r>
      <w:r w:rsidRPr="00C46D67">
        <w:rPr>
          <w:rFonts w:cs="Arial"/>
        </w:rPr>
        <w:t xml:space="preserve">updated to align with </w:t>
      </w:r>
      <w:r>
        <w:rPr>
          <w:rFonts w:cs="Arial"/>
        </w:rPr>
        <w:t xml:space="preserve">revision of the ITU </w:t>
      </w:r>
      <w:r w:rsidR="00262A29">
        <w:rPr>
          <w:rFonts w:cs="Arial"/>
        </w:rPr>
        <w:t>RR</w:t>
      </w:r>
      <w:r>
        <w:rPr>
          <w:rFonts w:cs="Arial"/>
        </w:rPr>
        <w:t>s and their impact on global and regional spectrum allocations and regulatory</w:t>
      </w:r>
      <w:r w:rsidRPr="00C46D67">
        <w:rPr>
          <w:rFonts w:cs="Arial"/>
        </w:rPr>
        <w:t xml:space="preserve"> requirements. </w:t>
      </w:r>
    </w:p>
    <w:p w14:paraId="03EAA0C9" w14:textId="30291C97" w:rsidR="00827ECA" w:rsidRDefault="0059149F" w:rsidP="00D7755E">
      <w:r>
        <w:rPr>
          <w:rFonts w:cs="Arial"/>
        </w:rPr>
        <w:t xml:space="preserve">A key task in this work is </w:t>
      </w:r>
      <w:r w:rsidR="007D7271">
        <w:rPr>
          <w:rFonts w:cs="Arial"/>
        </w:rPr>
        <w:t xml:space="preserve">making a new </w:t>
      </w:r>
      <w:r w:rsidR="00761079">
        <w:t>ARSP</w:t>
      </w:r>
      <w:r>
        <w:t xml:space="preserve"> </w:t>
      </w:r>
      <w:r w:rsidR="007D7271">
        <w:t xml:space="preserve">to ensure that Australian spectrum arrangements take account of changes arising from the ITU WRC-19. </w:t>
      </w:r>
    </w:p>
    <w:p w14:paraId="6A78C441" w14:textId="6E633434" w:rsidR="007D7271" w:rsidRDefault="007D7271" w:rsidP="00D7755E">
      <w:r>
        <w:t xml:space="preserve">While timing of such work is dependent on when WRC changes come into effect (typically </w:t>
      </w:r>
      <w:r w:rsidR="00827ECA">
        <w:t>one</w:t>
      </w:r>
      <w:r>
        <w:t xml:space="preserve"> year after the WRC), it is expected that the ACMA will </w:t>
      </w:r>
      <w:r w:rsidR="00761079">
        <w:t>commence</w:t>
      </w:r>
      <w:r>
        <w:t xml:space="preserve"> scoping this work after WRC-19 in Q3/4 2019</w:t>
      </w:r>
      <w:r w:rsidR="00081979">
        <w:t>–</w:t>
      </w:r>
      <w:r>
        <w:t xml:space="preserve">20. </w:t>
      </w:r>
    </w:p>
    <w:p w14:paraId="4991CE71" w14:textId="25404B6D" w:rsidR="0059149F" w:rsidRDefault="00262A29" w:rsidP="00D7755E">
      <w:r>
        <w:t xml:space="preserve">Amendments to the RRs </w:t>
      </w:r>
      <w:r w:rsidR="007D7271">
        <w:t xml:space="preserve">agreed at WRC </w:t>
      </w:r>
      <w:r>
        <w:t xml:space="preserve">are subject to parliamentary review through the Joint Standing Committee on Treaties. </w:t>
      </w:r>
      <w:proofErr w:type="spellStart"/>
      <w:r>
        <w:t>DoCA</w:t>
      </w:r>
      <w:proofErr w:type="spellEnd"/>
      <w:r>
        <w:t xml:space="preserve"> administers this process of review.</w:t>
      </w:r>
      <w:r w:rsidR="007D7271">
        <w:t xml:space="preserve"> </w:t>
      </w:r>
    </w:p>
    <w:p w14:paraId="542091AC" w14:textId="391A8B4A" w:rsidR="00011B67" w:rsidRPr="003045D4" w:rsidRDefault="006A7EB2" w:rsidP="00E26672">
      <w:pPr>
        <w:pStyle w:val="Heading2"/>
      </w:pPr>
      <w:bookmarkStart w:id="211" w:name="_Toc522794087"/>
      <w:bookmarkStart w:id="212" w:name="_Toc5025671"/>
      <w:r w:rsidRPr="00E26672">
        <w:lastRenderedPageBreak/>
        <w:t>Major re</w:t>
      </w:r>
      <w:bookmarkStart w:id="213" w:name="_Toc509844722"/>
      <w:r w:rsidRPr="00E26672">
        <w:t>p</w:t>
      </w:r>
      <w:r w:rsidR="00C50635" w:rsidRPr="00E26672">
        <w:t>lanning progress achieved</w:t>
      </w:r>
      <w:r w:rsidR="00C50635" w:rsidRPr="003045D4">
        <w:t xml:space="preserve"> since </w:t>
      </w:r>
      <w:bookmarkEnd w:id="211"/>
      <w:bookmarkEnd w:id="213"/>
      <w:r w:rsidR="004012D8" w:rsidRPr="003045D4">
        <w:t>FYSO 2018</w:t>
      </w:r>
      <w:r w:rsidR="00081979" w:rsidRPr="003045D4">
        <w:t>–</w:t>
      </w:r>
      <w:r w:rsidR="004012D8" w:rsidRPr="003045D4">
        <w:t>22</w:t>
      </w:r>
      <w:bookmarkEnd w:id="212"/>
    </w:p>
    <w:p w14:paraId="00814516" w14:textId="6B4BF90B" w:rsidR="006A7EB2" w:rsidRDefault="00AB1A67" w:rsidP="00DE694D">
      <w:pPr>
        <w:pStyle w:val="ListBullet"/>
      </w:pPr>
      <w:r w:rsidRPr="00DE694D">
        <w:t>850/</w:t>
      </w:r>
      <w:r w:rsidR="006A7EB2" w:rsidRPr="00DE694D">
        <w:t>900 MHz band</w:t>
      </w:r>
      <w:r w:rsidRPr="00DE694D">
        <w:t>s</w:t>
      </w:r>
      <w:r w:rsidR="00590573" w:rsidRPr="00E26672">
        <w:t>—</w:t>
      </w:r>
      <w:r w:rsidR="00EB5605">
        <w:t>t</w:t>
      </w:r>
      <w:r w:rsidR="006A7EB2" w:rsidRPr="00E26672">
        <w:t>he</w:t>
      </w:r>
      <w:r w:rsidR="006A7EB2">
        <w:t xml:space="preserve"> ACMA</w:t>
      </w:r>
      <w:r w:rsidR="001C18FF">
        <w:t xml:space="preserve"> </w:t>
      </w:r>
      <w:r>
        <w:t xml:space="preserve">has </w:t>
      </w:r>
      <w:r w:rsidR="001C18FF">
        <w:t>continue</w:t>
      </w:r>
      <w:r>
        <w:t>d</w:t>
      </w:r>
      <w:r w:rsidR="001C18FF">
        <w:t xml:space="preserve"> to engage with stakeholders</w:t>
      </w:r>
      <w:r w:rsidR="006A7EB2">
        <w:t xml:space="preserve"> to firm up implementation timeframes for the reconfiguration of the 900 MHz band to </w:t>
      </w:r>
      <w:r w:rsidR="00A566E0">
        <w:t>optimise the band’s planning arrangements for LTE services</w:t>
      </w:r>
      <w:r w:rsidR="006A7EB2">
        <w:t>.</w:t>
      </w:r>
    </w:p>
    <w:p w14:paraId="1F1C0A13" w14:textId="7197BDE1" w:rsidR="00205F9D" w:rsidRPr="00590573" w:rsidRDefault="00C50635">
      <w:pPr>
        <w:pStyle w:val="ListBullet"/>
        <w:tabs>
          <w:tab w:val="clear" w:pos="-261"/>
          <w:tab w:val="num" w:pos="-272"/>
        </w:tabs>
        <w:rPr>
          <w:rFonts w:cs="Arial"/>
          <w:szCs w:val="20"/>
        </w:rPr>
      </w:pPr>
      <w:r w:rsidRPr="00DE694D" w:rsidDel="003755A0">
        <w:t>3.6 GHz band</w:t>
      </w:r>
      <w:r w:rsidR="00590573">
        <w:t>—</w:t>
      </w:r>
      <w:r w:rsidR="00EB5605">
        <w:t>i</w:t>
      </w:r>
      <w:r w:rsidR="00A5503E">
        <w:t xml:space="preserve">n December 2018 the ACMA successfully allocated 125 MHz of spectrum in </w:t>
      </w:r>
      <w:r w:rsidR="00A5503E" w:rsidRPr="00414F57">
        <w:t>the 3.6 GHz band</w:t>
      </w:r>
      <w:r w:rsidR="00A5503E">
        <w:t xml:space="preserve"> (3575</w:t>
      </w:r>
      <w:r w:rsidR="004E64E0">
        <w:t>–</w:t>
      </w:r>
      <w:r w:rsidR="00A5503E">
        <w:t xml:space="preserve">3700 MHz), in metropolitan and regional areas. </w:t>
      </w:r>
    </w:p>
    <w:p w14:paraId="7C510916" w14:textId="655C594C" w:rsidR="003B04E0" w:rsidRPr="00590573" w:rsidRDefault="003B04E0">
      <w:pPr>
        <w:pStyle w:val="ListBullet"/>
        <w:tabs>
          <w:tab w:val="clear" w:pos="-261"/>
          <w:tab w:val="num" w:pos="-272"/>
        </w:tabs>
        <w:rPr>
          <w:rFonts w:cs="Arial"/>
          <w:szCs w:val="20"/>
        </w:rPr>
      </w:pPr>
      <w:r w:rsidRPr="00DE694D">
        <w:t>5.6 GHz band</w:t>
      </w:r>
      <w:r w:rsidR="00081979">
        <w:t>—</w:t>
      </w:r>
      <w:r w:rsidR="00EB5605">
        <w:t>i</w:t>
      </w:r>
      <w:r>
        <w:t xml:space="preserve">n </w:t>
      </w:r>
      <w:r w:rsidR="00AE7FD8">
        <w:t>December</w:t>
      </w:r>
      <w:r>
        <w:t xml:space="preserve"> 2018, the ACMA published RALI </w:t>
      </w:r>
      <w:r w:rsidR="00AE7FD8">
        <w:t xml:space="preserve">FX23 </w:t>
      </w:r>
      <w:r w:rsidR="001D72BA">
        <w:t>describing frequency coordination for fixed point-to-multipoint services</w:t>
      </w:r>
      <w:r w:rsidR="00AB5442">
        <w:t xml:space="preserve"> including FWA</w:t>
      </w:r>
      <w:r w:rsidR="001D72BA">
        <w:t xml:space="preserve"> in </w:t>
      </w:r>
      <w:r>
        <w:t>the 5.6 GHz band.</w:t>
      </w:r>
      <w:r w:rsidR="00AE7FD8">
        <w:t xml:space="preserve"> </w:t>
      </w:r>
    </w:p>
    <w:p w14:paraId="5481D5D3" w14:textId="22DA9C7E" w:rsidR="0068779F" w:rsidRDefault="00C50635" w:rsidP="00DE694D">
      <w:pPr>
        <w:pStyle w:val="ListBulletLast"/>
      </w:pPr>
      <w:proofErr w:type="spellStart"/>
      <w:r w:rsidRPr="00775B4A">
        <w:rPr>
          <w:bCs/>
          <w:szCs w:val="20"/>
        </w:rPr>
        <w:t>mmWave</w:t>
      </w:r>
      <w:proofErr w:type="spellEnd"/>
      <w:r w:rsidRPr="00775B4A">
        <w:rPr>
          <w:bCs/>
          <w:szCs w:val="20"/>
        </w:rPr>
        <w:t xml:space="preserve"> spectrum for 5G</w:t>
      </w:r>
      <w:r w:rsidR="00590573" w:rsidRPr="00916C98">
        <w:rPr>
          <w:bCs/>
          <w:szCs w:val="20"/>
        </w:rPr>
        <w:t>—</w:t>
      </w:r>
      <w:r w:rsidR="00EB5605">
        <w:t>t</w:t>
      </w:r>
      <w:r w:rsidR="0014623C" w:rsidRPr="00596594">
        <w:t>he ACMA released t</w:t>
      </w:r>
      <w:r w:rsidR="008F2D70" w:rsidRPr="00596594">
        <w:t>wo consultation papers in September 2018</w:t>
      </w:r>
      <w:r w:rsidR="0014623C" w:rsidRPr="00596594">
        <w:t xml:space="preserve"> </w:t>
      </w:r>
      <w:r w:rsidR="0014623C">
        <w:t xml:space="preserve">which considered </w:t>
      </w:r>
      <w:r w:rsidR="0014623C" w:rsidRPr="00596594">
        <w:t>planning options</w:t>
      </w:r>
      <w:r w:rsidR="0014623C">
        <w:t xml:space="preserve"> for 5G</w:t>
      </w:r>
      <w:r w:rsidR="0014623C" w:rsidRPr="00596594">
        <w:t xml:space="preserve"> in the 26 GHz band</w:t>
      </w:r>
      <w:r w:rsidR="00115791" w:rsidRPr="00596594">
        <w:t xml:space="preserve"> and</w:t>
      </w:r>
      <w:r w:rsidR="0014623C" w:rsidRPr="00596594">
        <w:t xml:space="preserve"> discuss</w:t>
      </w:r>
      <w:r w:rsidR="0014623C">
        <w:t>ed</w:t>
      </w:r>
      <w:r w:rsidR="0014623C" w:rsidRPr="00596594">
        <w:t xml:space="preserve"> the </w:t>
      </w:r>
      <w:r w:rsidR="0014623C" w:rsidRPr="0014623C">
        <w:t xml:space="preserve">suitability of the </w:t>
      </w:r>
      <w:r w:rsidR="0014623C" w:rsidRPr="00AA746A">
        <w:t xml:space="preserve">28 GHz band for a broad range of users and service types (including 5G). </w:t>
      </w:r>
      <w:r w:rsidR="0080506C">
        <w:t xml:space="preserve">In December </w:t>
      </w:r>
      <w:r w:rsidR="00190008">
        <w:t xml:space="preserve">2018 </w:t>
      </w:r>
      <w:r w:rsidR="0080506C">
        <w:t xml:space="preserve">the </w:t>
      </w:r>
      <w:r w:rsidR="000510EB">
        <w:t xml:space="preserve">ACMA </w:t>
      </w:r>
      <w:r w:rsidR="0080506C">
        <w:t xml:space="preserve">commenced </w:t>
      </w:r>
      <w:r w:rsidR="000510EB">
        <w:t>consult</w:t>
      </w:r>
      <w:r w:rsidR="0080506C">
        <w:t xml:space="preserve">ation </w:t>
      </w:r>
      <w:r w:rsidR="000510EB">
        <w:t xml:space="preserve">on </w:t>
      </w:r>
      <w:r w:rsidR="00E45424">
        <w:t>propos</w:t>
      </w:r>
      <w:r w:rsidR="0080506C">
        <w:t>ed</w:t>
      </w:r>
      <w:r w:rsidR="00E45424">
        <w:t xml:space="preserve"> updates to class licensing arrangements which </w:t>
      </w:r>
      <w:r w:rsidR="0080506C">
        <w:t>included</w:t>
      </w:r>
      <w:r w:rsidR="00E45424" w:rsidRPr="00414F57">
        <w:t xml:space="preserve"> additional spectrum in the 60 GHz range</w:t>
      </w:r>
      <w:r w:rsidR="00E45424">
        <w:t xml:space="preserve"> for </w:t>
      </w:r>
      <w:r w:rsidR="000510EB" w:rsidRPr="00F86A0F">
        <w:t>data communication systems, including 5G</w:t>
      </w:r>
      <w:r w:rsidR="00E45424">
        <w:t>.</w:t>
      </w:r>
    </w:p>
    <w:p w14:paraId="6BB62756" w14:textId="4D38DD84" w:rsidR="00516EAC" w:rsidRPr="005759E7" w:rsidRDefault="00516EAC" w:rsidP="00D7755E">
      <w:pPr>
        <w:pStyle w:val="Heading2"/>
        <w:rPr>
          <w:rStyle w:val="Heading2Char"/>
        </w:rPr>
      </w:pPr>
      <w:bookmarkStart w:id="214" w:name="_Toc5025672"/>
      <w:bookmarkStart w:id="215" w:name="_Hlk2180539"/>
      <w:r w:rsidRPr="005759E7">
        <w:rPr>
          <w:rStyle w:val="Heading2Char"/>
          <w:b/>
          <w:bCs/>
          <w:iCs/>
        </w:rPr>
        <w:t xml:space="preserve">Major band </w:t>
      </w:r>
      <w:r w:rsidR="0070084E">
        <w:rPr>
          <w:rStyle w:val="Heading2Char"/>
          <w:b/>
          <w:bCs/>
          <w:iCs/>
        </w:rPr>
        <w:t xml:space="preserve">planning and </w:t>
      </w:r>
      <w:r w:rsidRPr="005759E7">
        <w:rPr>
          <w:rStyle w:val="Heading2Char"/>
          <w:b/>
          <w:bCs/>
          <w:iCs/>
        </w:rPr>
        <w:t>replanning activities</w:t>
      </w:r>
      <w:bookmarkEnd w:id="214"/>
      <w:r w:rsidRPr="005759E7">
        <w:rPr>
          <w:rStyle w:val="Heading2Char"/>
          <w:b/>
          <w:bCs/>
          <w:iCs/>
        </w:rPr>
        <w:t xml:space="preserve"> </w:t>
      </w:r>
    </w:p>
    <w:p w14:paraId="460FF6D8" w14:textId="4F751BD4" w:rsidR="00516EAC" w:rsidRDefault="00516EAC" w:rsidP="00D7755E">
      <w:bookmarkStart w:id="216" w:name="_Hlk4141764"/>
      <w:bookmarkEnd w:id="215"/>
      <w:r w:rsidRPr="00D169BA">
        <w:t xml:space="preserve">This section provides an overview of </w:t>
      </w:r>
      <w:r>
        <w:t>the ACMA’s work in</w:t>
      </w:r>
      <w:r w:rsidRPr="00D169BA">
        <w:t xml:space="preserve"> establish</w:t>
      </w:r>
      <w:r>
        <w:t xml:space="preserve">ing </w:t>
      </w:r>
      <w:r w:rsidRPr="00D169BA">
        <w:t>new planning frameworks</w:t>
      </w:r>
      <w:r>
        <w:t>, including</w:t>
      </w:r>
      <w:r w:rsidRPr="00D169BA">
        <w:t xml:space="preserve"> other </w:t>
      </w:r>
      <w:r>
        <w:t xml:space="preserve">major band </w:t>
      </w:r>
      <w:r w:rsidR="0070084E" w:rsidRPr="00D169BA">
        <w:t>re-farming and reallocation</w:t>
      </w:r>
      <w:r>
        <w:t xml:space="preserve"> activities.</w:t>
      </w:r>
      <w:bookmarkEnd w:id="216"/>
    </w:p>
    <w:p w14:paraId="6D7D85D2" w14:textId="05D0BE03" w:rsidR="00516EAC" w:rsidRDefault="004B065E" w:rsidP="00D7755E">
      <w:r>
        <w:t>For p</w:t>
      </w:r>
      <w:r w:rsidR="00516EAC">
        <w:t xml:space="preserve">rice-based allocation of spectrum resulting from major band replanning activities </w:t>
      </w:r>
      <w:r>
        <w:t>see</w:t>
      </w:r>
      <w:r w:rsidR="00D25046">
        <w:t xml:space="preserve"> </w:t>
      </w:r>
      <w:r w:rsidR="00D25046" w:rsidRPr="00DE694D">
        <w:rPr>
          <w:rStyle w:val="Hyperlink"/>
          <w:color w:val="auto"/>
          <w:u w:val="none"/>
        </w:rPr>
        <w:t>The f</w:t>
      </w:r>
      <w:r w:rsidR="00E463B3" w:rsidRPr="00DE694D">
        <w:rPr>
          <w:rStyle w:val="Hyperlink"/>
          <w:color w:val="auto"/>
          <w:u w:val="none"/>
        </w:rPr>
        <w:t>orward allocation work plan</w:t>
      </w:r>
      <w:r>
        <w:t xml:space="preserve"> below</w:t>
      </w:r>
      <w:r w:rsidR="00516EAC">
        <w:t xml:space="preserve">. </w:t>
      </w:r>
    </w:p>
    <w:p w14:paraId="2D560364" w14:textId="13EE9389" w:rsidR="00FF0C2E" w:rsidRDefault="00516EAC" w:rsidP="00D7755E">
      <w:bookmarkStart w:id="217" w:name="_Hlk2248565"/>
      <w:r>
        <w:t xml:space="preserve">Bands listed are categorised </w:t>
      </w:r>
      <w:r w:rsidR="00FF0C2E">
        <w:t xml:space="preserve">into four stages as shown in Figure 1. </w:t>
      </w:r>
    </w:p>
    <w:p w14:paraId="641DDAF5" w14:textId="4D3DA6D9" w:rsidR="00FF0C2E" w:rsidRDefault="00FF0C2E" w:rsidP="00D7755E">
      <w:pPr>
        <w:pStyle w:val="ACMAFigureHeader"/>
      </w:pPr>
      <w:r>
        <w:t>Four stages in spectrum management band planning</w:t>
      </w:r>
    </w:p>
    <w:p w14:paraId="7ED0EDFC" w14:textId="636807D4" w:rsidR="00C837A5" w:rsidRDefault="00FF0C2E">
      <w:r>
        <w:rPr>
          <w:noProof/>
        </w:rPr>
        <w:drawing>
          <wp:inline distT="0" distB="0" distL="0" distR="0" wp14:anchorId="5FAC452A" wp14:editId="4DB3752D">
            <wp:extent cx="5013761" cy="2924355"/>
            <wp:effectExtent l="0" t="0" r="0" b="0"/>
            <wp:docPr id="3" name="Picture 3" descr="Diagram showing the four stages in spectrum management ban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38577" cy="2938829"/>
                    </a:xfrm>
                    <a:prstGeom prst="rect">
                      <a:avLst/>
                    </a:prstGeom>
                    <a:noFill/>
                  </pic:spPr>
                </pic:pic>
              </a:graphicData>
            </a:graphic>
          </wp:inline>
        </w:drawing>
      </w:r>
      <w:r w:rsidR="00516EAC" w:rsidRPr="00D169BA">
        <w:t xml:space="preserve"> </w:t>
      </w:r>
      <w:bookmarkEnd w:id="217"/>
      <w:r w:rsidR="00C837A5">
        <w:rPr>
          <w:b/>
          <w:bCs/>
        </w:rPr>
        <w:br w:type="page"/>
      </w:r>
    </w:p>
    <w:tbl>
      <w:tblPr>
        <w:tblW w:w="7797"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Monitoring"/>
      </w:tblPr>
      <w:tblGrid>
        <w:gridCol w:w="7797"/>
      </w:tblGrid>
      <w:tr w:rsidR="00172695" w:rsidRPr="00172695" w14:paraId="4F50E989" w14:textId="77777777" w:rsidTr="00DE694D">
        <w:trPr>
          <w:tblHeader/>
        </w:trPr>
        <w:tc>
          <w:tcPr>
            <w:tcW w:w="7797" w:type="dxa"/>
            <w:tcBorders>
              <w:top w:val="nil"/>
              <w:left w:val="nil"/>
              <w:bottom w:val="nil"/>
              <w:right w:val="nil"/>
            </w:tcBorders>
            <w:shd w:val="clear" w:color="auto" w:fill="D9D9D9" w:themeFill="background1" w:themeFillShade="D9"/>
            <w:tcMar>
              <w:top w:w="57" w:type="dxa"/>
              <w:left w:w="0" w:type="dxa"/>
              <w:bottom w:w="57" w:type="dxa"/>
            </w:tcMar>
            <w:vAlign w:val="center"/>
          </w:tcPr>
          <w:p w14:paraId="02CB60E5" w14:textId="27E7AD28" w:rsidR="00115791" w:rsidRPr="00C837A5" w:rsidRDefault="00115791" w:rsidP="00DE694D">
            <w:pPr>
              <w:pStyle w:val="Tableheading2"/>
              <w:keepNext w:val="0"/>
            </w:pPr>
            <w:bookmarkStart w:id="218" w:name="_Toc5025673"/>
            <w:r w:rsidRPr="00C837A5">
              <w:lastRenderedPageBreak/>
              <w:t>Monitoring</w:t>
            </w:r>
            <w:bookmarkEnd w:id="218"/>
          </w:p>
        </w:tc>
      </w:tr>
      <w:tr w:rsidR="00032439" w:rsidRPr="00172695" w14:paraId="0C0E1552" w14:textId="77777777" w:rsidTr="00DE694D">
        <w:trPr>
          <w:trHeight w:val="227"/>
          <w:tblHeader/>
        </w:trPr>
        <w:tc>
          <w:tcPr>
            <w:tcW w:w="7797" w:type="dxa"/>
            <w:tcBorders>
              <w:top w:val="nil"/>
              <w:left w:val="nil"/>
              <w:bottom w:val="nil"/>
              <w:right w:val="nil"/>
            </w:tcBorders>
            <w:shd w:val="clear" w:color="auto" w:fill="auto"/>
            <w:tcMar>
              <w:top w:w="57" w:type="dxa"/>
              <w:left w:w="57" w:type="dxa"/>
              <w:bottom w:w="57" w:type="dxa"/>
            </w:tcMar>
            <w:vAlign w:val="center"/>
          </w:tcPr>
          <w:p w14:paraId="212B0FE9" w14:textId="77777777" w:rsidR="00032439" w:rsidRPr="00DE694D" w:rsidRDefault="00032439" w:rsidP="00DE694D">
            <w:pPr>
              <w:spacing w:after="0" w:line="140" w:lineRule="atLeast"/>
              <w:rPr>
                <w:sz w:val="14"/>
              </w:rPr>
            </w:pPr>
          </w:p>
        </w:tc>
      </w:tr>
      <w:tr w:rsidR="00FE0089" w14:paraId="657C2414" w14:textId="77777777" w:rsidTr="00DE694D">
        <w:tc>
          <w:tcPr>
            <w:tcW w:w="7797" w:type="dxa"/>
            <w:tcBorders>
              <w:top w:val="nil"/>
              <w:left w:val="nil"/>
              <w:bottom w:val="nil"/>
              <w:right w:val="nil"/>
            </w:tcBorders>
          </w:tcPr>
          <w:p w14:paraId="45716BF6" w14:textId="77777777" w:rsidR="00FE0089" w:rsidRDefault="00FE0089" w:rsidP="00DE694D">
            <w:r>
              <w:t>In the monitoring stage, t</w:t>
            </w:r>
            <w:r w:rsidRPr="008D5491">
              <w:t xml:space="preserve">he ACMA maintains an awareness of developments and interest in potential changes to the use of the band that may require substantial planning activities. </w:t>
            </w:r>
          </w:p>
          <w:p w14:paraId="718BACB8" w14:textId="77777777" w:rsidR="00FE0089" w:rsidRDefault="00FE0089" w:rsidP="00DE694D">
            <w:r w:rsidRPr="008D5491">
              <w:t>There is no direct action required by stakeholders at this stage, however</w:t>
            </w:r>
            <w:r>
              <w:t>,</w:t>
            </w:r>
            <w:r w:rsidRPr="008D5491">
              <w:t xml:space="preserve"> there is an opportunity for stakeholders to keep the ACMA appraised of relevant developments and issues. </w:t>
            </w:r>
          </w:p>
          <w:p w14:paraId="43AD2BF5" w14:textId="2B47837A" w:rsidR="00FE0089" w:rsidRDefault="00FE0089" w:rsidP="00DE694D">
            <w:r w:rsidRPr="008D5491">
              <w:t>In general, the ACMA sees bands and issues included at the monitoring stage as representing potential work items beyond its immediate 12</w:t>
            </w:r>
            <w:r>
              <w:t>-</w:t>
            </w:r>
            <w:r w:rsidRPr="008D5491">
              <w:t xml:space="preserve">month </w:t>
            </w:r>
            <w:r>
              <w:t>work program.</w:t>
            </w:r>
          </w:p>
        </w:tc>
      </w:tr>
      <w:tr w:rsidR="00064A98" w14:paraId="01C143C5" w14:textId="77777777" w:rsidTr="00DE694D">
        <w:tc>
          <w:tcPr>
            <w:tcW w:w="7797" w:type="dxa"/>
            <w:tcBorders>
              <w:top w:val="nil"/>
              <w:bottom w:val="nil"/>
            </w:tcBorders>
          </w:tcPr>
          <w:p w14:paraId="6E1C1D63" w14:textId="35815C58" w:rsidR="00115791" w:rsidRDefault="00115791" w:rsidP="00DE694D">
            <w:pPr>
              <w:pStyle w:val="Heading3"/>
              <w:keepNext w:val="0"/>
            </w:pPr>
            <w:bookmarkStart w:id="219" w:name="_Toc5025674"/>
            <w:r>
              <w:t xml:space="preserve">600 MHz </w:t>
            </w:r>
            <w:r w:rsidRPr="00C05934">
              <w:t>(617–698</w:t>
            </w:r>
            <w:r w:rsidRPr="001D3119">
              <w:rPr>
                <w:rStyle w:val="FootnoteReference"/>
              </w:rPr>
              <w:footnoteReference w:id="17"/>
            </w:r>
            <w:r w:rsidRPr="00C05934">
              <w:t xml:space="preserve"> </w:t>
            </w:r>
            <w:r w:rsidRPr="00467F32">
              <w:t>MHz)</w:t>
            </w:r>
            <w:bookmarkEnd w:id="219"/>
          </w:p>
        </w:tc>
      </w:tr>
      <w:tr w:rsidR="00064A98" w14:paraId="1F579BC2" w14:textId="77777777" w:rsidTr="00DE694D">
        <w:tc>
          <w:tcPr>
            <w:tcW w:w="7797" w:type="dxa"/>
            <w:tcBorders>
              <w:top w:val="nil"/>
              <w:bottom w:val="nil"/>
            </w:tcBorders>
          </w:tcPr>
          <w:p w14:paraId="42F7CE17" w14:textId="77777777" w:rsidR="00115791" w:rsidRPr="00964F02" w:rsidRDefault="00115791" w:rsidP="00DE694D">
            <w:r w:rsidRPr="00964F02">
              <w:t xml:space="preserve">The 600 MHz band is currently used by digital television services in Australia and is available for some services under the </w:t>
            </w:r>
            <w:hyperlink r:id="rId32" w:history="1">
              <w:r w:rsidRPr="00964F02">
                <w:rPr>
                  <w:rStyle w:val="Hyperlink"/>
                  <w:rFonts w:eastAsiaTheme="majorEastAsia" w:cs="Arial"/>
                  <w:szCs w:val="20"/>
                </w:rPr>
                <w:t>Radiocommunications (Low Interference Potential Devices) Class Licence 2015</w:t>
              </w:r>
            </w:hyperlink>
            <w:r w:rsidRPr="00964F02">
              <w:t xml:space="preserve">. </w:t>
            </w:r>
          </w:p>
          <w:p w14:paraId="37AA2BF0" w14:textId="77777777" w:rsidR="00115791" w:rsidRDefault="00115791" w:rsidP="00DE694D">
            <w:r>
              <w:t>Monitoring of this band is consistent with the Australian Government’s interest in considering the long-term availability of the television ‘sixth channel’ for non-broadcasting uses.</w:t>
            </w:r>
            <w:r w:rsidRPr="00964F02">
              <w:rPr>
                <w:rStyle w:val="FootnoteReference"/>
                <w:szCs w:val="20"/>
              </w:rPr>
              <w:footnoteReference w:id="18"/>
            </w:r>
            <w:r>
              <w:t xml:space="preserve"> </w:t>
            </w:r>
          </w:p>
          <w:p w14:paraId="16645907" w14:textId="432ED429" w:rsidR="00115791" w:rsidRPr="003F0C5A" w:rsidRDefault="00115791" w:rsidP="00DE694D">
            <w:r w:rsidRPr="00C837A5">
              <w:t>It could also support scenarios in which national broadcasting services were consolidated onto a single multip</w:t>
            </w:r>
            <w:r w:rsidRPr="008713AA">
              <w:t>lex in each area, potentially freeing up an additional channel for broadcasting or other uses. Current TV channel arrangements include spectrum both inside and outside of the 600 MHz band and would require a further restack (sometimes referred to as a ‘sec</w:t>
            </w:r>
            <w:r w:rsidRPr="00E26672">
              <w:t>ond digital dividend’) to yield a contiguous block of spectrum in the 600 MHz range. The sixth channel is currently available for trials of more advanced digital television technology. There are n</w:t>
            </w:r>
            <w:r w:rsidRPr="003045D4">
              <w:t>o current government or industry plans for technical standar</w:t>
            </w:r>
            <w:r w:rsidRPr="003F0C5A">
              <w:t>ds migration of television or the reconfiguration of TV channels.</w:t>
            </w:r>
          </w:p>
          <w:p w14:paraId="22B815EC" w14:textId="335A49BA" w:rsidR="00115791" w:rsidRPr="00C74D6F" w:rsidRDefault="00115791" w:rsidP="00DE694D">
            <w:pPr>
              <w:pStyle w:val="BodySubHeader"/>
            </w:pPr>
            <w:r w:rsidRPr="00C74D6F">
              <w:t xml:space="preserve">Recent </w:t>
            </w:r>
            <w:r w:rsidRPr="00DE694D">
              <w:t>developments</w:t>
            </w:r>
          </w:p>
          <w:p w14:paraId="0B2DB0F1" w14:textId="29013C24" w:rsidR="00115791" w:rsidRDefault="00115791" w:rsidP="00DE694D">
            <w:r>
              <w:t xml:space="preserve">The FCC incentive auction (closed on 30 March 2017) resulted in a repurposing of </w:t>
            </w:r>
            <w:r w:rsidR="009228E1">
              <w:t>84 </w:t>
            </w:r>
            <w:r>
              <w:t>MHz of spectrum—70 MHz for licensed use and another 14 MHz for wireless microphones and unlicensed use.</w:t>
            </w:r>
            <w:r>
              <w:rPr>
                <w:rStyle w:val="FootnoteReference"/>
              </w:rPr>
              <w:footnoteReference w:id="19"/>
            </w:r>
            <w:r>
              <w:t xml:space="preserve"> </w:t>
            </w:r>
          </w:p>
          <w:p w14:paraId="72E9B57C" w14:textId="77777777" w:rsidR="00115791" w:rsidRDefault="00115791" w:rsidP="00DE694D">
            <w:r>
              <w:t xml:space="preserve">In addition, the Radio Spectrum Policy Group (RSPG) of the European Commission (EC) has also provided a </w:t>
            </w:r>
            <w:hyperlink r:id="rId33" w:history="1">
              <w:r>
                <w:rPr>
                  <w:rStyle w:val="Hyperlink"/>
                  <w:rFonts w:eastAsiaTheme="majorEastAsia" w:cs="Arial"/>
                </w:rPr>
                <w:t>long-term strategy for the future of the UHF band</w:t>
              </w:r>
            </w:hyperlink>
            <w:r>
              <w:rPr>
                <w:rStyle w:val="Hyperlink"/>
                <w:rFonts w:eastAsiaTheme="majorEastAsia" w:cs="Arial"/>
              </w:rPr>
              <w:t>,</w:t>
            </w:r>
            <w:r>
              <w:t xml:space="preserve"> which suggests the band remain available for broadcasting services until at least 2030. It also recommends that the band should be available for downlink-only broadband services on a secondary basis. This outcome is reflected in the </w:t>
            </w:r>
            <w:hyperlink r:id="rId34" w:history="1">
              <w:r>
                <w:rPr>
                  <w:rStyle w:val="Hyperlink"/>
                  <w:rFonts w:eastAsiaTheme="majorEastAsia" w:cs="Arial"/>
                </w:rPr>
                <w:t>EC’s inception assessment</w:t>
              </w:r>
            </w:hyperlink>
            <w:r>
              <w:t>, but a final decision is still pending.</w:t>
            </w:r>
          </w:p>
          <w:p w14:paraId="73BC9334" w14:textId="76471672" w:rsidR="00115791" w:rsidRDefault="00115791" w:rsidP="00DE694D">
            <w:pPr>
              <w:rPr>
                <w:rFonts w:eastAsia="SimSun"/>
                <w:lang w:eastAsia="zh-CN"/>
              </w:rPr>
            </w:pPr>
            <w:r>
              <w:t xml:space="preserve">ITU-R Working Party 5D </w:t>
            </w:r>
            <w:r>
              <w:rPr>
                <w:lang w:eastAsia="zh-CN"/>
              </w:rPr>
              <w:t xml:space="preserve">is continuing the </w:t>
            </w:r>
            <w:r>
              <w:rPr>
                <w:rFonts w:eastAsia="SimSun"/>
                <w:lang w:eastAsia="zh-CN"/>
              </w:rPr>
              <w:t xml:space="preserve">revision of Recommendation ITU-R M.1036-5 </w:t>
            </w:r>
            <w:r>
              <w:t xml:space="preserve">on frequency arrangements for implementation of the terrestrial component of </w:t>
            </w:r>
            <w:r>
              <w:lastRenderedPageBreak/>
              <w:t>International Mobile Telecommunications (IMT) in the bands identified for IMT in the RR</w:t>
            </w:r>
            <w:r w:rsidR="00E463B3">
              <w:t>s</w:t>
            </w:r>
            <w:r>
              <w:t xml:space="preserve">. </w:t>
            </w:r>
          </w:p>
          <w:p w14:paraId="24683983" w14:textId="77777777" w:rsidR="00115791" w:rsidRPr="00C74D6F" w:rsidRDefault="00115791" w:rsidP="00DE694D">
            <w:pPr>
              <w:pStyle w:val="BodySubHeader"/>
            </w:pPr>
            <w:r w:rsidRPr="00C74D6F">
              <w:t>Next steps</w:t>
            </w:r>
          </w:p>
          <w:p w14:paraId="4D7327BD" w14:textId="77777777" w:rsidR="00115791" w:rsidRDefault="00115791" w:rsidP="00DE694D">
            <w:r>
              <w:t>The ACMA will continue to monitor international developments. In particular, the imple</w:t>
            </w:r>
            <w:r w:rsidRPr="006F7E0C">
              <w:t>mentation of the results of the incentive auction process in the United States (US) will be</w:t>
            </w:r>
            <w:r>
              <w:t xml:space="preserve"> of key interest. </w:t>
            </w:r>
          </w:p>
          <w:p w14:paraId="6C2B207D" w14:textId="0A2CB39D" w:rsidR="00115791" w:rsidRPr="003F0C5A" w:rsidRDefault="00115791" w:rsidP="00DE694D">
            <w:r w:rsidRPr="00C837A5">
              <w:t xml:space="preserve">The ACMA will </w:t>
            </w:r>
            <w:r w:rsidR="00B07FB5" w:rsidRPr="00C837A5">
              <w:t>continue to</w:t>
            </w:r>
            <w:r w:rsidR="00B07FB5" w:rsidRPr="008713AA">
              <w:t xml:space="preserve"> </w:t>
            </w:r>
            <w:r w:rsidRPr="008713AA">
              <w:t>engage with industry and gov</w:t>
            </w:r>
            <w:r w:rsidRPr="00E26672">
              <w:t xml:space="preserve">ernment </w:t>
            </w:r>
            <w:r w:rsidR="00B07FB5" w:rsidRPr="00E26672">
              <w:t xml:space="preserve">as required </w:t>
            </w:r>
            <w:r w:rsidRPr="003045D4">
              <w:t>on technological evolution of terrestrial dig</w:t>
            </w:r>
            <w:r w:rsidRPr="003F0C5A">
              <w:t>ital television, including DVB-T2 and HEVC. Adoption of these technologies is likely to be a prerequisite for any future reallocation of broadcasting spectrum for non-broadcasting uses, though it is also key to the more efficient use of spectrum by the television industry itself. Both the government and the ACMA have emphasised the availability of ‘sixth channel’ spectrum for trialling the new standards.</w:t>
            </w:r>
          </w:p>
        </w:tc>
      </w:tr>
      <w:tr w:rsidR="00064A98" w14:paraId="3A05AA3F" w14:textId="77777777" w:rsidTr="00DE694D">
        <w:tc>
          <w:tcPr>
            <w:tcW w:w="7797" w:type="dxa"/>
            <w:tcBorders>
              <w:top w:val="nil"/>
              <w:bottom w:val="nil"/>
            </w:tcBorders>
          </w:tcPr>
          <w:p w14:paraId="4F28D05F" w14:textId="6D665BAB" w:rsidR="00115791" w:rsidRPr="003045D4" w:rsidRDefault="00115791" w:rsidP="00DE694D">
            <w:pPr>
              <w:pStyle w:val="Heading3"/>
            </w:pPr>
            <w:bookmarkStart w:id="220" w:name="_Toc5025675"/>
            <w:r w:rsidRPr="00E26672">
              <w:lastRenderedPageBreak/>
              <w:t>3.3 GHz (3300–3400 MHz)</w:t>
            </w:r>
            <w:bookmarkEnd w:id="220"/>
          </w:p>
        </w:tc>
      </w:tr>
      <w:tr w:rsidR="00064A98" w14:paraId="4C1030A2" w14:textId="77777777" w:rsidTr="00DE694D">
        <w:tc>
          <w:tcPr>
            <w:tcW w:w="7797" w:type="dxa"/>
            <w:tcBorders>
              <w:top w:val="nil"/>
              <w:bottom w:val="nil"/>
            </w:tcBorders>
          </w:tcPr>
          <w:p w14:paraId="1E455BD1" w14:textId="58A5938F" w:rsidR="00115791" w:rsidRDefault="00115791" w:rsidP="00DE694D">
            <w:pPr>
              <w:rPr>
                <w:rFonts w:cs="Arial"/>
              </w:rPr>
            </w:pPr>
            <w:r w:rsidRPr="00C837A5">
              <w:t xml:space="preserve">The 3300–3400 MHz band is currently allocated on a primary basis to the radiolocation service worldwide. In Australia, this band is designated to be used principally for the purposes of defence and national security via footnote AUS101A of the </w:t>
            </w:r>
            <w:r w:rsidR="00E96B09" w:rsidRPr="008713AA">
              <w:t>ARSP</w:t>
            </w:r>
            <w:r w:rsidRPr="008713AA">
              <w:t>. The De</w:t>
            </w:r>
            <w:r w:rsidRPr="00E26672">
              <w:t xml:space="preserve">partment of Defence (Defence) is normally consulted in considering non-defence use of this service. </w:t>
            </w:r>
            <w:r w:rsidRPr="003045D4">
              <w:t>At WRC-15, the 3300–3400 MHz band was identified for IMT by several countries</w:t>
            </w:r>
            <w:r>
              <w:rPr>
                <w:rFonts w:cs="Arial"/>
              </w:rPr>
              <w:t xml:space="preserve">. </w:t>
            </w:r>
          </w:p>
          <w:p w14:paraId="65E013E0" w14:textId="77777777" w:rsidR="00115791" w:rsidRPr="00C74D6F" w:rsidRDefault="00115791" w:rsidP="00DE694D">
            <w:pPr>
              <w:pStyle w:val="BodySubHeader"/>
            </w:pPr>
            <w:r w:rsidRPr="00C74D6F">
              <w:t xml:space="preserve">Recent </w:t>
            </w:r>
            <w:r w:rsidRPr="00DE694D">
              <w:t>developments</w:t>
            </w:r>
          </w:p>
          <w:p w14:paraId="606765FE" w14:textId="4766A5B7" w:rsidR="00115791" w:rsidRDefault="00115791" w:rsidP="00DE694D">
            <w:r>
              <w:t xml:space="preserve">ITU-R Working Party 5D </w:t>
            </w:r>
            <w:r>
              <w:rPr>
                <w:lang w:eastAsia="zh-CN"/>
              </w:rPr>
              <w:t xml:space="preserve">is continuing the </w:t>
            </w:r>
            <w:r>
              <w:rPr>
                <w:rFonts w:eastAsia="SimSun"/>
                <w:lang w:eastAsia="zh-CN"/>
              </w:rPr>
              <w:t>revision of Recommendation ITU-</w:t>
            </w:r>
            <w:r>
              <w:t xml:space="preserve">R M.1036-5 on frequency arrangements for implementation of the terrestrial component of IMT in the bands identified for IMT in </w:t>
            </w:r>
            <w:r w:rsidRPr="00C06614">
              <w:t>the</w:t>
            </w:r>
            <w:r w:rsidRPr="00365525">
              <w:rPr>
                <w:color w:val="000000"/>
                <w:szCs w:val="20"/>
                <w:lang w:val="en-US"/>
              </w:rPr>
              <w:t xml:space="preserve"> </w:t>
            </w:r>
            <w:r>
              <w:t xml:space="preserve">RRs. The draft revision includes arrangements for the frequency band 3300–3400 </w:t>
            </w:r>
            <w:proofErr w:type="spellStart"/>
            <w:r>
              <w:t>MHz.</w:t>
            </w:r>
            <w:proofErr w:type="spellEnd"/>
            <w:r>
              <w:t xml:space="preserve"> Working Party 5D also commenced studies as called for in Resolution </w:t>
            </w:r>
            <w:r>
              <w:rPr>
                <w:b/>
              </w:rPr>
              <w:t>223 (Rev. WRC-15).</w:t>
            </w:r>
            <w:r>
              <w:t xml:space="preserve"> </w:t>
            </w:r>
            <w:r>
              <w:rPr>
                <w:rFonts w:eastAsia="SimSun"/>
                <w:lang w:eastAsia="zh-CN"/>
              </w:rPr>
              <w:t>Working Party 5D is aiming to complete these work items by mid-2019. The AWG</w:t>
            </w:r>
            <w:r w:rsidDel="005601C6">
              <w:rPr>
                <w:rFonts w:eastAsia="SimSun"/>
                <w:lang w:eastAsia="zh-CN"/>
              </w:rPr>
              <w:t xml:space="preserve"> </w:t>
            </w:r>
            <w:r>
              <w:rPr>
                <w:rFonts w:eastAsia="SimSun"/>
                <w:lang w:eastAsia="zh-CN"/>
              </w:rPr>
              <w:t xml:space="preserve">has a work plan to develop a recommendation or report on harmonised frequency arrangement(s) for the </w:t>
            </w:r>
            <w:r>
              <w:t>3300–3400 MHz</w:t>
            </w:r>
            <w:r>
              <w:rPr>
                <w:rFonts w:eastAsia="SimSun"/>
                <w:lang w:eastAsia="zh-CN"/>
              </w:rPr>
              <w:t xml:space="preserve"> band. </w:t>
            </w:r>
            <w:r>
              <w:t>Technology standardisation within the 3GPP is also developing, with two bands defined by the 3GPP in July 2017</w:t>
            </w:r>
            <w:r w:rsidR="00032439">
              <w:t>—</w:t>
            </w:r>
            <w:r>
              <w:t xml:space="preserve">the first band being 3.3–3.8 GHz and the second being 3.3–4.2 GHz. </w:t>
            </w:r>
          </w:p>
          <w:p w14:paraId="47F02590" w14:textId="220C1445" w:rsidR="00E24427" w:rsidRDefault="00E24427" w:rsidP="00DE694D">
            <w:pPr>
              <w:rPr>
                <w:rFonts w:eastAsia="SimSun"/>
                <w:lang w:eastAsia="zh-CN"/>
              </w:rPr>
            </w:pPr>
            <w:r>
              <w:rPr>
                <w:rFonts w:eastAsiaTheme="majorEastAsia"/>
              </w:rPr>
              <w:t>Due to the current availability of equipment, WISPs and other FWA operators have also expressed interest in accessing the band.</w:t>
            </w:r>
          </w:p>
          <w:p w14:paraId="79C0B782" w14:textId="77777777" w:rsidR="00115791" w:rsidRPr="00C74D6F" w:rsidRDefault="00115791" w:rsidP="00DE694D">
            <w:pPr>
              <w:pStyle w:val="BodySubHeader"/>
            </w:pPr>
            <w:r w:rsidRPr="00C74D6F">
              <w:t xml:space="preserve">Next </w:t>
            </w:r>
            <w:r w:rsidRPr="00DE694D">
              <w:t>steps</w:t>
            </w:r>
          </w:p>
          <w:p w14:paraId="72E1B014" w14:textId="398F9840" w:rsidR="00115791" w:rsidRDefault="00FC5CF7" w:rsidP="00DE694D">
            <w:r>
              <w:t>T</w:t>
            </w:r>
            <w:r w:rsidR="00115791">
              <w:t>he ACMA will continue to monitor international developments in t</w:t>
            </w:r>
            <w:r>
              <w:t xml:space="preserve">his </w:t>
            </w:r>
            <w:r w:rsidR="00115791">
              <w:t xml:space="preserve">band. </w:t>
            </w:r>
            <w:r>
              <w:t>T</w:t>
            </w:r>
            <w:r w:rsidRPr="00470C76">
              <w:t>he ACMA is of the view that this band may be a candidate for consideration of dynamic spectrum-access type arrangements to promote sharing and increase the utility of the band.</w:t>
            </w:r>
            <w:r>
              <w:t xml:space="preserve"> </w:t>
            </w:r>
          </w:p>
        </w:tc>
      </w:tr>
      <w:tr w:rsidR="00064A98" w14:paraId="6C8BBFE1" w14:textId="77777777" w:rsidTr="00DE694D">
        <w:tc>
          <w:tcPr>
            <w:tcW w:w="7797" w:type="dxa"/>
            <w:tcBorders>
              <w:top w:val="nil"/>
              <w:bottom w:val="nil"/>
            </w:tcBorders>
          </w:tcPr>
          <w:p w14:paraId="70AF6E90" w14:textId="70B48BB5" w:rsidR="00115791" w:rsidRPr="00E26672" w:rsidRDefault="00115791" w:rsidP="00DE694D">
            <w:pPr>
              <w:pStyle w:val="Heading3"/>
            </w:pPr>
            <w:bookmarkStart w:id="221" w:name="_Toc5025676"/>
            <w:r w:rsidRPr="00C837A5">
              <w:t xml:space="preserve">4.5 GHz (4400–4500 </w:t>
            </w:r>
            <w:r w:rsidRPr="008713AA">
              <w:t>MHz)</w:t>
            </w:r>
            <w:bookmarkEnd w:id="221"/>
          </w:p>
        </w:tc>
      </w:tr>
      <w:tr w:rsidR="00064A98" w14:paraId="107E75E4" w14:textId="77777777" w:rsidTr="00DE694D">
        <w:tc>
          <w:tcPr>
            <w:tcW w:w="7797" w:type="dxa"/>
            <w:tcBorders>
              <w:top w:val="nil"/>
              <w:bottom w:val="nil"/>
            </w:tcBorders>
          </w:tcPr>
          <w:p w14:paraId="1F1858CD" w14:textId="64A3338D" w:rsidR="00115791" w:rsidRDefault="00115791" w:rsidP="00DE694D">
            <w:pPr>
              <w:rPr>
                <w:rFonts w:cs="Arial"/>
              </w:rPr>
            </w:pPr>
            <w:r>
              <w:t xml:space="preserve">The 4400–4500 MHz band is currently allocated on a co-primary basis to fixed and mobile service worldwide. In Australia, the band is designated to be used principally for the purposes of defence and national security via footnote AUS101 of the </w:t>
            </w:r>
            <w:r w:rsidR="00841D41">
              <w:t>ARSP</w:t>
            </w:r>
            <w:r>
              <w:t>. Defence is normally consulted in considering non-defence use of this service. Typical use is</w:t>
            </w:r>
            <w:r w:rsidDel="005601C6">
              <w:t xml:space="preserve"> for </w:t>
            </w:r>
            <w:r>
              <w:t>aeronautical mobile telemetry for flight testing by aircraft stations.</w:t>
            </w:r>
          </w:p>
          <w:p w14:paraId="041381A0" w14:textId="77777777" w:rsidR="00115791" w:rsidRDefault="00115791" w:rsidP="00DE694D">
            <w:pPr>
              <w:rPr>
                <w:rFonts w:cs="Arial"/>
              </w:rPr>
            </w:pPr>
            <w:r>
              <w:rPr>
                <w:rFonts w:cs="Arial"/>
              </w:rPr>
              <w:lastRenderedPageBreak/>
              <w:t xml:space="preserve">The 4400–4500 MHz band was considered for use for mobile broadband services in the lead up to WRC-15. However, the band was not identified for IMT at WRC-15 despite strong interest from China, Japan and Korea. </w:t>
            </w:r>
          </w:p>
          <w:p w14:paraId="7B607FBC" w14:textId="54D09B00" w:rsidR="00115791" w:rsidRDefault="00115791" w:rsidP="00DE694D">
            <w:r>
              <w:rPr>
                <w:rFonts w:cs="Arial"/>
              </w:rPr>
              <w:t>Since then, there has been increasing interest in this band, particularly from Region 3 countries. In June 2016, Japan’s Ministry of Internal Affairs and Communications (MIC) named the 4.4–4.9 GHz band as a nationally suitable candidate band for 5G.</w:t>
            </w:r>
            <w:r>
              <w:rPr>
                <w:rStyle w:val="FootnoteReference"/>
              </w:rPr>
              <w:footnoteReference w:id="20"/>
            </w:r>
            <w:r>
              <w:rPr>
                <w:rFonts w:cs="Arial"/>
              </w:rPr>
              <w:t xml:space="preserve"> </w:t>
            </w:r>
            <w:r>
              <w:t xml:space="preserve">There is some </w:t>
            </w:r>
            <w:r w:rsidR="00FC5CF7">
              <w:t xml:space="preserve">interest </w:t>
            </w:r>
            <w:r>
              <w:t>from domestic</w:t>
            </w:r>
            <w:r w:rsidR="00E24427">
              <w:t xml:space="preserve"> fixed and</w:t>
            </w:r>
            <w:r>
              <w:t xml:space="preserve"> mobile </w:t>
            </w:r>
            <w:r w:rsidR="00E24427">
              <w:t xml:space="preserve">wireless </w:t>
            </w:r>
            <w:r>
              <w:t xml:space="preserve">broadband interests in pursuing this band for mobile broadband in Australia. </w:t>
            </w:r>
          </w:p>
          <w:p w14:paraId="420FB314" w14:textId="77777777" w:rsidR="00115791" w:rsidRPr="00C74D6F" w:rsidRDefault="00115791" w:rsidP="00DE694D">
            <w:pPr>
              <w:pStyle w:val="BodySubHeader"/>
              <w:keepNext/>
              <w:keepLines/>
            </w:pPr>
            <w:r w:rsidRPr="00DE694D">
              <w:t>Next</w:t>
            </w:r>
            <w:r w:rsidRPr="00C74D6F">
              <w:t xml:space="preserve"> steps</w:t>
            </w:r>
          </w:p>
          <w:p w14:paraId="28879C88" w14:textId="19F2877E" w:rsidR="00115791" w:rsidRDefault="00115791" w:rsidP="00DE694D">
            <w:pPr>
              <w:keepNext/>
              <w:keepLines/>
            </w:pPr>
            <w:r w:rsidRPr="00B160DF">
              <w:t xml:space="preserve">The ACMA will continue to monitor international developments in this band. </w:t>
            </w:r>
          </w:p>
        </w:tc>
      </w:tr>
      <w:tr w:rsidR="00064A98" w14:paraId="307AA27C" w14:textId="77777777" w:rsidTr="00DE694D">
        <w:tc>
          <w:tcPr>
            <w:tcW w:w="7797" w:type="dxa"/>
            <w:tcBorders>
              <w:top w:val="nil"/>
              <w:bottom w:val="nil"/>
            </w:tcBorders>
          </w:tcPr>
          <w:p w14:paraId="06FCEF72" w14:textId="29D8F692" w:rsidR="00064A98" w:rsidRPr="00D7755E" w:rsidRDefault="00064A98" w:rsidP="00DE694D">
            <w:pPr>
              <w:pStyle w:val="Heading3"/>
              <w:rPr>
                <w:szCs w:val="20"/>
              </w:rPr>
            </w:pPr>
            <w:bookmarkStart w:id="222" w:name="_Toc5025677"/>
            <w:r w:rsidRPr="00FB5888">
              <w:lastRenderedPageBreak/>
              <w:t>4.8 GHz (4800–4990 MHz)</w:t>
            </w:r>
            <w:bookmarkEnd w:id="222"/>
          </w:p>
        </w:tc>
      </w:tr>
      <w:tr w:rsidR="00064A98" w14:paraId="494A1958" w14:textId="77777777" w:rsidTr="00DE694D">
        <w:tc>
          <w:tcPr>
            <w:tcW w:w="7797" w:type="dxa"/>
            <w:tcBorders>
              <w:top w:val="nil"/>
              <w:bottom w:val="nil"/>
            </w:tcBorders>
          </w:tcPr>
          <w:p w14:paraId="75DA1AA5" w14:textId="5419DBE9" w:rsidR="00064A98" w:rsidRDefault="00064A98" w:rsidP="00DE694D">
            <w:bookmarkStart w:id="223" w:name="_Hlk2163734"/>
            <w:r w:rsidRPr="00C74D6F">
              <w:t>At WRC-15, the 4800–4990 MHz band was identified for IMT by several countries, including Uruguay, Cambodia, Lao</w:t>
            </w:r>
            <w:r w:rsidR="004A4E78">
              <w:t>s</w:t>
            </w:r>
            <w:r w:rsidR="00FC5CF7">
              <w:t xml:space="preserve"> </w:t>
            </w:r>
            <w:r w:rsidRPr="00C74D6F">
              <w:t>and Vietnam. Notably, there was also strong interest from China and Japan in identifying the band for IMT. This suggests that a viable ecosystem could develop for mobile broadband systems in this band. The 4800–4990 MHz band is currently allocated on a primary basis for the fixed and mobile services in Australia.</w:t>
            </w:r>
            <w:r>
              <w:t xml:space="preserve"> </w:t>
            </w:r>
          </w:p>
          <w:p w14:paraId="4B3D1871" w14:textId="1042682D" w:rsidR="00064A98" w:rsidRDefault="00064A98" w:rsidP="00DE694D">
            <w:pPr>
              <w:rPr>
                <w:szCs w:val="20"/>
              </w:rPr>
            </w:pPr>
            <w:r>
              <w:rPr>
                <w:szCs w:val="20"/>
              </w:rPr>
              <w:t xml:space="preserve">The fixed and mobile services in this band are designated to be used principally for the purposes of defence and national security, as defined in footnote AUS101A of the </w:t>
            </w:r>
            <w:r w:rsidR="00841D41">
              <w:rPr>
                <w:szCs w:val="20"/>
              </w:rPr>
              <w:t>ARSP</w:t>
            </w:r>
            <w:r>
              <w:rPr>
                <w:szCs w:val="20"/>
              </w:rPr>
              <w:t xml:space="preserve">. Defence is normally consulted in considering non-defence use of these services. The 4950–4990 MHz band is also allocated to the radio astronomy service on a primary basis under footnote 443 of the </w:t>
            </w:r>
            <w:r w:rsidR="00841D41">
              <w:rPr>
                <w:szCs w:val="20"/>
              </w:rPr>
              <w:t>ARSP</w:t>
            </w:r>
            <w:r>
              <w:rPr>
                <w:szCs w:val="20"/>
              </w:rPr>
              <w:t>.</w:t>
            </w:r>
          </w:p>
          <w:p w14:paraId="15DF55B9" w14:textId="77777777" w:rsidR="00064A98" w:rsidRDefault="00064A98" w:rsidP="00DE694D">
            <w:r>
              <w:t xml:space="preserve">At WRC-03, the </w:t>
            </w:r>
            <w:r>
              <w:rPr>
                <w:szCs w:val="20"/>
              </w:rPr>
              <w:t>4940–4990 MHz</w:t>
            </w:r>
            <w:r>
              <w:t xml:space="preserve"> band was identified to support public safety services in regions 2 and 3 for use by government agencies responsible for the provision of defence, national security, law enforcement and emergency services.</w:t>
            </w:r>
            <w:r>
              <w:rPr>
                <w:rStyle w:val="FootnoteReference"/>
              </w:rPr>
              <w:footnoteReference w:id="21"/>
            </w:r>
            <w:r>
              <w:rPr>
                <w:rStyle w:val="FootnoteReference"/>
              </w:rPr>
              <w:t xml:space="preserve"> </w:t>
            </w:r>
          </w:p>
          <w:p w14:paraId="0F2A279D" w14:textId="08449AEF" w:rsidR="00064A98" w:rsidRDefault="00064A98" w:rsidP="00DE694D">
            <w:pPr>
              <w:rPr>
                <w:szCs w:val="20"/>
              </w:rPr>
            </w:pPr>
            <w:r>
              <w:t xml:space="preserve">There is some </w:t>
            </w:r>
            <w:r w:rsidR="00FC5CF7">
              <w:t xml:space="preserve">interest </w:t>
            </w:r>
            <w:r>
              <w:t>domestic</w:t>
            </w:r>
            <w:r w:rsidR="000A2E74">
              <w:t>ally from</w:t>
            </w:r>
            <w:r>
              <w:t xml:space="preserve"> </w:t>
            </w:r>
            <w:r w:rsidR="00981306">
              <w:t>large MNOs</w:t>
            </w:r>
            <w:r w:rsidR="00E24427">
              <w:t xml:space="preserve"> as well as WISPs</w:t>
            </w:r>
            <w:r w:rsidR="00981306">
              <w:t xml:space="preserve"> and</w:t>
            </w:r>
            <w:r w:rsidR="00E24427">
              <w:t xml:space="preserve"> other</w:t>
            </w:r>
            <w:r w:rsidR="00981306">
              <w:t xml:space="preserve"> </w:t>
            </w:r>
            <w:r w:rsidR="00AB5442">
              <w:t xml:space="preserve">FWA operators </w:t>
            </w:r>
            <w:r>
              <w:t xml:space="preserve">in pursuing this band for </w:t>
            </w:r>
            <w:r w:rsidR="00C12207">
              <w:t xml:space="preserve">wireless </w:t>
            </w:r>
            <w:r>
              <w:t>broadband in Australia.</w:t>
            </w:r>
            <w:r>
              <w:rPr>
                <w:szCs w:val="20"/>
              </w:rPr>
              <w:t xml:space="preserve"> However, the ACMA is not aware of any significant interest in this band by regional bodies such as CEPT, CITEL or APT. </w:t>
            </w:r>
          </w:p>
          <w:p w14:paraId="5F3E6D27" w14:textId="3F24D7FA" w:rsidR="00064A98" w:rsidRDefault="00064A98" w:rsidP="00DE694D">
            <w:r>
              <w:t xml:space="preserve">Several countries, including Australia, have implemented arrangements in the </w:t>
            </w:r>
            <w:r>
              <w:rPr>
                <w:szCs w:val="20"/>
              </w:rPr>
              <w:t>4940–4990 MHz</w:t>
            </w:r>
            <w:r>
              <w:t xml:space="preserve"> band for defence and national security purposes. This is principally to support high-speed localised coverage around an incident or event. The </w:t>
            </w:r>
            <w:hyperlink r:id="rId35" w:history="1">
              <w:r>
                <w:rPr>
                  <w:rStyle w:val="Hyperlink"/>
                  <w:rFonts w:eastAsiaTheme="majorEastAsia" w:cs="Arial"/>
                </w:rPr>
                <w:t>Radiocommunications (Public Safety and Emergency Response) Class Licence 2013</w:t>
              </w:r>
            </w:hyperlink>
            <w:r>
              <w:t xml:space="preserve"> outlines arrangements for the use of this band, which allows public safety agencies to enhance their ability to perform public safety activities and provide significant flexibility in deployment during emergency response and disaster recovery activities. The 4940–4990 MHz</w:t>
            </w:r>
            <w:r w:rsidR="000E1D41">
              <w:t xml:space="preserve"> band</w:t>
            </w:r>
            <w:r>
              <w:t xml:space="preserve"> is also included in IEEE standard 802.11y Public Safety WLAN. </w:t>
            </w:r>
          </w:p>
          <w:p w14:paraId="48489293" w14:textId="77777777" w:rsidR="00064A98" w:rsidRPr="00CA3DBE" w:rsidRDefault="00064A98" w:rsidP="00DE694D">
            <w:pPr>
              <w:pStyle w:val="BodySubHeader"/>
              <w:keepNext/>
              <w:keepLines/>
            </w:pPr>
            <w:r w:rsidRPr="00D7755E">
              <w:lastRenderedPageBreak/>
              <w:t>Recent developments</w:t>
            </w:r>
          </w:p>
          <w:p w14:paraId="232BE04E" w14:textId="71358AE3" w:rsidR="00064A98" w:rsidRDefault="00064A98" w:rsidP="00DE694D">
            <w:pPr>
              <w:keepNext/>
              <w:keepLines/>
              <w:rPr>
                <w:rFonts w:eastAsia="SimSun"/>
                <w:lang w:eastAsia="zh-CN"/>
              </w:rPr>
            </w:pPr>
            <w:r>
              <w:t xml:space="preserve">ITU-R Working Party 5D </w:t>
            </w:r>
            <w:r>
              <w:rPr>
                <w:lang w:eastAsia="zh-CN"/>
              </w:rPr>
              <w:t xml:space="preserve">are continuing the </w:t>
            </w:r>
            <w:r>
              <w:rPr>
                <w:rFonts w:eastAsia="SimSun"/>
                <w:lang w:eastAsia="zh-CN"/>
              </w:rPr>
              <w:t>revision of Recommendation ITU-</w:t>
            </w:r>
            <w:r>
              <w:t xml:space="preserve">R M.1036-5 on frequency arrangements for implementation of the terrestrial component of IMT in the bands identified for IMT in the </w:t>
            </w:r>
            <w:r w:rsidRPr="00C62009">
              <w:t>RRs. The</w:t>
            </w:r>
            <w:r>
              <w:t xml:space="preserve"> draft revision includes arrangements for the frequency band 4800–4990 </w:t>
            </w:r>
            <w:proofErr w:type="spellStart"/>
            <w:r>
              <w:t>MHz.</w:t>
            </w:r>
            <w:proofErr w:type="spellEnd"/>
            <w:r>
              <w:t xml:space="preserve"> Working Party 5D is also continuing studies called for in Resolution 223 (</w:t>
            </w:r>
            <w:r w:rsidRPr="00D7755E">
              <w:rPr>
                <w:b/>
              </w:rPr>
              <w:t>Rev. WRC-15</w:t>
            </w:r>
            <w:r>
              <w:t xml:space="preserve">) on the </w:t>
            </w:r>
            <w:r w:rsidRPr="00964F02">
              <w:rPr>
                <w:lang w:eastAsia="ja-JP"/>
              </w:rPr>
              <w:t>coexistence conditions between IMT and aeronautical mobile service</w:t>
            </w:r>
            <w:r w:rsidR="00793D8C">
              <w:rPr>
                <w:lang w:eastAsia="ja-JP"/>
              </w:rPr>
              <w:t>s</w:t>
            </w:r>
            <w:r w:rsidRPr="00964F02">
              <w:rPr>
                <w:lang w:eastAsia="ja-JP"/>
              </w:rPr>
              <w:t xml:space="preserve"> in the band</w:t>
            </w:r>
            <w:r>
              <w:t xml:space="preserve">, with work currently underway to develop sharing characteristics for IMT-2020 in this band as part of this work item. </w:t>
            </w:r>
          </w:p>
          <w:p w14:paraId="3516A285" w14:textId="77777777" w:rsidR="00064A98" w:rsidRPr="00D9739D" w:rsidRDefault="00064A98" w:rsidP="00DE694D">
            <w:pPr>
              <w:pStyle w:val="BodySubHeader"/>
            </w:pPr>
            <w:r w:rsidRPr="00D9739D">
              <w:t>Next steps</w:t>
            </w:r>
          </w:p>
          <w:p w14:paraId="086C9984" w14:textId="5B396387" w:rsidR="00064A98" w:rsidRPr="00064A98" w:rsidRDefault="00FC5CF7" w:rsidP="00DE694D">
            <w:r>
              <w:t>T</w:t>
            </w:r>
            <w:r w:rsidRPr="001D6837">
              <w:t xml:space="preserve">he ACMA will continue to monitor international developments in </w:t>
            </w:r>
            <w:r>
              <w:t>this</w:t>
            </w:r>
            <w:r w:rsidRPr="001D6837">
              <w:t xml:space="preserve"> band. </w:t>
            </w:r>
            <w:r>
              <w:t>T</w:t>
            </w:r>
            <w:r w:rsidRPr="00146A4A">
              <w:t>he ACMA is of the view that this band may be a candidate for consideration of dynamic spectrum-access type arrangements to promote sharing and increase the utility of the band.</w:t>
            </w:r>
            <w:r w:rsidR="00064A98" w:rsidRPr="00B160DF">
              <w:t xml:space="preserve"> </w:t>
            </w:r>
            <w:bookmarkEnd w:id="223"/>
          </w:p>
        </w:tc>
      </w:tr>
      <w:tr w:rsidR="00064A98" w14:paraId="298C9DF8" w14:textId="77777777" w:rsidTr="00DE694D">
        <w:tc>
          <w:tcPr>
            <w:tcW w:w="7797" w:type="dxa"/>
            <w:tcBorders>
              <w:top w:val="nil"/>
              <w:bottom w:val="nil"/>
            </w:tcBorders>
          </w:tcPr>
          <w:p w14:paraId="3811DEC2" w14:textId="76A86E13" w:rsidR="00115791" w:rsidRDefault="00064A98" w:rsidP="00DE694D">
            <w:pPr>
              <w:pStyle w:val="Heading3"/>
            </w:pPr>
            <w:bookmarkStart w:id="224" w:name="_Toc5025678"/>
            <w:r w:rsidRPr="00B160DF">
              <w:lastRenderedPageBreak/>
              <w:t>Bands being studied under WRC-19 agenda item 1.1</w:t>
            </w:r>
            <w:r w:rsidR="005E5905">
              <w:t>6</w:t>
            </w:r>
            <w:bookmarkEnd w:id="224"/>
          </w:p>
        </w:tc>
      </w:tr>
      <w:tr w:rsidR="00115791" w14:paraId="59FFC3A9" w14:textId="77777777" w:rsidTr="00DE694D">
        <w:tc>
          <w:tcPr>
            <w:tcW w:w="7797" w:type="dxa"/>
            <w:tcBorders>
              <w:top w:val="nil"/>
              <w:bottom w:val="nil"/>
            </w:tcBorders>
          </w:tcPr>
          <w:p w14:paraId="7417A7AD" w14:textId="72A0AAD8" w:rsidR="00064A98" w:rsidRDefault="00064A98" w:rsidP="00DE694D">
            <w:r w:rsidRPr="00C8721B">
              <w:t>WRC-19 agenda item 1.16 is to consider issues related to wireless access systems, including radio local area networks (WAS/RLAN), in the frequency bands 5150–5350 MHz (to enable outdoor usage), 5350–5470 MHz, 5725–5850 MHz and 5850–5925 MHz, while ensuring the protection of incumbent services including their current and planned use.</w:t>
            </w:r>
            <w:r>
              <w:t xml:space="preserve"> </w:t>
            </w:r>
          </w:p>
          <w:p w14:paraId="4A889EA5" w14:textId="4992ED24" w:rsidR="00064A98" w:rsidRDefault="00064A98" w:rsidP="00DE694D">
            <w:r>
              <w:t xml:space="preserve">There was initially strong interest from the </w:t>
            </w:r>
            <w:r w:rsidRPr="00CD459E">
              <w:t>US</w:t>
            </w:r>
            <w:r>
              <w:t xml:space="preserve"> and the </w:t>
            </w:r>
            <w:r w:rsidRPr="00C62009">
              <w:t>United Kingdom (UK) to</w:t>
            </w:r>
            <w:r>
              <w:t xml:space="preserve"> investigate use of the 5350–5470 MHz band for RLANs but this appears to have subsided. Europe has also indicated interest in investigating use of the 5725–5850 MHz band for RLANs. Arrangements already exist in Australia for RLANs in the 5150–5350 MHz band (low power indoor use only) and the 5725–5850 MHz band. The ACMA has also received requests to review existing Australian arrangements to align with US arrangements. The 5150–5350 MHz and 5725–5850 MHz bands are also included in the IEEE 802.11 series of standards for WLAN. There are no arrangements in place for RLANs in the 5350–5470 MHz and 5850–5925 MHz bands in Australia.</w:t>
            </w:r>
          </w:p>
          <w:p w14:paraId="763AF116" w14:textId="77646529" w:rsidR="00064A98" w:rsidRDefault="00064A98" w:rsidP="00DE694D">
            <w:r>
              <w:t xml:space="preserve">Numerous countries around the world have or are considering identifying the 5850–5925 MHz band for Intelligent Transport Systems (ITS). </w:t>
            </w:r>
          </w:p>
          <w:p w14:paraId="4E3FCE54" w14:textId="7DC80758" w:rsidR="00064A98" w:rsidRPr="00C74D6F" w:rsidRDefault="00064A98" w:rsidP="00DE694D">
            <w:pPr>
              <w:pStyle w:val="BodySubHeader"/>
            </w:pPr>
            <w:r w:rsidRPr="00C74D6F">
              <w:t xml:space="preserve">Recent </w:t>
            </w:r>
            <w:r w:rsidRPr="00DE694D">
              <w:t>developments</w:t>
            </w:r>
          </w:p>
          <w:p w14:paraId="00DB57BE" w14:textId="3781834C" w:rsidR="00064A98" w:rsidRDefault="00064A98" w:rsidP="00DE694D">
            <w:r>
              <w:t xml:space="preserve">ITU-R Working Party 5A is continuing work towards WRC-19 agenda item 1.16. Australia has submitted several contributions providing the regulatory background to the operation of WAS/RLANs and other input regarding the 5150–5250 MHz segment. </w:t>
            </w:r>
          </w:p>
          <w:p w14:paraId="79C1C4B9" w14:textId="34F371CF" w:rsidR="00064A98" w:rsidRPr="007058B2" w:rsidRDefault="00064A98" w:rsidP="00DE694D">
            <w:pPr>
              <w:rPr>
                <w:rFonts w:cs="Arial"/>
              </w:rPr>
            </w:pPr>
            <w:r>
              <w:t>Working documents towards preliminary draft new reports are being developed on:</w:t>
            </w:r>
            <w:r>
              <w:rPr>
                <w:rFonts w:cs="Arial"/>
              </w:rPr>
              <w:t xml:space="preserve"> </w:t>
            </w:r>
            <w:r w:rsidRPr="007058B2">
              <w:rPr>
                <w:rFonts w:cs="Arial"/>
              </w:rPr>
              <w:t>proposed additional mitigation techniques to facilitate sharing between RLAN systems and incumbent services</w:t>
            </w:r>
            <w:r>
              <w:rPr>
                <w:rFonts w:cs="Arial"/>
              </w:rPr>
              <w:t xml:space="preserve">; </w:t>
            </w:r>
            <w:r w:rsidRPr="007058B2">
              <w:rPr>
                <w:rFonts w:cs="Arial"/>
              </w:rPr>
              <w:t>technical characteristics and operational requirements of WAS/RLAN in the 5 GHz frequency range</w:t>
            </w:r>
            <w:r>
              <w:rPr>
                <w:rFonts w:cs="Arial"/>
              </w:rPr>
              <w:t xml:space="preserve">; </w:t>
            </w:r>
            <w:r w:rsidRPr="007058B2">
              <w:rPr>
                <w:rFonts w:cs="Arial"/>
              </w:rPr>
              <w:t>use of aggregate RLAN measurements from airborne and terrestrial platforms to support studies under WRC-19 agenda item 1.16</w:t>
            </w:r>
            <w:r>
              <w:rPr>
                <w:rFonts w:cs="Arial"/>
              </w:rPr>
              <w:t xml:space="preserve">; and </w:t>
            </w:r>
            <w:r w:rsidRPr="007058B2">
              <w:rPr>
                <w:rFonts w:cs="Arial"/>
              </w:rPr>
              <w:t>sharing and compatibility studies of WAS/RLAN in the 5 GHz frequency range.</w:t>
            </w:r>
          </w:p>
          <w:p w14:paraId="19A4EFF6" w14:textId="3F7D4EA9" w:rsidR="00064A98" w:rsidRDefault="00064A98" w:rsidP="00DE694D">
            <w:r>
              <w:rPr>
                <w:rFonts w:cs="Arial"/>
              </w:rPr>
              <w:t>In December 2018, the ACMA made</w:t>
            </w:r>
            <w:r w:rsidRPr="00D14B2A">
              <w:rPr>
                <w:rFonts w:cs="Arial"/>
              </w:rPr>
              <w:t xml:space="preserve"> the </w:t>
            </w:r>
            <w:hyperlink r:id="rId36" w:history="1">
              <w:r w:rsidRPr="002A2886">
                <w:rPr>
                  <w:rStyle w:val="Hyperlink"/>
                  <w:rFonts w:cs="Arial"/>
                </w:rPr>
                <w:t>Radiocommunications (Intelligent Transport Systems) Standard 2018</w:t>
              </w:r>
            </w:hyperlink>
            <w:r w:rsidRPr="00D14B2A">
              <w:rPr>
                <w:rFonts w:cs="Arial"/>
              </w:rPr>
              <w:t xml:space="preserve"> </w:t>
            </w:r>
            <w:r>
              <w:rPr>
                <w:rFonts w:cs="Arial"/>
              </w:rPr>
              <w:t>to</w:t>
            </w:r>
            <w:r w:rsidRPr="00D14B2A">
              <w:rPr>
                <w:rFonts w:cs="Arial"/>
              </w:rPr>
              <w:t xml:space="preserve"> support the use of complying wireless </w:t>
            </w:r>
            <w:r>
              <w:rPr>
                <w:rFonts w:cs="Arial"/>
              </w:rPr>
              <w:t xml:space="preserve">ITS </w:t>
            </w:r>
            <w:r w:rsidRPr="00D14B2A">
              <w:rPr>
                <w:rFonts w:cs="Arial"/>
              </w:rPr>
              <w:t>technologies and devices</w:t>
            </w:r>
            <w:r>
              <w:rPr>
                <w:rFonts w:cs="Arial"/>
              </w:rPr>
              <w:t xml:space="preserve"> in the frequency range 5855–5925 </w:t>
            </w:r>
            <w:proofErr w:type="spellStart"/>
            <w:r>
              <w:rPr>
                <w:rFonts w:cs="Arial"/>
              </w:rPr>
              <w:t>MHz.</w:t>
            </w:r>
            <w:proofErr w:type="spellEnd"/>
          </w:p>
          <w:p w14:paraId="67966E08" w14:textId="3107A18E" w:rsidR="00064A98" w:rsidRPr="00DE694D" w:rsidRDefault="00064A98" w:rsidP="00DE694D">
            <w:pPr>
              <w:pStyle w:val="BodySubHeader"/>
            </w:pPr>
            <w:r w:rsidRPr="00C74D6F">
              <w:t>Next steps</w:t>
            </w:r>
          </w:p>
          <w:p w14:paraId="244A85E7" w14:textId="1F147AF9" w:rsidR="00115791" w:rsidRPr="00064A98" w:rsidRDefault="00064A98" w:rsidP="00DE694D">
            <w:pPr>
              <w:rPr>
                <w:rFonts w:cs="Arial"/>
              </w:rPr>
            </w:pPr>
            <w:r>
              <w:t>The ACMA will continue to monitor and, where appropriate, engage with stakeholders via the usual international preparatory process to develop Australian positions on WRC-</w:t>
            </w:r>
            <w:r>
              <w:lastRenderedPageBreak/>
              <w:t>19 agenda item 1.16</w:t>
            </w:r>
            <w:r>
              <w:rPr>
                <w:rFonts w:cs="Arial"/>
              </w:rPr>
              <w:t xml:space="preserve">. When appropriate, it will develop individual positions on each of the bands being studied and potentially contribute to international sharing and compatibility studies </w:t>
            </w:r>
            <w:r>
              <w:t>on issues/bands of most interest to Australia</w:t>
            </w:r>
            <w:r>
              <w:rPr>
                <w:rFonts w:cs="Arial"/>
              </w:rPr>
              <w:t>. The ACMA also aims to have representatives attend ITU-R Working Party 5A meetings.</w:t>
            </w:r>
          </w:p>
        </w:tc>
      </w:tr>
      <w:tr w:rsidR="00115791" w14:paraId="1CA4699B" w14:textId="77777777" w:rsidTr="00DE694D">
        <w:tc>
          <w:tcPr>
            <w:tcW w:w="7797" w:type="dxa"/>
            <w:tcBorders>
              <w:top w:val="nil"/>
              <w:bottom w:val="nil"/>
            </w:tcBorders>
          </w:tcPr>
          <w:p w14:paraId="1EEA46A2" w14:textId="600CADF7" w:rsidR="00115791" w:rsidRPr="00064A98" w:rsidRDefault="00064A98" w:rsidP="00DE694D">
            <w:pPr>
              <w:pStyle w:val="Heading3"/>
            </w:pPr>
            <w:bookmarkStart w:id="225" w:name="_Toc5025679"/>
            <w:r w:rsidRPr="00D7755E">
              <w:lastRenderedPageBreak/>
              <w:t>Bands being studied under WRC-19 agenda item 1.13</w:t>
            </w:r>
            <w:bookmarkEnd w:id="225"/>
          </w:p>
        </w:tc>
      </w:tr>
      <w:tr w:rsidR="00115791" w14:paraId="7C3238AF" w14:textId="77777777" w:rsidTr="00DE694D">
        <w:tc>
          <w:tcPr>
            <w:tcW w:w="7797" w:type="dxa"/>
            <w:tcBorders>
              <w:top w:val="nil"/>
              <w:bottom w:val="nil"/>
            </w:tcBorders>
          </w:tcPr>
          <w:p w14:paraId="1FF8D72A" w14:textId="77777777" w:rsidR="00064A98" w:rsidRDefault="00064A98" w:rsidP="00DE694D">
            <w:r>
              <w:t xml:space="preserve">WRC-19 agenda item 1.13 is to consider identification of frequency bands for the future development of </w:t>
            </w:r>
            <w:r w:rsidRPr="00BB38F9">
              <w:t>IMT,</w:t>
            </w:r>
            <w:r>
              <w:t xml:space="preserve"> including possible additional allocations to the mobile service on a primary basis. This agenda item is widely acknowledged to be focusing on spectrum harmonisation requirements for 5G mobile broadband technologies. </w:t>
            </w:r>
          </w:p>
          <w:p w14:paraId="28633B27" w14:textId="77777777" w:rsidR="00064A98" w:rsidRDefault="00064A98" w:rsidP="00DE694D">
            <w:r>
              <w:t xml:space="preserve">The frequency bands to be considered under this agenda item are 24.25–27.5 GHz, 37–40.5 GHz, 42.5–43.5 GHz, 45.5–47 GHz, 47.2–50.2 GHz, 50.4–52.6 GHz, 66–76 GHz and 81–86 GHz, which have allocations to the mobile service on a primary basis; and 31.8–33.4 GHz, 40.5–42.5 GHz and 47–47.2 GHz, which may require additional allocations to the mobile service on a primary basis. </w:t>
            </w:r>
          </w:p>
          <w:p w14:paraId="01E1194B" w14:textId="43AC1D1E" w:rsidR="00064A98" w:rsidRDefault="00064A98" w:rsidP="00DE694D">
            <w:bookmarkStart w:id="226" w:name="_Hlk2353233"/>
            <w:r>
              <w:t xml:space="preserve">There is strong interest </w:t>
            </w:r>
            <w:r w:rsidR="004E2D53">
              <w:t xml:space="preserve">in these bands </w:t>
            </w:r>
            <w:r>
              <w:t xml:space="preserve">domestically and internationally, particularly in Region 3 countries such as South Korea, Japan and China. In its </w:t>
            </w:r>
            <w:r w:rsidR="00FB22D2" w:rsidRPr="00DE694D">
              <w:rPr>
                <w:rStyle w:val="Hyperlink"/>
                <w:rFonts w:eastAsiaTheme="majorEastAsia"/>
                <w:color w:val="auto"/>
                <w:u w:val="none"/>
              </w:rPr>
              <w:t>opinion on spectrum related aspects for next-generation wireless systems (5G)</w:t>
            </w:r>
            <w:r>
              <w:t xml:space="preserve">, released </w:t>
            </w:r>
            <w:r w:rsidR="00AB52F0">
              <w:t>9</w:t>
            </w:r>
            <w:r>
              <w:t> </w:t>
            </w:r>
            <w:r w:rsidR="00AB52F0">
              <w:t>November</w:t>
            </w:r>
            <w:r>
              <w:t xml:space="preserve"> 2016, the Radio Spectrum Policy Group</w:t>
            </w:r>
            <w:r>
              <w:rPr>
                <w:rStyle w:val="FootnoteReference"/>
              </w:rPr>
              <w:footnoteReference w:id="22"/>
            </w:r>
            <w:r>
              <w:t xml:space="preserve"> (RSPG) </w:t>
            </w:r>
            <w:bookmarkEnd w:id="226"/>
            <w:r>
              <w:t xml:space="preserve">stated that considerations of bands above </w:t>
            </w:r>
            <w:r w:rsidR="007C47C1">
              <w:t>6 </w:t>
            </w:r>
            <w:r>
              <w:t>GHz for 5G should be limited to the bands listed in WRC-19 agenda item 1.13 in order to strengthen the global harmonisation opportunities, in particular, the bands 24.5–27.</w:t>
            </w:r>
            <w:r w:rsidR="007C47C1">
              <w:t>5 </w:t>
            </w:r>
            <w:r>
              <w:t>GHz, 31.8–33.4 GHz and 40.5–43.5 GHz. There are wide and varied ranges of incumbency and coexistence issues associated with each of these bands, which will need to be considered if the bands were to be investigated domestically for mobile broadband in the future.</w:t>
            </w:r>
          </w:p>
          <w:p w14:paraId="339408B8" w14:textId="77777777" w:rsidR="00064A98" w:rsidRPr="00DE694D" w:rsidRDefault="00064A98" w:rsidP="00DE694D">
            <w:pPr>
              <w:pStyle w:val="BodySubHeader"/>
            </w:pPr>
            <w:r w:rsidRPr="00C74D6F">
              <w:t>Recent developments</w:t>
            </w:r>
          </w:p>
          <w:p w14:paraId="511F56B5" w14:textId="77777777" w:rsidR="00064A98" w:rsidRDefault="00064A98" w:rsidP="00DE694D">
            <w:pPr>
              <w:rPr>
                <w:bCs/>
                <w:lang w:eastAsia="ja-JP"/>
              </w:rPr>
            </w:pPr>
            <w:r>
              <w:t>ITU-R Task Group 5/1 (TG 5/1) held its final meeting in August 2018 and concluded its work to address WRC-19 agenda item 1.13 under its</w:t>
            </w:r>
            <w:r>
              <w:rPr>
                <w:bCs/>
                <w:lang w:eastAsia="ja-JP"/>
              </w:rPr>
              <w:t xml:space="preserve"> Terms of Reference (</w:t>
            </w:r>
            <w:hyperlink r:id="rId37" w:history="1">
              <w:r>
                <w:rPr>
                  <w:rStyle w:val="Hyperlink"/>
                  <w:rFonts w:eastAsiaTheme="majorEastAsia"/>
                  <w:lang w:eastAsia="ja-JP"/>
                </w:rPr>
                <w:t>CA/226</w:t>
              </w:r>
              <w:r>
                <w:rPr>
                  <w:rStyle w:val="Hyperlink"/>
                  <w:rFonts w:eastAsiaTheme="majorEastAsia"/>
                </w:rPr>
                <w:t xml:space="preserve"> (Annex 9)</w:t>
              </w:r>
            </w:hyperlink>
            <w:r>
              <w:rPr>
                <w:bCs/>
                <w:lang w:eastAsia="ja-JP"/>
              </w:rPr>
              <w:t xml:space="preserve">). Australia has contributed to the meetings of TG 5/1 on the issue of IMT coexistence with FSS uplinks in the 24.25–27.5 GHz band (see documents </w:t>
            </w:r>
            <w:hyperlink r:id="rId38" w:history="1">
              <w:r>
                <w:rPr>
                  <w:rStyle w:val="Hyperlink"/>
                  <w:rFonts w:eastAsiaTheme="majorEastAsia"/>
                  <w:bCs/>
                  <w:lang w:eastAsia="ja-JP"/>
                </w:rPr>
                <w:t>5-1/76</w:t>
              </w:r>
            </w:hyperlink>
            <w:r>
              <w:rPr>
                <w:rStyle w:val="Hyperlink"/>
                <w:rFonts w:eastAsiaTheme="majorEastAsia"/>
                <w:bCs/>
                <w:lang w:eastAsia="ja-JP"/>
              </w:rPr>
              <w:t>,</w:t>
            </w:r>
            <w:r>
              <w:rPr>
                <w:bCs/>
                <w:lang w:eastAsia="ja-JP"/>
              </w:rPr>
              <w:t xml:space="preserve"> </w:t>
            </w:r>
            <w:hyperlink r:id="rId39" w:history="1">
              <w:r>
                <w:rPr>
                  <w:rStyle w:val="Hyperlink"/>
                  <w:rFonts w:eastAsiaTheme="majorEastAsia"/>
                  <w:bCs/>
                  <w:lang w:eastAsia="ja-JP"/>
                </w:rPr>
                <w:t>5-1/117</w:t>
              </w:r>
            </w:hyperlink>
            <w:r>
              <w:rPr>
                <w:rStyle w:val="Hyperlink"/>
                <w:rFonts w:eastAsiaTheme="majorEastAsia"/>
                <w:bCs/>
                <w:lang w:eastAsia="ja-JP"/>
              </w:rPr>
              <w:t>,</w:t>
            </w:r>
            <w:r>
              <w:t xml:space="preserve"> </w:t>
            </w:r>
            <w:hyperlink r:id="rId40" w:history="1">
              <w:r w:rsidRPr="00E10A3B">
                <w:rPr>
                  <w:rStyle w:val="Hyperlink"/>
                </w:rPr>
                <w:t>5-1/193</w:t>
              </w:r>
            </w:hyperlink>
            <w:r>
              <w:t xml:space="preserve"> and </w:t>
            </w:r>
            <w:hyperlink r:id="rId41" w:history="1">
              <w:r w:rsidRPr="00E10A3B">
                <w:rPr>
                  <w:rStyle w:val="Hyperlink"/>
                </w:rPr>
                <w:t>5-1/290</w:t>
              </w:r>
            </w:hyperlink>
            <w:r>
              <w:t>)</w:t>
            </w:r>
            <w:r>
              <w:rPr>
                <w:bCs/>
                <w:lang w:eastAsia="ja-JP"/>
              </w:rPr>
              <w:t xml:space="preserve">. </w:t>
            </w:r>
          </w:p>
          <w:p w14:paraId="3A4E42C2" w14:textId="77777777" w:rsidR="00064A98" w:rsidRDefault="00064A98" w:rsidP="00DE694D">
            <w:r>
              <w:t xml:space="preserve">However, several other organisations internationally are considering frequency bands outside those listed for consideration in WRC-19 agenda item 1.13 for the next generation of IMT. </w:t>
            </w:r>
          </w:p>
          <w:p w14:paraId="6763E09E" w14:textId="7C5344DC" w:rsidR="00064A98" w:rsidRDefault="00064A98" w:rsidP="00DE694D">
            <w:r>
              <w:t>At APG19-4, a common view developed, expressing interest in the 24.5–27.5 GHz and 37</w:t>
            </w:r>
            <w:r w:rsidR="004E64E0">
              <w:t>–</w:t>
            </w:r>
            <w:r>
              <w:t xml:space="preserve">43.5 GHz bands. </w:t>
            </w:r>
          </w:p>
          <w:p w14:paraId="7DAD0CEC" w14:textId="77777777" w:rsidR="00064A98" w:rsidRPr="00C74D6F" w:rsidRDefault="00064A98" w:rsidP="00DE694D">
            <w:pPr>
              <w:pStyle w:val="BodySubHeader"/>
              <w:keepNext/>
              <w:keepLines/>
            </w:pPr>
            <w:r w:rsidRPr="00DE694D">
              <w:lastRenderedPageBreak/>
              <w:t>Next</w:t>
            </w:r>
            <w:r w:rsidRPr="00C74D6F">
              <w:t xml:space="preserve"> steps</w:t>
            </w:r>
          </w:p>
          <w:p w14:paraId="72D5BFC7" w14:textId="77777777" w:rsidR="00064A98" w:rsidRDefault="00064A98" w:rsidP="00DE694D">
            <w:pPr>
              <w:keepNext/>
              <w:keepLines/>
            </w:pPr>
            <w:r>
              <w:t>The ACMA will continue to engage with stakeholders via the usual international preparatory process to develop Australian positions on WRC</w:t>
            </w:r>
            <w:r>
              <w:noBreakHyphen/>
              <w:t>19 agenda item 1.13</w:t>
            </w:r>
            <w:r>
              <w:rPr>
                <w:rFonts w:cs="Arial"/>
              </w:rPr>
              <w:t xml:space="preserve">. When appropriate, it will develop individual positions on each of the bands being studied and potentially contribute to international sharing and compatibility studies </w:t>
            </w:r>
            <w:r>
              <w:t>on issues/bands of most interest to Australia</w:t>
            </w:r>
            <w:r>
              <w:rPr>
                <w:rFonts w:cs="Arial"/>
              </w:rPr>
              <w:t xml:space="preserve">. Representatives have attended all ITU-R Task Group 5/1 meetings so far and it is intended that representation continue at future ITU-R meetings. </w:t>
            </w:r>
            <w:r>
              <w:t xml:space="preserve">Developments in Europe and other regions/countries (such as the US) will be monitored for possible early implementation bands for 5G. Early implementation in Australia will depend on factors such as the location, type and number of incumbent services in the band, whether adequate interference management (or sharing) frameworks can be developed, and whether the development of economies of scale are likely. </w:t>
            </w:r>
          </w:p>
          <w:p w14:paraId="0D2B33DA" w14:textId="3CE5E808" w:rsidR="00064A98" w:rsidRDefault="00064A98" w:rsidP="00DE694D">
            <w:bookmarkStart w:id="227" w:name="_Hlk4756054"/>
            <w:r>
              <w:t xml:space="preserve">The 24.25–27.5 GHz band has been advanced to the </w:t>
            </w:r>
            <w:r>
              <w:rPr>
                <w:i/>
              </w:rPr>
              <w:t>replanning</w:t>
            </w:r>
            <w:r>
              <w:t xml:space="preserve"> stage of the process for consideration of additional spectrum for mobile broadband services.</w:t>
            </w:r>
            <w:bookmarkEnd w:id="227"/>
            <w:r>
              <w:t xml:space="preserve"> </w:t>
            </w:r>
          </w:p>
          <w:p w14:paraId="014982F9" w14:textId="07FDAD32" w:rsidR="00115791" w:rsidRDefault="00064A98" w:rsidP="009009FD">
            <w:pPr>
              <w:spacing w:after="120"/>
            </w:pPr>
            <w:r>
              <w:t xml:space="preserve">For 66–76 GHz, see related work on 64–71 GHz outlined on the </w:t>
            </w:r>
            <w:r w:rsidRPr="0045598D">
              <w:t xml:space="preserve">low interference potential devices </w:t>
            </w:r>
            <w:r>
              <w:t xml:space="preserve">class licence </w:t>
            </w:r>
            <w:r w:rsidRPr="0045598D">
              <w:t xml:space="preserve">in the </w:t>
            </w:r>
            <w:r w:rsidR="00935F0E" w:rsidRPr="00DE694D">
              <w:t>Optimising established planning frameworks</w:t>
            </w:r>
            <w:r w:rsidRPr="0045598D">
              <w:t xml:space="preserve"> section</w:t>
            </w:r>
            <w:r>
              <w:t>.</w:t>
            </w:r>
          </w:p>
        </w:tc>
      </w:tr>
    </w:tbl>
    <w:p w14:paraId="4433767D" w14:textId="77777777" w:rsidR="009009FD" w:rsidRDefault="009009FD"/>
    <w:tbl>
      <w:tblPr>
        <w:tblW w:w="7797" w:type="dxa"/>
        <w:tblLayout w:type="fixed"/>
        <w:tblCellMar>
          <w:left w:w="0" w:type="dxa"/>
          <w:right w:w="0" w:type="dxa"/>
        </w:tblCellMar>
        <w:tblLook w:val="04A0" w:firstRow="1" w:lastRow="0" w:firstColumn="1" w:lastColumn="0" w:noHBand="0" w:noVBand="1"/>
        <w:tblCaption w:val="Monitoring"/>
      </w:tblPr>
      <w:tblGrid>
        <w:gridCol w:w="7797"/>
      </w:tblGrid>
      <w:tr w:rsidR="00172695" w:rsidRPr="00172695" w14:paraId="7041E264" w14:textId="77777777" w:rsidTr="00DE694D">
        <w:trPr>
          <w:tblHeader/>
        </w:trPr>
        <w:tc>
          <w:tcPr>
            <w:tcW w:w="7797" w:type="dxa"/>
            <w:shd w:val="clear" w:color="auto" w:fill="D9D9D9" w:themeFill="background1" w:themeFillShade="D9"/>
            <w:tcMar>
              <w:top w:w="57" w:type="dxa"/>
              <w:bottom w:w="57" w:type="dxa"/>
            </w:tcMar>
            <w:vAlign w:val="center"/>
          </w:tcPr>
          <w:p w14:paraId="5C136CCD" w14:textId="24544209" w:rsidR="00D9739D" w:rsidRPr="008713AA" w:rsidRDefault="00D9739D" w:rsidP="00DE694D">
            <w:pPr>
              <w:pStyle w:val="Tableheading2"/>
            </w:pPr>
            <w:bookmarkStart w:id="228" w:name="_Toc5025680"/>
            <w:r w:rsidRPr="00D7755E">
              <w:t>Initial Investigation</w:t>
            </w:r>
            <w:bookmarkEnd w:id="228"/>
          </w:p>
        </w:tc>
      </w:tr>
      <w:tr w:rsidR="007C47C1" w:rsidRPr="00172695" w14:paraId="5F8C53A2" w14:textId="77777777" w:rsidTr="00DE694D">
        <w:trPr>
          <w:tblHeader/>
        </w:trPr>
        <w:tc>
          <w:tcPr>
            <w:tcW w:w="7797" w:type="dxa"/>
            <w:shd w:val="clear" w:color="auto" w:fill="FFFFFF" w:themeFill="background1"/>
          </w:tcPr>
          <w:p w14:paraId="6B13540C" w14:textId="77777777" w:rsidR="007C47C1" w:rsidRPr="00D7755E" w:rsidRDefault="007C47C1" w:rsidP="007C47C1">
            <w:pPr>
              <w:pStyle w:val="Tableheading2"/>
              <w:keepNext w:val="0"/>
            </w:pPr>
          </w:p>
        </w:tc>
      </w:tr>
      <w:tr w:rsidR="00FE0089" w14:paraId="63C070A2" w14:textId="77777777" w:rsidTr="00DE694D">
        <w:tc>
          <w:tcPr>
            <w:tcW w:w="7797" w:type="dxa"/>
          </w:tcPr>
          <w:p w14:paraId="733CE62C" w14:textId="77777777" w:rsidR="00FE0089" w:rsidRDefault="00FE0089" w:rsidP="00DE694D">
            <w:r>
              <w:t xml:space="preserve">This stage normally includes initial consideration of whether the new spectrum use contributes to maximising the overall public benefit derived from use of the spectrum, along with </w:t>
            </w:r>
            <w:r w:rsidRPr="00D169BA">
              <w:t>preliminary assessment</w:t>
            </w:r>
            <w:r>
              <w:t xml:space="preserve">s on coexistence and other technical considerations. </w:t>
            </w:r>
          </w:p>
          <w:p w14:paraId="49447EC7" w14:textId="69AA482D" w:rsidR="00FE0089" w:rsidRPr="00B160DF" w:rsidRDefault="00FE0089" w:rsidP="00DE694D">
            <w:pPr>
              <w:rPr>
                <w:b/>
              </w:rPr>
            </w:pPr>
            <w:r>
              <w:t>Formal public consultation may occur through mechanisms such as public industry meetings (such as spectrum tune-ups) and/or discussion papers where general feedback on issues is sought</w:t>
            </w:r>
            <w:r w:rsidRPr="00D169BA" w:rsidDel="00F97D59">
              <w:t>.</w:t>
            </w:r>
            <w:r>
              <w:t xml:space="preserve"> </w:t>
            </w:r>
          </w:p>
        </w:tc>
      </w:tr>
      <w:tr w:rsidR="00D9739D" w14:paraId="7E377488" w14:textId="77777777" w:rsidTr="00DE694D">
        <w:tc>
          <w:tcPr>
            <w:tcW w:w="7797" w:type="dxa"/>
          </w:tcPr>
          <w:p w14:paraId="2A970214" w14:textId="4C2C44D4" w:rsidR="00D9739D" w:rsidRPr="00E02187" w:rsidRDefault="00D9739D" w:rsidP="00DE694D">
            <w:pPr>
              <w:pStyle w:val="Heading3"/>
              <w:spacing w:after="0"/>
            </w:pPr>
            <w:bookmarkStart w:id="229" w:name="_Toc5025681"/>
            <w:r w:rsidRPr="00E26672">
              <w:t xml:space="preserve">‘Extended MSS L-band’ </w:t>
            </w:r>
            <w:r w:rsidRPr="00E26672" w:rsidDel="00DA6C55">
              <w:t>(1518</w:t>
            </w:r>
            <w:r w:rsidRPr="003045D4">
              <w:t>–</w:t>
            </w:r>
            <w:r w:rsidRPr="00775B4A" w:rsidDel="00DA6C55">
              <w:t>1525</w:t>
            </w:r>
            <w:r w:rsidR="004B3B8D">
              <w:t xml:space="preserve"> MHz</w:t>
            </w:r>
            <w:r w:rsidRPr="00775B4A" w:rsidDel="00DA6C55">
              <w:t xml:space="preserve"> and 1668</w:t>
            </w:r>
            <w:r w:rsidRPr="00916C98">
              <w:t>–</w:t>
            </w:r>
            <w:r w:rsidRPr="00916C98" w:rsidDel="00DA6C55">
              <w:t>1675 MHz)</w:t>
            </w:r>
            <w:bookmarkEnd w:id="229"/>
          </w:p>
        </w:tc>
      </w:tr>
      <w:tr w:rsidR="00D9739D" w14:paraId="7EFE38D4" w14:textId="77777777" w:rsidTr="00DE694D">
        <w:tc>
          <w:tcPr>
            <w:tcW w:w="7797" w:type="dxa"/>
          </w:tcPr>
          <w:p w14:paraId="1205B584" w14:textId="77777777" w:rsidR="00D9739D" w:rsidRDefault="00D9739D" w:rsidP="00DE694D">
            <w:r w:rsidRPr="00C62009">
              <w:t xml:space="preserve">WRC-03 and WRC-07 allocated additional spectrum to the mobile satellite service (MSS) to complement existing ‘L-band’ allocations used by numerous satellite operators. </w:t>
            </w:r>
          </w:p>
          <w:p w14:paraId="00115037" w14:textId="77777777" w:rsidR="00D9739D" w:rsidRPr="00C62009" w:rsidRDefault="00D9739D" w:rsidP="00DE694D">
            <w:r w:rsidRPr="00C62009">
              <w:t>The upper and lower frequency ranges also have mobile and fixed allocations, while the upper band also has various meteorological, radioastronomy and space research service allocations. In Australia, channel planning arrangements are in place to support use of the band by fixed service Digital Radio Concentrator Systems.</w:t>
            </w:r>
          </w:p>
          <w:p w14:paraId="333EF77E" w14:textId="77777777" w:rsidR="00D9739D" w:rsidRPr="00C62009" w:rsidRDefault="00D9739D" w:rsidP="00DE694D">
            <w:r w:rsidRPr="00C62009">
              <w:t xml:space="preserve">Inmarsat has identified an interest in utilising the extended L-band for MSS purposes from around 2020. </w:t>
            </w:r>
          </w:p>
          <w:p w14:paraId="11A96861" w14:textId="77777777" w:rsidR="00D9739D" w:rsidRPr="006440E5" w:rsidRDefault="00D9739D" w:rsidP="00DE694D">
            <w:pPr>
              <w:pStyle w:val="BodySubHeader"/>
              <w:keepNext/>
              <w:keepLines/>
            </w:pPr>
            <w:r w:rsidRPr="006440E5">
              <w:t xml:space="preserve">Next </w:t>
            </w:r>
            <w:r w:rsidRPr="00DE694D">
              <w:t>steps</w:t>
            </w:r>
          </w:p>
          <w:p w14:paraId="2B161CEB" w14:textId="77777777" w:rsidR="00D9739D" w:rsidRDefault="00D9739D" w:rsidP="00DE694D">
            <w:pPr>
              <w:keepNext/>
              <w:keepLines/>
            </w:pPr>
            <w:r w:rsidRPr="00C62009">
              <w:t xml:space="preserve">The ACMA recognises the need to review planning arrangements in these bands to identify the spectrum use or uses that would maximise the overall public benefit and, if appropriate, vary spectrum management arrangements to support this use. </w:t>
            </w:r>
          </w:p>
          <w:p w14:paraId="307E793F" w14:textId="01693741" w:rsidR="00D9739D" w:rsidRDefault="00D9739D" w:rsidP="00DE694D">
            <w:pPr>
              <w:rPr>
                <w:rFonts w:cs="Arial"/>
                <w:b/>
                <w:szCs w:val="20"/>
              </w:rPr>
            </w:pPr>
            <w:r w:rsidRPr="00C62009">
              <w:t xml:space="preserve">As the coexistence with potential broadband use below 1518 MHz is likely to be a substantial consideration, the simultaneous review of the extended MSS L-band and the </w:t>
            </w:r>
            <w:r w:rsidRPr="00C62009">
              <w:lastRenderedPageBreak/>
              <w:t xml:space="preserve">1.5 GHz bands is likely to be appropriate. </w:t>
            </w:r>
            <w:r w:rsidR="00BF546C">
              <w:t>F</w:t>
            </w:r>
            <w:r w:rsidRPr="00C62009">
              <w:t xml:space="preserve">urther consideration of 1.5 GHz </w:t>
            </w:r>
            <w:r w:rsidR="00BF546C">
              <w:t>band will be conducted through an options paper in Q3/4 2019</w:t>
            </w:r>
            <w:r w:rsidR="00243870">
              <w:t>–</w:t>
            </w:r>
            <w:r w:rsidR="00BF546C">
              <w:t>20</w:t>
            </w:r>
            <w:r w:rsidRPr="00C62009">
              <w:t>.</w:t>
            </w:r>
          </w:p>
        </w:tc>
      </w:tr>
      <w:tr w:rsidR="00D9739D" w14:paraId="4CF8DA1F" w14:textId="77777777" w:rsidTr="00DE694D">
        <w:tc>
          <w:tcPr>
            <w:tcW w:w="7797" w:type="dxa"/>
          </w:tcPr>
          <w:p w14:paraId="79D72023" w14:textId="7043DC3B" w:rsidR="00D9739D" w:rsidRDefault="00D9739D" w:rsidP="00DE694D">
            <w:pPr>
              <w:pStyle w:val="Heading3"/>
              <w:rPr>
                <w:szCs w:val="20"/>
              </w:rPr>
            </w:pPr>
            <w:bookmarkStart w:id="230" w:name="_Toc5025682"/>
            <w:r w:rsidRPr="00B160DF">
              <w:lastRenderedPageBreak/>
              <w:t>2 GHz (1980–2010 MHz and 2170–2200 MHz)</w:t>
            </w:r>
            <w:bookmarkEnd w:id="230"/>
          </w:p>
        </w:tc>
      </w:tr>
      <w:tr w:rsidR="00D9739D" w14:paraId="588C7941" w14:textId="77777777" w:rsidTr="00DE694D">
        <w:tc>
          <w:tcPr>
            <w:tcW w:w="7797" w:type="dxa"/>
          </w:tcPr>
          <w:p w14:paraId="715E88CF" w14:textId="77777777" w:rsidR="00D9739D" w:rsidRDefault="00D9739D" w:rsidP="00DE694D">
            <w:r>
              <w:t>As an outcome of the review of the 2.5 GHz band</w:t>
            </w:r>
            <w:r>
              <w:rPr>
                <w:vertAlign w:val="superscript"/>
              </w:rPr>
              <w:footnoteReference w:id="23"/>
            </w:r>
            <w:r>
              <w:t xml:space="preserve">, the ACMA developed arrangements to support the introduction </w:t>
            </w:r>
            <w:r w:rsidRPr="004F48A6">
              <w:t>of television outside broadcast (TOB) in</w:t>
            </w:r>
            <w:r>
              <w:t xml:space="preserve"> the frequency ranges 1980–2010 MHz and 2170–2200 MHz on an interim basis. In March 2012, the </w:t>
            </w:r>
            <w:hyperlink r:id="rId42" w:history="1">
              <w:r>
                <w:rPr>
                  <w:rStyle w:val="Hyperlink"/>
                  <w:rFonts w:eastAsiaTheme="majorEastAsia" w:cs="Arial"/>
                  <w:szCs w:val="26"/>
                </w:rPr>
                <w:t>Television Outside Broadcast (1980–2110 MHz and 2170–2300 MHz) Frequency Band Plan 2012</w:t>
              </w:r>
            </w:hyperlink>
            <w:r>
              <w:t xml:space="preserve"> (TOB Band Plan) was made. The frequency ranges remain subject to Embargo 23</w:t>
            </w:r>
            <w:r>
              <w:rPr>
                <w:vertAlign w:val="superscript"/>
              </w:rPr>
              <w:footnoteReference w:id="24"/>
            </w:r>
            <w:r>
              <w:rPr>
                <w:vertAlign w:val="superscript"/>
              </w:rPr>
              <w:t xml:space="preserve"> </w:t>
            </w:r>
            <w:r>
              <w:t>to support TOB and future replanning activities.</w:t>
            </w:r>
          </w:p>
          <w:p w14:paraId="52B35A38" w14:textId="77777777" w:rsidR="00D9739D" w:rsidRDefault="00D9739D" w:rsidP="00DE694D">
            <w:pPr>
              <w:rPr>
                <w:rFonts w:cs="Arial"/>
                <w:szCs w:val="26"/>
              </w:rPr>
            </w:pPr>
            <w:r>
              <w:rPr>
                <w:rFonts w:cs="Arial"/>
                <w:szCs w:val="26"/>
              </w:rPr>
              <w:t xml:space="preserve">While the TOB Band Plan potentially facilitates MSS in the </w:t>
            </w:r>
            <w:r>
              <w:t xml:space="preserve">1980–2010 MHz and 2170–2200 MHz bands </w:t>
            </w:r>
            <w:r>
              <w:rPr>
                <w:rFonts w:cs="Arial"/>
                <w:szCs w:val="26"/>
              </w:rPr>
              <w:t xml:space="preserve">in Australia, there is a current embargo on services </w:t>
            </w:r>
            <w:r w:rsidDel="003A216A">
              <w:rPr>
                <w:rFonts w:cs="Arial"/>
                <w:szCs w:val="26"/>
              </w:rPr>
              <w:t xml:space="preserve">other than </w:t>
            </w:r>
            <w:r>
              <w:rPr>
                <w:rFonts w:cs="Arial"/>
                <w:szCs w:val="26"/>
              </w:rPr>
              <w:t xml:space="preserve">TOB operating in these bands. </w:t>
            </w:r>
          </w:p>
          <w:p w14:paraId="4598FB46" w14:textId="79F5BCBD" w:rsidR="00D9739D" w:rsidRDefault="00D9739D" w:rsidP="00DE694D">
            <w:r>
              <w:t xml:space="preserve">Inmarsat and </w:t>
            </w:r>
            <w:proofErr w:type="spellStart"/>
            <w:r>
              <w:t>Omnispace</w:t>
            </w:r>
            <w:proofErr w:type="spellEnd"/>
            <w:r>
              <w:t xml:space="preserve"> have indicated that they have (or plan to deploy) new 2</w:t>
            </w:r>
            <w:r w:rsidR="005C14E8">
              <w:t> </w:t>
            </w:r>
            <w:r>
              <w:t xml:space="preserve">GHz band MSS services soon. Specifically, </w:t>
            </w:r>
            <w:proofErr w:type="spellStart"/>
            <w:r>
              <w:t>Omnispace</w:t>
            </w:r>
            <w:proofErr w:type="spellEnd"/>
            <w:r>
              <w:t xml:space="preserve"> has expressed an interest in providing services in Australia. Satellite industry representatives have also suggested that services like those to be provided by Inmarsat’s proposed satellite (</w:t>
            </w:r>
            <w:proofErr w:type="spellStart"/>
            <w:r>
              <w:t>Europasat</w:t>
            </w:r>
            <w:proofErr w:type="spellEnd"/>
            <w:r>
              <w:t xml:space="preserve">) can be expected to be deployed in Australia as part of an international footprint in the future. </w:t>
            </w:r>
          </w:p>
          <w:p w14:paraId="18EC799C" w14:textId="5EA34390" w:rsidR="00D9739D" w:rsidRDefault="00D9739D" w:rsidP="00DE694D">
            <w:pPr>
              <w:rPr>
                <w:rFonts w:cs="Arial"/>
                <w:szCs w:val="26"/>
              </w:rPr>
            </w:pPr>
            <w:r>
              <w:rPr>
                <w:rFonts w:cs="Arial"/>
              </w:rPr>
              <w:t xml:space="preserve">The </w:t>
            </w:r>
            <w:r>
              <w:rPr>
                <w:rFonts w:cs="Arial"/>
                <w:szCs w:val="26"/>
              </w:rPr>
              <w:t>frequency bands 1980–2010 MHz and 2170–2200 MHz</w:t>
            </w:r>
            <w:r>
              <w:rPr>
                <w:rFonts w:cs="Arial"/>
              </w:rPr>
              <w:t xml:space="preserve"> are already allocated to the mobile service and </w:t>
            </w:r>
            <w:r>
              <w:rPr>
                <w:rFonts w:cs="Arial"/>
                <w:szCs w:val="26"/>
              </w:rPr>
              <w:t xml:space="preserve">subject to a global IMT identification via footnote 388 of the </w:t>
            </w:r>
            <w:r w:rsidR="00841D41">
              <w:rPr>
                <w:rFonts w:cs="Arial"/>
                <w:szCs w:val="26"/>
              </w:rPr>
              <w:t>ARSP</w:t>
            </w:r>
            <w:r>
              <w:rPr>
                <w:rFonts w:cs="Arial"/>
                <w:szCs w:val="26"/>
              </w:rPr>
              <w:t xml:space="preserve">. In Resolution </w:t>
            </w:r>
            <w:r>
              <w:rPr>
                <w:rFonts w:cs="Arial"/>
                <w:b/>
                <w:szCs w:val="26"/>
              </w:rPr>
              <w:t>212 (Rev. WRC-15),</w:t>
            </w:r>
            <w:r>
              <w:rPr>
                <w:rFonts w:cs="Arial"/>
                <w:szCs w:val="26"/>
              </w:rPr>
              <w:t xml:space="preserve"> it is noted that these frequency bands are available for use for both the terrestrial component of IMT and the satellite component of IMT.</w:t>
            </w:r>
          </w:p>
          <w:p w14:paraId="43020C98" w14:textId="09987E63" w:rsidR="00D9739D" w:rsidRDefault="00D9739D" w:rsidP="00DE694D">
            <w:r>
              <w:t>The ITU has defined IMT channel arrangements for the frequency bands 1980–2010 MHz and 2170–2200 MHz</w:t>
            </w:r>
            <w:r w:rsidR="005C14E8">
              <w:t xml:space="preserve"> (see </w:t>
            </w:r>
            <w:r>
              <w:t>ITU-R Recommendation M.1036</w:t>
            </w:r>
            <w:r>
              <w:rPr>
                <w:rStyle w:val="FootnoteReference"/>
              </w:rPr>
              <w:footnoteReference w:id="25"/>
            </w:r>
            <w:r w:rsidR="005C14E8">
              <w:t>).</w:t>
            </w:r>
            <w:r>
              <w:t xml:space="preserve"> In order to include the new arrangements in ITU-R Recommendation M.1036, it was agreed in Resolution </w:t>
            </w:r>
            <w:r>
              <w:rPr>
                <w:b/>
              </w:rPr>
              <w:t>212 (Rev. WRC-15)</w:t>
            </w:r>
            <w:r>
              <w:t xml:space="preserve"> to invite study on the possible technical and operational measures to ensure coexistence and compatibility between the terrestrial component of IMT (in the mobile service) and the satellite component of IMT (in the mobile-satellite service) in the frequency bands 1980–2010 MHz and 2170–2200 </w:t>
            </w:r>
            <w:proofErr w:type="spellStart"/>
            <w:r>
              <w:t>MHz.</w:t>
            </w:r>
            <w:proofErr w:type="spellEnd"/>
            <w:r>
              <w:t xml:space="preserve"> These bands are directly adjacent to the existing 2.1 GHz band used for terrestrial mobile voice and broadband services. This work is being conducted as part of WRC-19 agenda item 9.1.1.</w:t>
            </w:r>
          </w:p>
          <w:p w14:paraId="40AA0287" w14:textId="5B035678" w:rsidR="00D9739D" w:rsidRDefault="00D9739D" w:rsidP="00DE694D">
            <w:pPr>
              <w:keepNext/>
              <w:keepLines/>
            </w:pPr>
            <w:r>
              <w:t xml:space="preserve">Though the work of the ITU on this issue is </w:t>
            </w:r>
            <w:r w:rsidRPr="00214E77">
              <w:t>focusing</w:t>
            </w:r>
            <w:r>
              <w:t xml:space="preserve"> on coexistence of terrestrial and satellite use of the band across international borders, this may provide some useful information on how these bands could be shared between uses and users on a geographic basis domestically. In addition, the ACMA is aware of interest in the band for possible direct aircraft to ground operations providing broadband connectivity to aircraft.</w:t>
            </w:r>
          </w:p>
          <w:p w14:paraId="552FD0AE" w14:textId="77777777" w:rsidR="00D9739D" w:rsidRPr="00EA44CE" w:rsidRDefault="00D9739D" w:rsidP="00DE694D">
            <w:pPr>
              <w:pStyle w:val="BodySubHeader"/>
            </w:pPr>
            <w:r w:rsidRPr="00EA44CE">
              <w:t xml:space="preserve">Recent </w:t>
            </w:r>
            <w:r w:rsidRPr="00DE694D">
              <w:t>developments</w:t>
            </w:r>
          </w:p>
          <w:p w14:paraId="266582AC" w14:textId="77777777" w:rsidR="00D9739D" w:rsidRDefault="00D9739D" w:rsidP="00DE694D">
            <w:pPr>
              <w:rPr>
                <w:rFonts w:cs="Arial"/>
                <w:szCs w:val="26"/>
              </w:rPr>
            </w:pPr>
            <w:r>
              <w:rPr>
                <w:rFonts w:cs="Arial"/>
              </w:rPr>
              <w:t xml:space="preserve">ITU-R Working Parties 4C and 5D are continuing </w:t>
            </w:r>
            <w:r w:rsidRPr="00964F02">
              <w:rPr>
                <w:lang w:eastAsia="zh-CN"/>
              </w:rPr>
              <w:t xml:space="preserve">studies on technical and operational measures to ensure coexistence and compatibility between the terrestrial and satellite components of IMT in the frequency bands 1980–2010 MHz and 2170–2200 MHz in different countries, in response to WRC-19 agenda item 9.1 (issue 9.1.1). </w:t>
            </w:r>
          </w:p>
          <w:p w14:paraId="1F52C3B3" w14:textId="77777777" w:rsidR="00D9739D" w:rsidRPr="00EA44CE" w:rsidRDefault="00D9739D" w:rsidP="004D0F4E">
            <w:pPr>
              <w:pStyle w:val="BodySubHeader"/>
              <w:keepNext/>
              <w:keepLines/>
            </w:pPr>
            <w:r w:rsidRPr="00EA44CE">
              <w:lastRenderedPageBreak/>
              <w:t>Next steps</w:t>
            </w:r>
          </w:p>
          <w:p w14:paraId="227E2FE0" w14:textId="55DC31B4" w:rsidR="002C7C8A" w:rsidRDefault="002C58C3" w:rsidP="004D0F4E">
            <w:pPr>
              <w:keepNext/>
              <w:keepLines/>
            </w:pPr>
            <w:r>
              <w:rPr>
                <w:rFonts w:cs="Arial"/>
              </w:rPr>
              <w:t xml:space="preserve">To assist future consideration of </w:t>
            </w:r>
            <w:r w:rsidR="002C7C8A">
              <w:rPr>
                <w:rFonts w:cs="Arial"/>
              </w:rPr>
              <w:t xml:space="preserve">the </w:t>
            </w:r>
            <w:r w:rsidR="002C7C8A">
              <w:rPr>
                <w:rFonts w:cs="Arial"/>
                <w:szCs w:val="26"/>
              </w:rPr>
              <w:t>frequency bands 1980–2010 MHz and 2170–2200 MHz</w:t>
            </w:r>
            <w:r>
              <w:rPr>
                <w:rFonts w:cs="Arial"/>
              </w:rPr>
              <w:t>, t</w:t>
            </w:r>
            <w:r>
              <w:t>he ACMA is intending to develop a discussion paper seeking industry views on what technologies should be supported and replanning considerations for release at the end of Q4 2018</w:t>
            </w:r>
            <w:r w:rsidR="00243870">
              <w:t>–</w:t>
            </w:r>
            <w:r>
              <w:t>19. Contingent on outcomes of this discussion paper, the ACMA would release an options paper in Q3</w:t>
            </w:r>
            <w:r w:rsidR="0071684C">
              <w:t>/</w:t>
            </w:r>
            <w:r>
              <w:t>4 2019–20.</w:t>
            </w:r>
          </w:p>
          <w:p w14:paraId="452A5AE1" w14:textId="21B62946" w:rsidR="00D9739D" w:rsidRDefault="00D9739D" w:rsidP="00DE694D">
            <w:pPr>
              <w:rPr>
                <w:rFonts w:cs="Arial"/>
              </w:rPr>
            </w:pPr>
            <w:r>
              <w:rPr>
                <w:rFonts w:cs="Arial"/>
                <w:szCs w:val="26"/>
              </w:rPr>
              <w:t>Th</w:t>
            </w:r>
            <w:r w:rsidR="002C7C8A">
              <w:rPr>
                <w:rFonts w:cs="Arial"/>
                <w:szCs w:val="26"/>
              </w:rPr>
              <w:t xml:space="preserve">is band </w:t>
            </w:r>
            <w:r>
              <w:rPr>
                <w:rFonts w:cs="Arial"/>
              </w:rPr>
              <w:t xml:space="preserve">will be retained at the </w:t>
            </w:r>
            <w:r>
              <w:rPr>
                <w:rFonts w:cs="Arial"/>
                <w:i/>
              </w:rPr>
              <w:t xml:space="preserve">initial investigation </w:t>
            </w:r>
            <w:r>
              <w:rPr>
                <w:rFonts w:cs="Arial"/>
              </w:rPr>
              <w:t>stage.</w:t>
            </w:r>
          </w:p>
          <w:p w14:paraId="04ED5411" w14:textId="77777777" w:rsidR="00D9739D" w:rsidRDefault="00D9739D" w:rsidP="00DE694D">
            <w:pPr>
              <w:rPr>
                <w:rFonts w:ascii="Times New Roman" w:hAnsi="Times New Roman"/>
                <w:sz w:val="24"/>
              </w:rPr>
            </w:pPr>
            <w:r>
              <w:t xml:space="preserve">The ACMA will also continue to monitor and, where appropriate, engage with stakeholders via the usual international preparatory process to develop Australian positions on international issues related to </w:t>
            </w:r>
            <w:r>
              <w:rPr>
                <w:rFonts w:cs="Arial"/>
                <w:szCs w:val="26"/>
              </w:rPr>
              <w:t>the frequency bands 1980–2010 MHz and 2170–2200 MHz</w:t>
            </w:r>
            <w:r>
              <w:t>, particularly in relation to work conducted as part of WRC-19 agenda item 9.1.1.</w:t>
            </w:r>
            <w:r>
              <w:rPr>
                <w:rFonts w:ascii="Times New Roman" w:hAnsi="Times New Roman"/>
                <w:sz w:val="24"/>
              </w:rPr>
              <w:t xml:space="preserve"> </w:t>
            </w:r>
          </w:p>
          <w:p w14:paraId="01D4B766" w14:textId="399A7168" w:rsidR="00D9739D" w:rsidRDefault="00D9739D" w:rsidP="00DE694D">
            <w:pPr>
              <w:rPr>
                <w:rFonts w:cs="Arial"/>
                <w:b/>
                <w:szCs w:val="20"/>
              </w:rPr>
            </w:pPr>
            <w:r>
              <w:t>T</w:t>
            </w:r>
            <w:r w:rsidRPr="00D970E3">
              <w:t>he ACMA remains open to case-by-case consideration of applications for test and demonstration purposes in the parts of the frequency ranges 1980</w:t>
            </w:r>
            <w:r>
              <w:t>–</w:t>
            </w:r>
            <w:r w:rsidRPr="00D970E3">
              <w:t>1985/2170</w:t>
            </w:r>
            <w:r>
              <w:t>–</w:t>
            </w:r>
            <w:r w:rsidRPr="00D970E3">
              <w:t>2175 MHz (</w:t>
            </w:r>
            <w:r w:rsidR="007B7B81">
              <w:t xml:space="preserve">the </w:t>
            </w:r>
            <w:r w:rsidRPr="00214E77">
              <w:t>guard band</w:t>
            </w:r>
            <w:r w:rsidRPr="00D970E3">
              <w:t xml:space="preserve"> between TOB and frequency adjacent spectrum licensing and </w:t>
            </w:r>
            <w:r>
              <w:t>apparatus</w:t>
            </w:r>
            <w:r w:rsidR="00D1527A">
              <w:t>-</w:t>
            </w:r>
            <w:r>
              <w:t xml:space="preserve">licensed public mobile telecommunications </w:t>
            </w:r>
            <w:r w:rsidRPr="00D970E3">
              <w:t>services) on a short</w:t>
            </w:r>
            <w:r>
              <w:t>-</w:t>
            </w:r>
            <w:r w:rsidRPr="00D970E3">
              <w:t>term, non-renewal basis</w:t>
            </w:r>
            <w:r>
              <w:t>,</w:t>
            </w:r>
            <w:r w:rsidRPr="00D970E3">
              <w:t xml:space="preserve"> subject to appropriate interference management and resolution conditions.</w:t>
            </w:r>
          </w:p>
        </w:tc>
      </w:tr>
      <w:tr w:rsidR="00D9739D" w14:paraId="4F296925" w14:textId="77777777" w:rsidTr="00DE694D">
        <w:tc>
          <w:tcPr>
            <w:tcW w:w="7797" w:type="dxa"/>
          </w:tcPr>
          <w:p w14:paraId="20148B1C" w14:textId="49FA6484" w:rsidR="00D9739D" w:rsidRPr="00916C98" w:rsidRDefault="00D9739D" w:rsidP="00DE694D">
            <w:pPr>
              <w:pStyle w:val="Heading3"/>
            </w:pPr>
            <w:bookmarkStart w:id="231" w:name="_Toc5025683"/>
            <w:r w:rsidRPr="00775B4A">
              <w:lastRenderedPageBreak/>
              <w:t xml:space="preserve">3.8 GHz (3700–4200 </w:t>
            </w:r>
            <w:r w:rsidRPr="00916C98">
              <w:t>MHz)</w:t>
            </w:r>
            <w:bookmarkEnd w:id="231"/>
          </w:p>
        </w:tc>
      </w:tr>
      <w:tr w:rsidR="00D9739D" w14:paraId="3AFDF2A6" w14:textId="77777777" w:rsidTr="00DE694D">
        <w:tc>
          <w:tcPr>
            <w:tcW w:w="7797" w:type="dxa"/>
          </w:tcPr>
          <w:p w14:paraId="1D063BD6" w14:textId="77777777" w:rsidR="00D9739D" w:rsidRDefault="00D9739D" w:rsidP="00DE694D">
            <w:r>
              <w:t xml:space="preserve">The 3.8 GHz band is allocated on a co-primary basis in Australia to the fixed, fixed-satellite (space-to-earth) and mobile services. </w:t>
            </w:r>
          </w:p>
          <w:p w14:paraId="1332442E" w14:textId="77777777" w:rsidR="00D9739D" w:rsidRDefault="00D9739D" w:rsidP="00DE694D">
            <w:r>
              <w:t>The use of the 3700–4200 MHz band has been debated internationally for several years. Recently, there has been increasing interest in the lower and lower-adjacent parts of this band for 5G services, particularly given the large bandwidths potentially available in this range. In June 2016, Japan’s Ministry of Internal Affair’s and Communications (MIC) named the 3.6–4.2 GHz band as a nationally suitable candidate band for 5G.</w:t>
            </w:r>
            <w:r>
              <w:rPr>
                <w:rStyle w:val="FootnoteReference"/>
              </w:rPr>
              <w:footnoteReference w:id="26"/>
            </w:r>
            <w:r>
              <w:t xml:space="preserve"> This has resulted in increasing interest from domestic parties in pursuing this band for mobile broadband. </w:t>
            </w:r>
          </w:p>
          <w:p w14:paraId="0A6E5E79" w14:textId="77777777" w:rsidR="00D9739D" w:rsidRPr="005145C7" w:rsidRDefault="00D9739D" w:rsidP="00DE694D">
            <w:pPr>
              <w:pStyle w:val="BodySubHeader"/>
              <w:keepNext/>
              <w:keepLines/>
            </w:pPr>
            <w:r w:rsidRPr="00DE694D">
              <w:t>Recent</w:t>
            </w:r>
            <w:r w:rsidRPr="005145C7">
              <w:t xml:space="preserve"> developments</w:t>
            </w:r>
          </w:p>
          <w:p w14:paraId="472AFF8E" w14:textId="77777777" w:rsidR="00D9739D" w:rsidRDefault="00D9739D" w:rsidP="00DE694D">
            <w:pPr>
              <w:keepNext/>
              <w:keepLines/>
            </w:pPr>
            <w:r>
              <w:t xml:space="preserve">In July 2018, the US FCC released a </w:t>
            </w:r>
            <w:r w:rsidRPr="00D05F42">
              <w:t>Notice of Proposed Rulemaking</w:t>
            </w:r>
            <w:r>
              <w:t xml:space="preserve"> that identifies the opportunity for satellite services to share 3.7–4.2 GHz for fixed and mobile wireless broadband services, including 5G.</w:t>
            </w:r>
            <w:r>
              <w:rPr>
                <w:rStyle w:val="FootnoteReference"/>
              </w:rPr>
              <w:footnoteReference w:id="27"/>
            </w:r>
          </w:p>
          <w:p w14:paraId="579ABBE2" w14:textId="27F4F5C5" w:rsidR="00D9739D" w:rsidRDefault="00D9739D" w:rsidP="00DE694D">
            <w:r>
              <w:t xml:space="preserve">In April 2018, the UK’s </w:t>
            </w:r>
            <w:proofErr w:type="spellStart"/>
            <w:r w:rsidRPr="00493B5D">
              <w:t>Of</w:t>
            </w:r>
            <w:r>
              <w:t>c</w:t>
            </w:r>
            <w:r w:rsidRPr="00493B5D">
              <w:t>om</w:t>
            </w:r>
            <w:proofErr w:type="spellEnd"/>
            <w:r>
              <w:t xml:space="preserve"> released a consultation paper seeking comments on opportunities for incumbent fixed links and </w:t>
            </w:r>
            <w:r w:rsidR="00BC5180">
              <w:t>FSS</w:t>
            </w:r>
            <w:r w:rsidR="003A125E">
              <w:t xml:space="preserve"> </w:t>
            </w:r>
            <w:r>
              <w:t>to share the 3.8–4.2 GHz band with fixed and mobile wireless broadband services.</w:t>
            </w:r>
            <w:r>
              <w:rPr>
                <w:rStyle w:val="FootnoteReference"/>
              </w:rPr>
              <w:footnoteReference w:id="28"/>
            </w:r>
          </w:p>
          <w:p w14:paraId="6626AA03" w14:textId="77777777" w:rsidR="00D9739D" w:rsidRPr="005145C7" w:rsidRDefault="00D9739D" w:rsidP="00DE694D">
            <w:pPr>
              <w:pStyle w:val="BodySubHeader"/>
            </w:pPr>
            <w:r w:rsidRPr="00DE694D">
              <w:t>Next</w:t>
            </w:r>
            <w:r w:rsidRPr="005145C7">
              <w:t xml:space="preserve"> steps</w:t>
            </w:r>
          </w:p>
          <w:p w14:paraId="745517EB" w14:textId="2185B904" w:rsidR="00D9739D" w:rsidRDefault="00D9739D" w:rsidP="00DE694D">
            <w:r>
              <w:t xml:space="preserve">Given the global developments on wireless broadband mentioned above, and domestic considerations arising from the known interests of incumbent and aspirant users of the band, it is timely to begin a discussion with industry on any implications for long-term </w:t>
            </w:r>
            <w:r>
              <w:lastRenderedPageBreak/>
              <w:t xml:space="preserve">arrangements for the entire 3700–4200 MHz band. </w:t>
            </w:r>
            <w:r w:rsidR="00F801A6">
              <w:t>The ACMA will issue a discussion paper in Q4 2018</w:t>
            </w:r>
            <w:r w:rsidR="004E64E0">
              <w:t>–</w:t>
            </w:r>
            <w:r w:rsidR="00F801A6">
              <w:t>19.</w:t>
            </w:r>
          </w:p>
          <w:p w14:paraId="7F83829C" w14:textId="77777777" w:rsidR="00D9739D" w:rsidRDefault="00D9739D" w:rsidP="00DE694D">
            <w:r>
              <w:t xml:space="preserve">Reviewing arrangements across the entire band, rather than incrementally reviewing parts of it, should allow for a more holistic consideration of the needs of all users and potential uses of the band, both existing and future. </w:t>
            </w:r>
          </w:p>
          <w:p w14:paraId="02B37E39" w14:textId="247BF5CE" w:rsidR="00D9739D" w:rsidRDefault="00D9739D" w:rsidP="00DE694D">
            <w:pPr>
              <w:rPr>
                <w:rFonts w:cs="Arial"/>
                <w:b/>
                <w:szCs w:val="20"/>
              </w:rPr>
            </w:pPr>
            <w:r>
              <w:t xml:space="preserve">The ACMA is alert to the needs of existing fixed satellite and point-to-point uses of the band, as well as the potential for both wide area and site based (for </w:t>
            </w:r>
            <w:r w:rsidRPr="005E1578">
              <w:t xml:space="preserve">example, </w:t>
            </w:r>
            <w:r w:rsidR="00AB5442">
              <w:t>FWA</w:t>
            </w:r>
            <w:r w:rsidRPr="005E1578">
              <w:t>)</w:t>
            </w:r>
            <w:r>
              <w:t xml:space="preserve"> wireless broadband. Considering the whole band simultaneously will maximise the opportunity for balanced approaches that take appropriate account of all interests.</w:t>
            </w:r>
          </w:p>
        </w:tc>
      </w:tr>
    </w:tbl>
    <w:p w14:paraId="5195250B" w14:textId="77777777" w:rsidR="009009FD" w:rsidRDefault="009009FD"/>
    <w:tbl>
      <w:tblPr>
        <w:tblW w:w="7797" w:type="dxa"/>
        <w:tblLayout w:type="fixed"/>
        <w:tblCellMar>
          <w:left w:w="0" w:type="dxa"/>
          <w:right w:w="0" w:type="dxa"/>
        </w:tblCellMar>
        <w:tblLook w:val="04A0" w:firstRow="1" w:lastRow="0" w:firstColumn="1" w:lastColumn="0" w:noHBand="0" w:noVBand="1"/>
        <w:tblCaption w:val="Monitoring"/>
      </w:tblPr>
      <w:tblGrid>
        <w:gridCol w:w="7797"/>
      </w:tblGrid>
      <w:tr w:rsidR="00D9739D" w:rsidRPr="00D9739D" w14:paraId="7E50B7B6" w14:textId="77777777" w:rsidTr="00DE694D">
        <w:trPr>
          <w:tblHeader/>
        </w:trPr>
        <w:tc>
          <w:tcPr>
            <w:tcW w:w="7797" w:type="dxa"/>
            <w:shd w:val="clear" w:color="auto" w:fill="D9D9D9" w:themeFill="background1" w:themeFillShade="D9"/>
            <w:tcMar>
              <w:top w:w="57" w:type="dxa"/>
              <w:bottom w:w="57" w:type="dxa"/>
            </w:tcMar>
          </w:tcPr>
          <w:p w14:paraId="0052AA02" w14:textId="74E777DE" w:rsidR="00D9739D" w:rsidRPr="00D7755E" w:rsidRDefault="00D9739D" w:rsidP="00DE694D">
            <w:pPr>
              <w:pStyle w:val="Tableheading2"/>
              <w:rPr>
                <w:color w:val="FFFFFF" w:themeColor="background1"/>
              </w:rPr>
            </w:pPr>
            <w:bookmarkStart w:id="232" w:name="_Toc5025684"/>
            <w:r w:rsidRPr="00D7755E">
              <w:t>Preliminary replanning</w:t>
            </w:r>
            <w:bookmarkEnd w:id="232"/>
          </w:p>
        </w:tc>
      </w:tr>
      <w:tr w:rsidR="00CB5884" w:rsidRPr="00D9739D" w14:paraId="2F30D50D" w14:textId="77777777" w:rsidTr="00DE694D">
        <w:trPr>
          <w:tblHeader/>
        </w:trPr>
        <w:tc>
          <w:tcPr>
            <w:tcW w:w="7797" w:type="dxa"/>
            <w:shd w:val="clear" w:color="auto" w:fill="auto"/>
          </w:tcPr>
          <w:p w14:paraId="6A71EA27" w14:textId="77777777" w:rsidR="00CB5884" w:rsidRPr="00D7755E" w:rsidRDefault="00CB5884" w:rsidP="00CB5884">
            <w:pPr>
              <w:pStyle w:val="Tableheading2"/>
            </w:pPr>
          </w:p>
        </w:tc>
      </w:tr>
      <w:tr w:rsidR="00D9739D" w14:paraId="3EA0AB1D" w14:textId="77777777" w:rsidTr="00DE694D">
        <w:tc>
          <w:tcPr>
            <w:tcW w:w="7797" w:type="dxa"/>
          </w:tcPr>
          <w:p w14:paraId="79A4B42A" w14:textId="09E4AEA8" w:rsidR="00D9739D" w:rsidRDefault="00D9739D" w:rsidP="00DE694D">
            <w:pPr>
              <w:pStyle w:val="Heading3"/>
              <w:spacing w:after="0"/>
              <w:rPr>
                <w:szCs w:val="20"/>
              </w:rPr>
            </w:pPr>
            <w:bookmarkStart w:id="233" w:name="_Toc5025685"/>
            <w:r w:rsidRPr="00B160DF">
              <w:t>1.5</w:t>
            </w:r>
            <w:r>
              <w:t xml:space="preserve"> </w:t>
            </w:r>
            <w:r w:rsidRPr="00B160DF">
              <w:t>GHz (1427</w:t>
            </w:r>
            <w:r w:rsidRPr="00DE694D">
              <w:rPr>
                <w:rStyle w:val="Heading3Char"/>
              </w:rPr>
              <w:t>–</w:t>
            </w:r>
            <w:r w:rsidRPr="00B160DF">
              <w:t>1518 MHz</w:t>
            </w:r>
            <w:r>
              <w:t>)</w:t>
            </w:r>
            <w:bookmarkEnd w:id="233"/>
          </w:p>
        </w:tc>
      </w:tr>
      <w:tr w:rsidR="00D9739D" w14:paraId="5EA150BC" w14:textId="77777777" w:rsidTr="00DE694D">
        <w:tc>
          <w:tcPr>
            <w:tcW w:w="7797" w:type="dxa"/>
          </w:tcPr>
          <w:p w14:paraId="4C49943B" w14:textId="77777777" w:rsidR="00D9739D" w:rsidRDefault="00D9739D" w:rsidP="00DE694D">
            <w:r>
              <w:t>At WRC-15, the entire 1427–1518 MHz band was harmonised for IMT within regions 2 and 3, while Region 1 identified 1427–1452 MHz and 1492–1518 MHz via regional footnotes. In Region 1, only African and Arab states identified the 1452–1492 MHz range (CEPT did not identify this band due to an ongoing dispute with RCC countries over the protection of Aeronautical Mobile Telemetry services).</w:t>
            </w:r>
          </w:p>
          <w:p w14:paraId="3DC867F0" w14:textId="77777777" w:rsidR="00D9739D" w:rsidRDefault="00D9739D" w:rsidP="00DE694D">
            <w:r>
              <w:t xml:space="preserve">The ACMA notes that an additional outcome of WRC-15 was Resolution </w:t>
            </w:r>
            <w:r>
              <w:rPr>
                <w:b/>
              </w:rPr>
              <w:t>761 (WRC-15)</w:t>
            </w:r>
            <w:r>
              <w:t>. This resolution invites the ITU-R to conduct, in time for WRC-19, the appropriate regulatory and technical studies, with a view to ensuring the compatibility of IMT and the broadcasting-satellite service (BSS) (sound) in the frequency band 1452–1492 MHz in regions 1 and 3, considering IMT and BSS (sound) operational requirements.</w:t>
            </w:r>
          </w:p>
          <w:p w14:paraId="4C48271F" w14:textId="77777777" w:rsidR="00D9739D" w:rsidRDefault="00D9739D" w:rsidP="00DE694D">
            <w:r>
              <w:t xml:space="preserve">Domestically, the impact on aeronautical telemetry services and fixed services, including </w:t>
            </w:r>
            <w:r w:rsidRPr="00E53CF1">
              <w:t>the Digital Radio Concentrator System, will need to be</w:t>
            </w:r>
            <w:r>
              <w:t xml:space="preserve"> considered in </w:t>
            </w:r>
            <w:r w:rsidRPr="00214E77">
              <w:t>any re-farming</w:t>
            </w:r>
            <w:r>
              <w:t xml:space="preserve"> process.</w:t>
            </w:r>
          </w:p>
          <w:p w14:paraId="0711AE4D" w14:textId="77777777" w:rsidR="00D9739D" w:rsidRDefault="00D9739D" w:rsidP="00DE694D">
            <w:r>
              <w:t>As referred to in Resolution</w:t>
            </w:r>
            <w:r>
              <w:rPr>
                <w:b/>
              </w:rPr>
              <w:t xml:space="preserve"> 223 (Rev. WRC-15)</w:t>
            </w:r>
            <w:r>
              <w:t>, some satellite industry representatives have also pointed out that compatibility with mobile satellite services (MSS) operating above 1518 MHz will need to be considered.</w:t>
            </w:r>
          </w:p>
          <w:p w14:paraId="4C5871E0" w14:textId="28D58027" w:rsidR="00D9739D" w:rsidRDefault="00D9739D" w:rsidP="00DE694D">
            <w:pPr>
              <w:rPr>
                <w:rFonts w:cs="Arial"/>
              </w:rPr>
            </w:pPr>
            <w:r>
              <w:t>There is strong support domestically from mobile broadband representatives for progressing the re-farming of this band.</w:t>
            </w:r>
            <w:r>
              <w:rPr>
                <w:rFonts w:cs="Arial"/>
              </w:rPr>
              <w:t xml:space="preserve"> The ACMA released the discussion paper, </w:t>
            </w:r>
            <w:hyperlink r:id="rId43" w:history="1">
              <w:r>
                <w:rPr>
                  <w:rStyle w:val="Hyperlink"/>
                  <w:rFonts w:eastAsiaTheme="majorEastAsia" w:cs="Arial"/>
                  <w:i/>
                  <w:szCs w:val="20"/>
                </w:rPr>
                <w:t>Future use of the 1.5 GHz and 3.6 GHz bands</w:t>
              </w:r>
            </w:hyperlink>
            <w:r>
              <w:rPr>
                <w:rFonts w:cs="Arial"/>
              </w:rPr>
              <w:t xml:space="preserve"> in October 2016, with 72 submissions received from industry.</w:t>
            </w:r>
          </w:p>
          <w:p w14:paraId="78157729" w14:textId="77777777" w:rsidR="00D9739D" w:rsidRDefault="00D9739D" w:rsidP="00DE694D">
            <w:pPr>
              <w:rPr>
                <w:rFonts w:cs="Arial"/>
              </w:rPr>
            </w:pPr>
            <w:r>
              <w:rPr>
                <w:rFonts w:cs="Arial"/>
              </w:rPr>
              <w:t xml:space="preserve">In June 2017, the ACMA released a </w:t>
            </w:r>
            <w:hyperlink r:id="rId44" w:history="1">
              <w:r>
                <w:rPr>
                  <w:rStyle w:val="Hyperlink"/>
                  <w:rFonts w:eastAsiaTheme="majorEastAsia" w:cs="Arial"/>
                  <w:szCs w:val="20"/>
                </w:rPr>
                <w:t>consultation package</w:t>
              </w:r>
            </w:hyperlink>
            <w:r>
              <w:rPr>
                <w:rFonts w:cs="Arial"/>
              </w:rPr>
              <w:t xml:space="preserve"> including </w:t>
            </w:r>
            <w:r>
              <w:rPr>
                <w:rFonts w:cs="Arial"/>
                <w:i/>
              </w:rPr>
              <w:t>Future use of the 1.5 GHz and 3.6 GHz bands—Summary of and response to 3.6 GHz submissions</w:t>
            </w:r>
            <w:r>
              <w:rPr>
                <w:rFonts w:cs="Arial"/>
              </w:rPr>
              <w:t xml:space="preserve">. This detailed the ACMA’s decision to progress both the 1.5 GHz and 3.6 GHz bands to the </w:t>
            </w:r>
            <w:r>
              <w:rPr>
                <w:rFonts w:cs="Arial"/>
                <w:i/>
              </w:rPr>
              <w:t>preliminary replanning</w:t>
            </w:r>
            <w:r>
              <w:rPr>
                <w:rFonts w:cs="Arial"/>
              </w:rPr>
              <w:t xml:space="preserve"> stage of the ACMA’s process for consideration of additional spectrum for MBB services.</w:t>
            </w:r>
          </w:p>
          <w:p w14:paraId="6A896976" w14:textId="77777777" w:rsidR="00D9739D" w:rsidRPr="00DE694D" w:rsidRDefault="00D9739D" w:rsidP="00DE694D">
            <w:pPr>
              <w:pStyle w:val="BodySubHeader"/>
              <w:keepNext/>
              <w:keepLines/>
            </w:pPr>
            <w:r w:rsidRPr="00FC6B90">
              <w:lastRenderedPageBreak/>
              <w:t>Recent developments</w:t>
            </w:r>
          </w:p>
          <w:p w14:paraId="349FC097" w14:textId="77777777" w:rsidR="00D9739D" w:rsidRDefault="00D9739D" w:rsidP="00DE694D">
            <w:pPr>
              <w:keepNext/>
              <w:keepLines/>
            </w:pPr>
            <w:r>
              <w:t xml:space="preserve">ITU-R Working Party 5D </w:t>
            </w:r>
            <w:r>
              <w:rPr>
                <w:lang w:eastAsia="zh-CN"/>
              </w:rPr>
              <w:t xml:space="preserve">has continued </w:t>
            </w:r>
            <w:r>
              <w:rPr>
                <w:rFonts w:eastAsia="SimSun"/>
                <w:lang w:eastAsia="zh-CN"/>
              </w:rPr>
              <w:t>revision of Recommendation ITU-</w:t>
            </w:r>
            <w:r>
              <w:t xml:space="preserve">R M.1036-5 on frequency arrangements for implementation of the terrestrial component of IMT in the bands identified for IMT in the RRs. The draft revision includes arrangements for the frequency band 1427–1518 </w:t>
            </w:r>
            <w:proofErr w:type="spellStart"/>
            <w:r>
              <w:t>MHz.</w:t>
            </w:r>
            <w:proofErr w:type="spellEnd"/>
            <w:r>
              <w:t xml:space="preserve"> </w:t>
            </w:r>
          </w:p>
          <w:p w14:paraId="6FAC29D5" w14:textId="77777777" w:rsidR="00D9739D" w:rsidRDefault="00D9739D" w:rsidP="00DE694D">
            <w:pPr>
              <w:rPr>
                <w:rFonts w:eastAsia="SimSun"/>
                <w:lang w:eastAsia="zh-CN"/>
              </w:rPr>
            </w:pPr>
            <w:r>
              <w:t xml:space="preserve">Working Party 5D is also undertaking studies called for in Resolution </w:t>
            </w:r>
            <w:r>
              <w:rPr>
                <w:b/>
              </w:rPr>
              <w:t>223 (Rev. WRC-15)</w:t>
            </w:r>
            <w:r>
              <w:t>.</w:t>
            </w:r>
            <w:r>
              <w:rPr>
                <w:rFonts w:eastAsia="SimSun"/>
                <w:lang w:eastAsia="zh-CN"/>
              </w:rPr>
              <w:t xml:space="preserve"> Working Party 5D is aiming to complete these work items by early 2019. </w:t>
            </w:r>
          </w:p>
          <w:p w14:paraId="3ACDCD6F" w14:textId="77777777" w:rsidR="00D9739D" w:rsidRDefault="00D9739D" w:rsidP="00DE694D">
            <w:pPr>
              <w:rPr>
                <w:rFonts w:eastAsia="SimSun"/>
                <w:lang w:eastAsia="zh-CN"/>
              </w:rPr>
            </w:pPr>
            <w:r>
              <w:rPr>
                <w:rFonts w:eastAsia="SimSun"/>
                <w:lang w:eastAsia="zh-CN"/>
              </w:rPr>
              <w:t xml:space="preserve">The AWG has a work plan to develop a report on frequency arrangements for the </w:t>
            </w:r>
            <w:r>
              <w:rPr>
                <w:rFonts w:cs="Arial"/>
              </w:rPr>
              <w:t>1427–1518 MHz</w:t>
            </w:r>
            <w:r>
              <w:rPr>
                <w:rFonts w:eastAsia="SimSun"/>
                <w:lang w:eastAsia="zh-CN"/>
              </w:rPr>
              <w:t xml:space="preserve"> band. The current proposal is to finalise the work at AWG-25 in March/April 2019 but this may be reviewed depending on progress.</w:t>
            </w:r>
          </w:p>
          <w:p w14:paraId="044EFB50" w14:textId="77777777" w:rsidR="00D9739D" w:rsidRPr="00DE694D" w:rsidRDefault="00D9739D" w:rsidP="00DE694D">
            <w:pPr>
              <w:pStyle w:val="BodySubHeader"/>
            </w:pPr>
            <w:r w:rsidRPr="00FC6B90">
              <w:t>Next steps</w:t>
            </w:r>
          </w:p>
          <w:p w14:paraId="650BD353" w14:textId="5BF1B14F" w:rsidR="00D9739D" w:rsidRDefault="00D9739D" w:rsidP="00DE694D">
            <w:r>
              <w:t xml:space="preserve">The ACMA will continue to monitor and engage with stakeholders via the usual international preparatory process to develop Australian positions on studies under </w:t>
            </w:r>
            <w:r>
              <w:rPr>
                <w:rFonts w:cs="Arial"/>
              </w:rPr>
              <w:t xml:space="preserve">Resolution </w:t>
            </w:r>
            <w:r>
              <w:rPr>
                <w:rFonts w:cs="Arial"/>
                <w:b/>
              </w:rPr>
              <w:t xml:space="preserve">223 (Rev. WRC-15) </w:t>
            </w:r>
            <w:r>
              <w:t>and Resolution</w:t>
            </w:r>
            <w:r>
              <w:rPr>
                <w:rFonts w:cs="Arial"/>
                <w:b/>
              </w:rPr>
              <w:t xml:space="preserve"> 761 (WRC-15),</w:t>
            </w:r>
            <w:r>
              <w:rPr>
                <w:rFonts w:cs="Arial"/>
              </w:rPr>
              <w:t xml:space="preserve"> </w:t>
            </w:r>
            <w:r>
              <w:t xml:space="preserve">and other international issues related to the 1.5 GHz band, such as possible new band plans. </w:t>
            </w:r>
            <w:r w:rsidR="00C86356">
              <w:rPr>
                <w:rFonts w:cs="Arial"/>
                <w:szCs w:val="20"/>
              </w:rPr>
              <w:t>Stakeholders have also indicated interest in the band for private LTE networks, subject to equipment availability.</w:t>
            </w:r>
          </w:p>
          <w:p w14:paraId="34D15B1E" w14:textId="79293C87" w:rsidR="00D9739D" w:rsidRPr="0025307D" w:rsidRDefault="006A22CC" w:rsidP="00DE694D">
            <w:pPr>
              <w:rPr>
                <w:rFonts w:cs="Arial"/>
              </w:rPr>
            </w:pPr>
            <w:r>
              <w:t>T</w:t>
            </w:r>
            <w:r w:rsidR="00D9739D" w:rsidRPr="00C837A5">
              <w:t>he ACMA</w:t>
            </w:r>
            <w:r>
              <w:t xml:space="preserve"> plans</w:t>
            </w:r>
            <w:r w:rsidR="00D9739D" w:rsidRPr="00C837A5">
              <w:t xml:space="preserve"> </w:t>
            </w:r>
            <w:r>
              <w:t xml:space="preserve">to progress </w:t>
            </w:r>
            <w:r w:rsidRPr="00DE694D">
              <w:t>consideration of the 1.5 GHz band through the release of</w:t>
            </w:r>
            <w:r w:rsidR="00C86356" w:rsidRPr="008713AA">
              <w:t xml:space="preserve"> an options paper for the </w:t>
            </w:r>
            <w:r w:rsidR="00D9739D" w:rsidRPr="00E26672">
              <w:t xml:space="preserve">in </w:t>
            </w:r>
            <w:r w:rsidR="00C86356" w:rsidRPr="00E26672">
              <w:t>Q3/4 2019</w:t>
            </w:r>
            <w:r w:rsidR="00243870" w:rsidRPr="0025307D">
              <w:t>–</w:t>
            </w:r>
            <w:r w:rsidR="00D9739D" w:rsidRPr="0025307D">
              <w:t>20.</w:t>
            </w:r>
          </w:p>
        </w:tc>
      </w:tr>
      <w:tr w:rsidR="00D9739D" w14:paraId="24B78CD6" w14:textId="77777777" w:rsidTr="00DE694D">
        <w:tc>
          <w:tcPr>
            <w:tcW w:w="7797" w:type="dxa"/>
          </w:tcPr>
          <w:p w14:paraId="6DA31708" w14:textId="597C20DB" w:rsidR="00D9739D" w:rsidRDefault="00D9739D" w:rsidP="00DE694D">
            <w:pPr>
              <w:pStyle w:val="Heading3"/>
              <w:spacing w:after="0"/>
            </w:pPr>
            <w:bookmarkStart w:id="234" w:name="_Toc5025686"/>
            <w:r>
              <w:lastRenderedPageBreak/>
              <w:t>1710–1785</w:t>
            </w:r>
            <w:r w:rsidR="00400C75">
              <w:t xml:space="preserve"> MHz and </w:t>
            </w:r>
            <w:r>
              <w:t>1805–1880 MHz (1800 MHz) in remote areas</w:t>
            </w:r>
            <w:bookmarkEnd w:id="234"/>
          </w:p>
        </w:tc>
      </w:tr>
      <w:tr w:rsidR="00D9739D" w14:paraId="6E1A8475" w14:textId="77777777" w:rsidTr="00DE694D">
        <w:tc>
          <w:tcPr>
            <w:tcW w:w="7797" w:type="dxa"/>
          </w:tcPr>
          <w:p w14:paraId="155263CE" w14:textId="1074D35F" w:rsidR="00D9739D" w:rsidRDefault="00D9739D" w:rsidP="00D7755E">
            <w:pPr>
              <w:spacing w:after="120"/>
              <w:rPr>
                <w:rFonts w:cs="Arial"/>
              </w:rPr>
            </w:pPr>
            <w:r w:rsidRPr="00C837A5">
              <w:t xml:space="preserve">In 2016, the ACMA released </w:t>
            </w:r>
            <w:r w:rsidRPr="008713AA">
              <w:t>arrangements</w:t>
            </w:r>
            <w:r w:rsidRPr="00E26672">
              <w:t xml:space="preserve"> for use of the 1800 MHz band in remote areas for fixed and mobile</w:t>
            </w:r>
            <w:r w:rsidRPr="00775B4A">
              <w:t xml:space="preserve"> wireless broadband services by operators. To manage a potential </w:t>
            </w:r>
            <w:r w:rsidR="00A82792" w:rsidRPr="00916C98">
              <w:t>surge</w:t>
            </w:r>
            <w:r w:rsidRPr="00916C98">
              <w:t xml:space="preserve"> in licence applications, a priority assignment model was adopted. An application window process was also adopted for the initial release of spectrum in the upper 2 x 30 MHz of the band </w:t>
            </w:r>
            <w:r w:rsidRPr="00E02187">
              <w:t>to avoid conflicting assignments being made</w:t>
            </w:r>
            <w:r>
              <w:rPr>
                <w:rFonts w:cs="Arial"/>
              </w:rPr>
              <w:t xml:space="preserve">. </w:t>
            </w:r>
          </w:p>
          <w:p w14:paraId="14CB95C1" w14:textId="77777777" w:rsidR="00D9739D" w:rsidRPr="00AB64EC" w:rsidRDefault="00D9739D" w:rsidP="00A66E8D">
            <w:pPr>
              <w:pStyle w:val="BodySubHeader"/>
              <w:keepNext/>
              <w:keepLines/>
            </w:pPr>
            <w:r w:rsidRPr="00AB64EC">
              <w:t xml:space="preserve">Recent </w:t>
            </w:r>
            <w:r w:rsidRPr="00DE694D">
              <w:t>developments</w:t>
            </w:r>
          </w:p>
          <w:p w14:paraId="613CBE44" w14:textId="77777777" w:rsidR="00D9739D" w:rsidRDefault="00D9739D" w:rsidP="00A66E8D">
            <w:pPr>
              <w:keepNext/>
              <w:keepLines/>
            </w:pPr>
            <w:r>
              <w:t xml:space="preserve">The application window process has been finalised and </w:t>
            </w:r>
            <w:r w:rsidRPr="00493B5D">
              <w:t>prospective operators</w:t>
            </w:r>
            <w:r>
              <w:t xml:space="preserve"> can now apply for licences on a first-in-time basis.  </w:t>
            </w:r>
          </w:p>
          <w:p w14:paraId="725C1689" w14:textId="77777777" w:rsidR="00D9739D" w:rsidRPr="00AB64EC" w:rsidRDefault="00D9739D" w:rsidP="00DE694D">
            <w:pPr>
              <w:pStyle w:val="BodySubHeader"/>
            </w:pPr>
            <w:r w:rsidRPr="00AB64EC">
              <w:t>Next steps</w:t>
            </w:r>
          </w:p>
          <w:p w14:paraId="30A2BC32" w14:textId="0A0545DB" w:rsidR="00D9739D" w:rsidRPr="00954EBA" w:rsidRDefault="00D9739D" w:rsidP="00DE694D">
            <w:r w:rsidRPr="00A54E97">
              <w:t>Now that demand for spectrum in the 1800 MHz band in remote areas is better understood, the ACMA will review the existing arrangements. This includes reassessing the need for a priority assignment model and could include allowing existing or prospective licensees to obtain larger contiguous channels</w:t>
            </w:r>
            <w:r>
              <w:t>.</w:t>
            </w:r>
            <w:r w:rsidR="006A22CC">
              <w:t xml:space="preserve"> </w:t>
            </w:r>
            <w:r w:rsidR="006A22CC" w:rsidRPr="00DE694D">
              <w:t>The ACMA will release a discussion paper in Q4 2018</w:t>
            </w:r>
            <w:r w:rsidR="001A25C7">
              <w:t>–</w:t>
            </w:r>
            <w:r w:rsidR="006A22CC" w:rsidRPr="00DE694D">
              <w:t>19.</w:t>
            </w:r>
          </w:p>
        </w:tc>
      </w:tr>
      <w:tr w:rsidR="008B4559" w14:paraId="3325F346" w14:textId="77777777" w:rsidTr="00DE694D">
        <w:tc>
          <w:tcPr>
            <w:tcW w:w="7797" w:type="dxa"/>
          </w:tcPr>
          <w:p w14:paraId="373CD0E0" w14:textId="5985F877" w:rsidR="008B4559" w:rsidRDefault="008B4559" w:rsidP="00DE694D">
            <w:pPr>
              <w:pStyle w:val="Heading3"/>
              <w:spacing w:after="0"/>
            </w:pPr>
            <w:bookmarkStart w:id="235" w:name="_Toc5025687"/>
            <w:r>
              <w:t>3.4–3.575 GHz band</w:t>
            </w:r>
            <w:bookmarkEnd w:id="235"/>
          </w:p>
        </w:tc>
      </w:tr>
      <w:tr w:rsidR="008B4559" w14:paraId="46E9E62E" w14:textId="77777777" w:rsidTr="00DE694D">
        <w:tc>
          <w:tcPr>
            <w:tcW w:w="7797" w:type="dxa"/>
          </w:tcPr>
          <w:p w14:paraId="1A962812" w14:textId="394C9E41" w:rsidR="008B4559" w:rsidRPr="004A477E" w:rsidRDefault="008B4559" w:rsidP="00DE694D">
            <w:pPr>
              <w:rPr>
                <w:rFonts w:eastAsiaTheme="majorEastAsia"/>
              </w:rPr>
            </w:pPr>
            <w:r>
              <w:t xml:space="preserve">Optimising spectrum and apparatus licence arrangements in the 3.4–3.575 GHz bands, adjacent to the 3.6 GHz band auctioned in 2018, has been raised with the ACMA by stakeholders as an important priority. This is expected to result in more efficient use of spectrum and a reduction in deployment costs. </w:t>
            </w:r>
          </w:p>
          <w:p w14:paraId="4F6CFC23" w14:textId="77777777" w:rsidR="008B4559" w:rsidRDefault="008B4559" w:rsidP="00DE694D">
            <w:pPr>
              <w:pStyle w:val="BodySubHeader"/>
            </w:pPr>
            <w:r>
              <w:t>N</w:t>
            </w:r>
            <w:r w:rsidRPr="00465968">
              <w:t>ext steps</w:t>
            </w:r>
          </w:p>
          <w:p w14:paraId="60FF8DA5" w14:textId="181F33F8" w:rsidR="008B4559" w:rsidRDefault="008B4559" w:rsidP="00DE694D">
            <w:pPr>
              <w:keepNext/>
              <w:keepLines/>
              <w:rPr>
                <w:rFonts w:cs="Arial"/>
              </w:rPr>
            </w:pPr>
            <w:r>
              <w:t>An options paper for reconfiguration of the 3.4–3.575 GHz band is expected to be released in Q4 2018–19.</w:t>
            </w:r>
          </w:p>
        </w:tc>
      </w:tr>
      <w:tr w:rsidR="00D9739D" w14:paraId="7BC6EAC3" w14:textId="77777777" w:rsidTr="00DE694D">
        <w:tc>
          <w:tcPr>
            <w:tcW w:w="7797" w:type="dxa"/>
          </w:tcPr>
          <w:p w14:paraId="0A58627C" w14:textId="7B66720C" w:rsidR="00D9739D" w:rsidRDefault="00E337A4" w:rsidP="00DE694D">
            <w:pPr>
              <w:pStyle w:val="Heading3"/>
              <w:spacing w:after="0"/>
              <w:rPr>
                <w:szCs w:val="20"/>
              </w:rPr>
            </w:pPr>
            <w:bookmarkStart w:id="236" w:name="_Toc5025688"/>
            <w:r w:rsidRPr="00B160DF">
              <w:lastRenderedPageBreak/>
              <w:t>28 GHz (27.5–29.5 GHz)</w:t>
            </w:r>
            <w:bookmarkEnd w:id="236"/>
          </w:p>
        </w:tc>
      </w:tr>
      <w:tr w:rsidR="00D9739D" w14:paraId="5C74D60E" w14:textId="77777777" w:rsidTr="00DE694D">
        <w:tc>
          <w:tcPr>
            <w:tcW w:w="7797" w:type="dxa"/>
          </w:tcPr>
          <w:p w14:paraId="2E22E0F9" w14:textId="11A380E4" w:rsidR="00E337A4" w:rsidRDefault="00E337A4" w:rsidP="00E337A4">
            <w:r>
              <w:t xml:space="preserve">In October 2017, the ACMA announced the preliminary views and outcomes of its </w:t>
            </w:r>
            <w:hyperlink r:id="rId45" w:history="1">
              <w:r w:rsidRPr="00543753">
                <w:rPr>
                  <w:rStyle w:val="Hyperlink"/>
                  <w:rFonts w:cs="Arial"/>
                  <w:szCs w:val="20"/>
                </w:rPr>
                <w:t>3.6 GHz band review</w:t>
              </w:r>
            </w:hyperlink>
            <w:r>
              <w:t>. As part of the outcomes announced, there were several mitigation measures identified for affected incumbent point-to-multipoint licensees. This included a commitment from the ACMA to investigate the possibility of developing</w:t>
            </w:r>
            <w:r w:rsidRPr="00543753">
              <w:t xml:space="preserve"> arrangements </w:t>
            </w:r>
            <w:r>
              <w:t>for the licensees</w:t>
            </w:r>
            <w:r w:rsidRPr="00543753">
              <w:t xml:space="preserve"> </w:t>
            </w:r>
            <w:r>
              <w:t>as part the 27.5–29.5 GHz (28 GHz) band</w:t>
            </w:r>
            <w:r w:rsidR="0075246E">
              <w:t xml:space="preserve"> planning activities</w:t>
            </w:r>
            <w:r>
              <w:t>.</w:t>
            </w:r>
          </w:p>
          <w:p w14:paraId="0B1D75EB" w14:textId="77777777" w:rsidR="00E337A4" w:rsidRPr="00410387" w:rsidRDefault="00E337A4" w:rsidP="00E337A4">
            <w:pPr>
              <w:pStyle w:val="BodySubHeader"/>
            </w:pPr>
            <w:r w:rsidRPr="00DE694D">
              <w:t>Recent</w:t>
            </w:r>
            <w:r w:rsidRPr="00410387">
              <w:t xml:space="preserve"> developments</w:t>
            </w:r>
          </w:p>
          <w:p w14:paraId="04417A76" w14:textId="77777777" w:rsidR="00E337A4" w:rsidRDefault="00E337A4" w:rsidP="00E337A4">
            <w:pPr>
              <w:rPr>
                <w:rFonts w:cs="Arial"/>
                <w:szCs w:val="20"/>
              </w:rPr>
            </w:pPr>
            <w:r>
              <w:t>T</w:t>
            </w:r>
            <w:r w:rsidRPr="008713AA">
              <w:rPr>
                <w:rFonts w:cs="Arial"/>
                <w:szCs w:val="20"/>
              </w:rPr>
              <w:t xml:space="preserve">he ACMA </w:t>
            </w:r>
            <w:r w:rsidRPr="00E26672">
              <w:rPr>
                <w:rFonts w:cs="Arial"/>
                <w:szCs w:val="20"/>
              </w:rPr>
              <w:t xml:space="preserve">released a </w:t>
            </w:r>
            <w:hyperlink r:id="rId46" w:history="1">
              <w:r w:rsidRPr="00155D31">
                <w:rPr>
                  <w:rStyle w:val="Hyperlink"/>
                </w:rPr>
                <w:t xml:space="preserve">discussion </w:t>
              </w:r>
              <w:r w:rsidRPr="00155D31">
                <w:rPr>
                  <w:rStyle w:val="Hyperlink"/>
                  <w:rFonts w:cs="Arial"/>
                  <w:szCs w:val="20"/>
                </w:rPr>
                <w:t>paper</w:t>
              </w:r>
            </w:hyperlink>
            <w:r w:rsidRPr="00155D31">
              <w:rPr>
                <w:rFonts w:cs="Arial"/>
                <w:szCs w:val="20"/>
              </w:rPr>
              <w:t xml:space="preserve"> in September 2018</w:t>
            </w:r>
            <w:r>
              <w:rPr>
                <w:rFonts w:cs="Arial"/>
                <w:szCs w:val="20"/>
              </w:rPr>
              <w:t xml:space="preserve"> to commence discussion</w:t>
            </w:r>
            <w:r w:rsidRPr="00155D31">
              <w:rPr>
                <w:rFonts w:cs="Arial"/>
                <w:szCs w:val="20"/>
              </w:rPr>
              <w:t xml:space="preserve"> on the suitability of the 28 GHz band for a broad range of users and service types. 24 </w:t>
            </w:r>
            <w:hyperlink r:id="rId47" w:history="1">
              <w:r w:rsidRPr="00155D31">
                <w:rPr>
                  <w:rStyle w:val="Hyperlink"/>
                  <w:rFonts w:cs="Arial"/>
                  <w:szCs w:val="20"/>
                </w:rPr>
                <w:t>submissions</w:t>
              </w:r>
            </w:hyperlink>
            <w:r w:rsidRPr="00155D31">
              <w:rPr>
                <w:rFonts w:cs="Arial"/>
                <w:szCs w:val="20"/>
              </w:rPr>
              <w:t xml:space="preserve"> were received.</w:t>
            </w:r>
          </w:p>
          <w:p w14:paraId="5F03BC49" w14:textId="77777777" w:rsidR="00E337A4" w:rsidRDefault="00E337A4" w:rsidP="00E337A4">
            <w:pPr>
              <w:pStyle w:val="BodySubHeader"/>
              <w:spacing w:before="120" w:after="120"/>
              <w:rPr>
                <w:b w:val="0"/>
                <w:i w:val="0"/>
              </w:rPr>
            </w:pPr>
            <w:r>
              <w:rPr>
                <w:b w:val="0"/>
                <w:i w:val="0"/>
              </w:rPr>
              <w:t>Based on submissions received the ACMA has identified the following services/applications that are interested in accessing the 28 GHz band:</w:t>
            </w:r>
          </w:p>
          <w:p w14:paraId="2D5B17EF" w14:textId="4F42CF87" w:rsidR="00E337A4" w:rsidRDefault="00E97880" w:rsidP="00E337A4">
            <w:pPr>
              <w:pStyle w:val="ListBullet"/>
              <w:tabs>
                <w:tab w:val="num" w:pos="295"/>
              </w:tabs>
            </w:pPr>
            <w:r>
              <w:t>w</w:t>
            </w:r>
            <w:r w:rsidR="00E337A4">
              <w:t>ide-area wireless broadband services which typically relates to services deployed by large MNOs or some fixed telecommunication carriers</w:t>
            </w:r>
          </w:p>
          <w:p w14:paraId="1AB1F661" w14:textId="3F6C1319" w:rsidR="00E337A4" w:rsidRDefault="00E337A4" w:rsidP="00E337A4">
            <w:pPr>
              <w:pStyle w:val="ListBullet"/>
              <w:tabs>
                <w:tab w:val="num" w:pos="295"/>
              </w:tabs>
            </w:pPr>
            <w:r>
              <w:t>FWA services which relate to smaller, local area subscriber services such as those provided by WISPs or other dedicated wireless broadband networks</w:t>
            </w:r>
            <w:r w:rsidR="008010CB">
              <w:t xml:space="preserve"> (e.g. miners and local government)</w:t>
            </w:r>
          </w:p>
          <w:p w14:paraId="3845B6D0" w14:textId="30258D8F" w:rsidR="00E337A4" w:rsidRDefault="00E337A4" w:rsidP="00E337A4">
            <w:pPr>
              <w:pStyle w:val="ListBullet"/>
              <w:tabs>
                <w:tab w:val="num" w:pos="295"/>
              </w:tabs>
            </w:pPr>
            <w:r>
              <w:t>F</w:t>
            </w:r>
            <w:r w:rsidR="001A25C7">
              <w:t>SS</w:t>
            </w:r>
            <w:r>
              <w:t xml:space="preserve"> which refers to gateway earth stations and ubiquitous earth stations (fixed earth stations at unknown locations and </w:t>
            </w:r>
            <w:r w:rsidR="001A25C7">
              <w:t>ESIMs</w:t>
            </w:r>
            <w:r>
              <w:t>, typically authorised to operate under a class licence)</w:t>
            </w:r>
          </w:p>
          <w:p w14:paraId="65831FA7" w14:textId="3C6C4A17" w:rsidR="00E337A4" w:rsidRDefault="00E97880" w:rsidP="00E337A4">
            <w:pPr>
              <w:pStyle w:val="ListBullet"/>
              <w:tabs>
                <w:tab w:val="num" w:pos="295"/>
              </w:tabs>
            </w:pPr>
            <w:r>
              <w:t>f</w:t>
            </w:r>
            <w:r w:rsidR="00E337A4">
              <w:t>ixed point</w:t>
            </w:r>
            <w:r>
              <w:t>-</w:t>
            </w:r>
            <w:r w:rsidR="00E337A4">
              <w:t>to</w:t>
            </w:r>
            <w:r>
              <w:t>-</w:t>
            </w:r>
            <w:r w:rsidR="00E337A4">
              <w:t>point services which are used by many different services and operators to backhaul data</w:t>
            </w:r>
          </w:p>
          <w:p w14:paraId="72623E8E" w14:textId="75A23DD1" w:rsidR="00E337A4" w:rsidRPr="00155D31" w:rsidRDefault="00E97880" w:rsidP="00E97880">
            <w:pPr>
              <w:pStyle w:val="ListBullet"/>
            </w:pPr>
            <w:r>
              <w:t>h</w:t>
            </w:r>
            <w:r w:rsidR="00E337A4">
              <w:t>igh</w:t>
            </w:r>
            <w:r>
              <w:t xml:space="preserve"> </w:t>
            </w:r>
            <w:r w:rsidR="00E337A4">
              <w:t>altitude platform stations.</w:t>
            </w:r>
          </w:p>
          <w:p w14:paraId="3E06B536" w14:textId="77777777" w:rsidR="00E337A4" w:rsidRPr="00410387" w:rsidRDefault="00E337A4" w:rsidP="00E337A4">
            <w:pPr>
              <w:pStyle w:val="BodySubHeader"/>
              <w:keepNext/>
              <w:keepLines/>
            </w:pPr>
            <w:r w:rsidRPr="00410387">
              <w:t xml:space="preserve">Next </w:t>
            </w:r>
            <w:r w:rsidRPr="00DE694D">
              <w:t>steps</w:t>
            </w:r>
            <w:r w:rsidRPr="00410387" w:rsidDel="00772021">
              <w:t xml:space="preserve"> </w:t>
            </w:r>
          </w:p>
          <w:p w14:paraId="19293221" w14:textId="38E4C73E" w:rsidR="00575BE0" w:rsidRPr="002460EB" w:rsidRDefault="00E337A4" w:rsidP="00E97880">
            <w:r>
              <w:t xml:space="preserve">Following on from the </w:t>
            </w:r>
            <w:r>
              <w:rPr>
                <w:rFonts w:cs="Arial"/>
                <w:szCs w:val="20"/>
              </w:rPr>
              <w:t>September 2018</w:t>
            </w:r>
            <w:r>
              <w:t xml:space="preserve"> discussion paper, the ACMA </w:t>
            </w:r>
            <w:r w:rsidR="002A6EBA">
              <w:t>has</w:t>
            </w:r>
            <w:r>
              <w:t xml:space="preserve"> releas</w:t>
            </w:r>
            <w:r w:rsidR="002A6EBA">
              <w:t>ed</w:t>
            </w:r>
            <w:r>
              <w:t xml:space="preserve"> an options paper on planning arrangements in the 28 GHz band in Q4 2018–19. </w:t>
            </w:r>
            <w:r>
              <w:rPr>
                <w:rFonts w:cs="Arial"/>
                <w:szCs w:val="20"/>
              </w:rPr>
              <w:t xml:space="preserve">A decision on which planning arrangements will be implemented in the 28 GHz band is planned for Q1 2019–20. </w:t>
            </w:r>
            <w:r w:rsidR="002A6EBA">
              <w:rPr>
                <w:rFonts w:cs="Arial"/>
                <w:szCs w:val="20"/>
              </w:rPr>
              <w:t>Depending on</w:t>
            </w:r>
            <w:r>
              <w:rPr>
                <w:rFonts w:cs="Arial"/>
                <w:szCs w:val="20"/>
              </w:rPr>
              <w:t xml:space="preserve"> this decision, the ACMA will commence work to implement the new arrangements.</w:t>
            </w:r>
          </w:p>
        </w:tc>
      </w:tr>
    </w:tbl>
    <w:p w14:paraId="54B0AFA4" w14:textId="77777777" w:rsidR="009009FD" w:rsidRDefault="009009FD"/>
    <w:tbl>
      <w:tblPr>
        <w:tblW w:w="7797" w:type="dxa"/>
        <w:tblLayout w:type="fixed"/>
        <w:tblCellMar>
          <w:left w:w="0" w:type="dxa"/>
          <w:right w:w="0" w:type="dxa"/>
        </w:tblCellMar>
        <w:tblLook w:val="04A0" w:firstRow="1" w:lastRow="0" w:firstColumn="1" w:lastColumn="0" w:noHBand="0" w:noVBand="1"/>
        <w:tblCaption w:val="Monitoring"/>
      </w:tblPr>
      <w:tblGrid>
        <w:gridCol w:w="7797"/>
      </w:tblGrid>
      <w:tr w:rsidR="00172695" w14:paraId="64F3F956" w14:textId="77777777" w:rsidTr="00DE694D">
        <w:trPr>
          <w:tblHeader/>
        </w:trPr>
        <w:tc>
          <w:tcPr>
            <w:tcW w:w="7797" w:type="dxa"/>
            <w:shd w:val="clear" w:color="auto" w:fill="D9D9D9" w:themeFill="background1" w:themeFillShade="D9"/>
            <w:tcMar>
              <w:top w:w="57" w:type="dxa"/>
              <w:bottom w:w="57" w:type="dxa"/>
            </w:tcMar>
          </w:tcPr>
          <w:p w14:paraId="1027E11E" w14:textId="19122428" w:rsidR="00172695" w:rsidRDefault="00172695" w:rsidP="00DE694D">
            <w:pPr>
              <w:pStyle w:val="Tableheading2"/>
            </w:pPr>
            <w:bookmarkStart w:id="237" w:name="_Toc5025689"/>
            <w:r w:rsidRPr="00D7755E">
              <w:t>Replanning</w:t>
            </w:r>
            <w:bookmarkEnd w:id="237"/>
          </w:p>
        </w:tc>
      </w:tr>
      <w:tr w:rsidR="00CB5884" w14:paraId="751161A9" w14:textId="77777777" w:rsidTr="0051233A">
        <w:trPr>
          <w:tblHeader/>
        </w:trPr>
        <w:tc>
          <w:tcPr>
            <w:tcW w:w="7797" w:type="dxa"/>
          </w:tcPr>
          <w:p w14:paraId="4DD4BADC" w14:textId="77777777" w:rsidR="00CB5884" w:rsidRPr="00D7755E" w:rsidRDefault="00CB5884" w:rsidP="00CB5884">
            <w:pPr>
              <w:pStyle w:val="Tableheading2"/>
            </w:pPr>
          </w:p>
        </w:tc>
      </w:tr>
      <w:tr w:rsidR="003F46FC" w14:paraId="3CA3E775" w14:textId="77777777" w:rsidTr="00DE694D">
        <w:tc>
          <w:tcPr>
            <w:tcW w:w="7797" w:type="dxa"/>
          </w:tcPr>
          <w:p w14:paraId="703A7FEA" w14:textId="7A8C2D4F" w:rsidR="003F46FC" w:rsidRDefault="003F46FC" w:rsidP="00DE694D">
            <w:pPr>
              <w:rPr>
                <w:rFonts w:eastAsia="Calibri"/>
              </w:rPr>
            </w:pPr>
            <w:r w:rsidRPr="00D7755E">
              <w:t xml:space="preserve">The replanning stage </w:t>
            </w:r>
            <w:r>
              <w:rPr>
                <w:b/>
              </w:rPr>
              <w:t>i</w:t>
            </w:r>
            <w:r w:rsidRPr="00896CB6">
              <w:rPr>
                <w:rFonts w:eastAsia="Calibri"/>
              </w:rPr>
              <w:t>nclude</w:t>
            </w:r>
            <w:r>
              <w:rPr>
                <w:rFonts w:eastAsia="Calibri"/>
              </w:rPr>
              <w:t>s</w:t>
            </w:r>
            <w:r w:rsidRPr="00896CB6">
              <w:rPr>
                <w:rFonts w:eastAsia="Calibri"/>
              </w:rPr>
              <w:t xml:space="preserve"> further development of detailed technical planning frameworks (including further consultation where necessary). </w:t>
            </w:r>
            <w:r w:rsidRPr="005A4DAE">
              <w:rPr>
                <w:rFonts w:eastAsia="Calibri"/>
              </w:rPr>
              <w:t>Dependi</w:t>
            </w:r>
            <w:r>
              <w:rPr>
                <w:rFonts w:eastAsia="Calibri"/>
              </w:rPr>
              <w:t>ng</w:t>
            </w:r>
            <w:r w:rsidRPr="00896CB6">
              <w:rPr>
                <w:rFonts w:eastAsia="Calibri"/>
              </w:rPr>
              <w:t xml:space="preserve"> on </w:t>
            </w:r>
            <w:r>
              <w:rPr>
                <w:rFonts w:eastAsia="Calibri"/>
              </w:rPr>
              <w:t xml:space="preserve">the </w:t>
            </w:r>
            <w:r w:rsidRPr="00896CB6">
              <w:rPr>
                <w:rFonts w:eastAsia="Calibri"/>
              </w:rPr>
              <w:t xml:space="preserve">nature of the existing use of the band, this stage could potentially lead to </w:t>
            </w:r>
            <w:r w:rsidRPr="00BB38F9">
              <w:rPr>
                <w:rFonts w:eastAsia="Calibri"/>
              </w:rPr>
              <w:t>re</w:t>
            </w:r>
            <w:r w:rsidRPr="00BB38F9">
              <w:rPr>
                <w:rFonts w:eastAsia="Calibri"/>
              </w:rPr>
              <w:noBreakHyphen/>
              <w:t>farming</w:t>
            </w:r>
            <w:r w:rsidR="0070084E">
              <w:rPr>
                <w:rFonts w:eastAsia="Calibri"/>
              </w:rPr>
              <w:t xml:space="preserve"> or </w:t>
            </w:r>
            <w:r w:rsidRPr="00BB38F9">
              <w:rPr>
                <w:rFonts w:eastAsia="Calibri"/>
              </w:rPr>
              <w:t>reallocation activities</w:t>
            </w:r>
            <w:r w:rsidRPr="00896CB6">
              <w:rPr>
                <w:rFonts w:eastAsia="Calibri"/>
              </w:rPr>
              <w:t xml:space="preserve">. </w:t>
            </w:r>
          </w:p>
          <w:p w14:paraId="3F8A6DD2" w14:textId="2E94C574" w:rsidR="003F46FC" w:rsidRDefault="003F46FC" w:rsidP="00DE694D">
            <w:r w:rsidRPr="00896CB6">
              <w:rPr>
                <w:rFonts w:eastAsia="Calibri"/>
              </w:rPr>
              <w:t xml:space="preserve">Conclusions </w:t>
            </w:r>
            <w:r>
              <w:rPr>
                <w:rFonts w:eastAsia="Calibri"/>
              </w:rPr>
              <w:t>from</w:t>
            </w:r>
            <w:r w:rsidRPr="00896CB6">
              <w:rPr>
                <w:rFonts w:eastAsia="Calibri"/>
              </w:rPr>
              <w:t xml:space="preserve"> the ACMA planning process </w:t>
            </w:r>
            <w:r>
              <w:rPr>
                <w:rFonts w:eastAsia="Calibri"/>
              </w:rPr>
              <w:t>are</w:t>
            </w:r>
            <w:r w:rsidRPr="00896CB6">
              <w:rPr>
                <w:rFonts w:eastAsia="Calibri"/>
              </w:rPr>
              <w:t xml:space="preserve"> communicated in an outcomes </w:t>
            </w:r>
            <w:r w:rsidR="005C188F">
              <w:rPr>
                <w:rFonts w:eastAsia="Calibri"/>
              </w:rPr>
              <w:t xml:space="preserve">(decision) </w:t>
            </w:r>
            <w:r w:rsidRPr="00896CB6">
              <w:rPr>
                <w:rFonts w:eastAsia="Calibri"/>
              </w:rPr>
              <w:t>paper that may include ACMA decisions on issues within its remit and/or identify preliminary dispositions on future activities subject to further legislative process (for example</w:t>
            </w:r>
            <w:r>
              <w:rPr>
                <w:rFonts w:eastAsia="Calibri"/>
              </w:rPr>
              <w:t>,</w:t>
            </w:r>
            <w:r w:rsidRPr="00896CB6">
              <w:rPr>
                <w:rFonts w:eastAsia="Calibri"/>
              </w:rPr>
              <w:t xml:space="preserve"> decision or actions to be undertaken by the </w:t>
            </w:r>
            <w:r>
              <w:rPr>
                <w:rFonts w:eastAsia="Calibri"/>
              </w:rPr>
              <w:t>m</w:t>
            </w:r>
            <w:r w:rsidRPr="00896CB6">
              <w:rPr>
                <w:rFonts w:eastAsia="Calibri"/>
              </w:rPr>
              <w:t>inister).</w:t>
            </w:r>
          </w:p>
        </w:tc>
      </w:tr>
      <w:tr w:rsidR="00172695" w14:paraId="744A62B4" w14:textId="77777777" w:rsidTr="00DE694D">
        <w:tc>
          <w:tcPr>
            <w:tcW w:w="7797" w:type="dxa"/>
          </w:tcPr>
          <w:p w14:paraId="7EB15658" w14:textId="19468771" w:rsidR="00172695" w:rsidRDefault="00172695" w:rsidP="00DE694D">
            <w:pPr>
              <w:pStyle w:val="Heading3"/>
            </w:pPr>
            <w:bookmarkStart w:id="238" w:name="_Toc5025690"/>
            <w:r>
              <w:t xml:space="preserve">850 MHz expansion </w:t>
            </w:r>
            <w:r w:rsidRPr="00C837A5">
              <w:t>band</w:t>
            </w:r>
            <w:r>
              <w:t xml:space="preserve"> (809–824 MHz and 854–869 MHz)</w:t>
            </w:r>
            <w:bookmarkEnd w:id="238"/>
          </w:p>
        </w:tc>
      </w:tr>
      <w:tr w:rsidR="00172695" w14:paraId="3E5FFFF7" w14:textId="77777777" w:rsidTr="00DE694D">
        <w:tc>
          <w:tcPr>
            <w:tcW w:w="7797" w:type="dxa"/>
          </w:tcPr>
          <w:p w14:paraId="6030BD61" w14:textId="5F0AD5AD" w:rsidR="00172695" w:rsidRPr="00916C98" w:rsidRDefault="00172695" w:rsidP="00DE694D">
            <w:r w:rsidRPr="008713AA">
              <w:t>See</w:t>
            </w:r>
            <w:r w:rsidR="0071684C" w:rsidRPr="008713AA">
              <w:t xml:space="preserve"> </w:t>
            </w:r>
            <w:r w:rsidR="0071684C" w:rsidRPr="00E26672">
              <w:t>forward allocation work plan</w:t>
            </w:r>
            <w:r w:rsidRPr="00E26672">
              <w:t xml:space="preserve"> scenari</w:t>
            </w:r>
            <w:r w:rsidRPr="00775B4A">
              <w:t>os for allocation timing options</w:t>
            </w:r>
            <w:r w:rsidR="0051233A" w:rsidRPr="00916C98">
              <w:t>.</w:t>
            </w:r>
          </w:p>
          <w:p w14:paraId="48DE11B2" w14:textId="50C5E92E" w:rsidR="00172695" w:rsidRDefault="00172695" w:rsidP="00DE694D">
            <w:r>
              <w:lastRenderedPageBreak/>
              <w:t xml:space="preserve">In November 2015, the ACMA released its </w:t>
            </w:r>
            <w:hyperlink r:id="rId48" w:history="1">
              <w:r>
                <w:rPr>
                  <w:rStyle w:val="Hyperlink"/>
                  <w:i/>
                </w:rPr>
                <w:t>Long-term strategy for the 803–960 MHz band</w:t>
              </w:r>
            </w:hyperlink>
            <w:r>
              <w:t xml:space="preserve"> decision paper, signalling an end to the review of this band and commencement of a long-term implementation plan to put those decisions into effect. One of the key decisions arising from the review was that 2 x 15 MHz of 4G-standardised spectrum will be made available for new mobile broadband services from 2024. This spectrum will come from the 850 MHz ‘expansion band’, which is lower adjacent to the current </w:t>
            </w:r>
            <w:r w:rsidR="00CB5884">
              <w:t>850 </w:t>
            </w:r>
            <w:r>
              <w:t xml:space="preserve">MHz 3G band used by Telstra and VHA. </w:t>
            </w:r>
          </w:p>
          <w:p w14:paraId="0A59C33E" w14:textId="77777777" w:rsidR="00172695" w:rsidRPr="00DE694D" w:rsidRDefault="00172695" w:rsidP="00DE694D">
            <w:pPr>
              <w:pStyle w:val="BodySubHeader"/>
            </w:pPr>
            <w:r w:rsidRPr="00AA52A2">
              <w:t>Recent developments</w:t>
            </w:r>
          </w:p>
          <w:p w14:paraId="30A3D261" w14:textId="538F7A11" w:rsidR="00172695" w:rsidRDefault="00172695" w:rsidP="00DE694D">
            <w:r>
              <w:t xml:space="preserve">The project is now in an </w:t>
            </w:r>
            <w:r>
              <w:rPr>
                <w:i/>
              </w:rPr>
              <w:t>implementation</w:t>
            </w:r>
            <w:r>
              <w:t xml:space="preserve"> </w:t>
            </w:r>
            <w:r w:rsidR="006A22CC">
              <w:t>stage</w:t>
            </w:r>
            <w:r>
              <w:t xml:space="preserve">, which is largely geared towards the clearance/relocation of incumbent services operating in the 850 MHz expansion frequencies earmarked for mobile broadband. </w:t>
            </w:r>
          </w:p>
          <w:p w14:paraId="17CA9733" w14:textId="424AB2FF" w:rsidR="00172695" w:rsidRDefault="00172695" w:rsidP="00DE694D">
            <w:r>
              <w:t xml:space="preserve">As part of this process, in July 2016, a new RALI (FX 22) was put in place to facilitate the transition of single frequency fixed links (SFFLs) and studio-to-transmitter links (STLs) to the new arrangements. Further incremental updates will be made to this and other instructions as the implementation </w:t>
            </w:r>
            <w:r w:rsidR="006A22CC">
              <w:t xml:space="preserve">stage </w:t>
            </w:r>
            <w:r>
              <w:t>progresses.</w:t>
            </w:r>
          </w:p>
          <w:p w14:paraId="52174FB3" w14:textId="0CE86F4E" w:rsidR="00172695" w:rsidRDefault="00063F94" w:rsidP="00DE694D">
            <w:r>
              <w:t>As per the COAG communique of December 2018, all jurisdictions agreed a Strategic Roadmap that sets out a plan to design, implement and operate a</w:t>
            </w:r>
            <w:r w:rsidDel="00063F94">
              <w:t xml:space="preserve"> </w:t>
            </w:r>
            <w:r w:rsidR="00172695">
              <w:t>public safety mobile broadband (PSMB) service</w:t>
            </w:r>
            <w:r w:rsidR="008C0480">
              <w:t xml:space="preserve"> and to continue to work together to resolve the supporting spectrum arrangements in parallel with proof of concept trials. </w:t>
            </w:r>
            <w:r w:rsidR="00172695">
              <w:t xml:space="preserve">The ACMA is working with </w:t>
            </w:r>
            <w:proofErr w:type="spellStart"/>
            <w:r w:rsidR="00172695">
              <w:t>DoCA</w:t>
            </w:r>
            <w:proofErr w:type="spellEnd"/>
            <w:r w:rsidR="00172695">
              <w:t xml:space="preserve"> to provide advice on allocation options and manage the impact of this work on</w:t>
            </w:r>
            <w:r w:rsidR="006A22CC">
              <w:t xml:space="preserve"> the</w:t>
            </w:r>
            <w:r w:rsidR="00172695">
              <w:t xml:space="preserve"> allocation of other parts of that band for commercial wireless broadband services.</w:t>
            </w:r>
          </w:p>
          <w:p w14:paraId="63596D80" w14:textId="77777777" w:rsidR="00172695" w:rsidRPr="00AA52A2" w:rsidRDefault="00172695" w:rsidP="00DE694D">
            <w:pPr>
              <w:pStyle w:val="BodySubHeader"/>
              <w:keepNext/>
              <w:keepLines/>
            </w:pPr>
            <w:r w:rsidRPr="00AA52A2">
              <w:t xml:space="preserve">Next </w:t>
            </w:r>
            <w:r w:rsidRPr="00DE694D">
              <w:t>steps</w:t>
            </w:r>
          </w:p>
          <w:p w14:paraId="64B99397" w14:textId="3F8E0C06" w:rsidR="00172695" w:rsidRDefault="00172695" w:rsidP="00DE694D">
            <w:pPr>
              <w:keepNext/>
              <w:keepLines/>
              <w:rPr>
                <w:rFonts w:cs="Arial"/>
              </w:rPr>
            </w:pPr>
            <w:r w:rsidRPr="00A54E97">
              <w:t xml:space="preserve">The implementation plan contains milestones for the transition to long-term </w:t>
            </w:r>
            <w:r w:rsidRPr="00C837A5">
              <w:t xml:space="preserve">arrangements by incumbent services. The ACMA is considering a range of options for how and when the 850 MHz expansion band might be allocated. The intent remains to allocate it </w:t>
            </w:r>
            <w:r w:rsidR="00AC437D">
              <w:t>in combination</w:t>
            </w:r>
            <w:r w:rsidR="00AC437D" w:rsidRPr="008713AA">
              <w:t xml:space="preserve"> </w:t>
            </w:r>
            <w:r w:rsidRPr="008713AA">
              <w:t>with the 900</w:t>
            </w:r>
            <w:r w:rsidRPr="00A54E97">
              <w:t xml:space="preserve"> MHz band, pending further consideration of </w:t>
            </w:r>
            <w:r w:rsidR="00CB5884" w:rsidRPr="00A54E97">
              <w:t>900</w:t>
            </w:r>
            <w:r w:rsidR="00CB5884">
              <w:t> </w:t>
            </w:r>
            <w:r w:rsidRPr="00A54E97">
              <w:t>MHz reconfiguration options (see below).</w:t>
            </w:r>
          </w:p>
        </w:tc>
      </w:tr>
      <w:tr w:rsidR="00172695" w14:paraId="7DAA4775" w14:textId="77777777" w:rsidTr="00DE694D">
        <w:tc>
          <w:tcPr>
            <w:tcW w:w="7797" w:type="dxa"/>
          </w:tcPr>
          <w:p w14:paraId="03EB8718" w14:textId="4483BFCB" w:rsidR="00172695" w:rsidRDefault="00172695" w:rsidP="00DE694D">
            <w:pPr>
              <w:pStyle w:val="Heading3"/>
              <w:rPr>
                <w:szCs w:val="20"/>
              </w:rPr>
            </w:pPr>
            <w:bookmarkStart w:id="239" w:name="_Toc5025691"/>
            <w:r w:rsidRPr="00A54E97">
              <w:lastRenderedPageBreak/>
              <w:t>900 MHz (890–915 MHz and 935–960 MHz)</w:t>
            </w:r>
            <w:bookmarkEnd w:id="239"/>
          </w:p>
        </w:tc>
      </w:tr>
      <w:tr w:rsidR="00172695" w14:paraId="557E1017" w14:textId="77777777" w:rsidTr="00DE694D">
        <w:tc>
          <w:tcPr>
            <w:tcW w:w="7797" w:type="dxa"/>
          </w:tcPr>
          <w:p w14:paraId="750AA7BF" w14:textId="3D4A1B6C" w:rsidR="00172695" w:rsidRPr="00E26672" w:rsidRDefault="00172695" w:rsidP="00DE694D">
            <w:r w:rsidRPr="00C837A5">
              <w:t>See</w:t>
            </w:r>
            <w:r w:rsidR="00DD28E0" w:rsidRPr="008713AA">
              <w:t xml:space="preserve"> forward allocation work plan</w:t>
            </w:r>
            <w:r w:rsidRPr="00E26672">
              <w:t xml:space="preserve"> scenarios for allocation timing options</w:t>
            </w:r>
            <w:r w:rsidR="0051233A" w:rsidRPr="00E26672">
              <w:t>.</w:t>
            </w:r>
          </w:p>
          <w:p w14:paraId="34D251B5" w14:textId="66BF25FD" w:rsidR="00172695" w:rsidRDefault="00172695" w:rsidP="00DE694D">
            <w:r>
              <w:t xml:space="preserve">In October 2017, the ACMA released a paper setting out its preferred reconfiguration option for the 900 MHz (890–915/935–960 MHz) band in order to transition from the current 2 x 8.2 or 8.4 MHz frequency arrangements to multiples of 2 x 5 </w:t>
            </w:r>
            <w:proofErr w:type="spellStart"/>
            <w:r>
              <w:t>MHz.</w:t>
            </w:r>
            <w:proofErr w:type="spellEnd"/>
            <w:r>
              <w:t xml:space="preserve"> The</w:t>
            </w:r>
            <w:r w:rsidDel="00B45FDA">
              <w:t xml:space="preserve"> </w:t>
            </w:r>
            <w:r w:rsidR="00B45FDA">
              <w:t>ACMA</w:t>
            </w:r>
            <w:r>
              <w:t xml:space="preserve"> also invited submissions about two related issues, namely the appropriate treatment of the 2 x 1 MHz of spectrum immediately adjacent to and below the existing 850 MHz spectrum licences, and the duration of any spectrum licences issued in 900 MHz or the 850 MHz expansion band. </w:t>
            </w:r>
          </w:p>
          <w:p w14:paraId="03956865" w14:textId="77777777" w:rsidR="00172695" w:rsidRDefault="00172695" w:rsidP="00DE694D">
            <w:r>
              <w:t xml:space="preserve">A reconfiguration of licensing in the 900 MHz ‘GSM’ band (890–915/935–960 MHz) into 5 MHz FDD blocks, as well as a related proposal to implement a 1 MHz downshift of the 850 MHz band (to maximise the utility of the adjacent 900 MHz GSM band), was originally proposed under the review of the 803–960 MHz band. </w:t>
            </w:r>
          </w:p>
          <w:p w14:paraId="15D2A3CA" w14:textId="77777777" w:rsidR="00172695" w:rsidRPr="00FE75F2" w:rsidRDefault="00172695" w:rsidP="00DE694D">
            <w:pPr>
              <w:pStyle w:val="BodySubHeader"/>
            </w:pPr>
            <w:r w:rsidRPr="00FE75F2">
              <w:t xml:space="preserve">Recent </w:t>
            </w:r>
            <w:r w:rsidRPr="00DE694D">
              <w:t>developments</w:t>
            </w:r>
          </w:p>
          <w:p w14:paraId="4CE23F98" w14:textId="77777777" w:rsidR="00172695" w:rsidRDefault="00172695" w:rsidP="00D7755E">
            <w:pPr>
              <w:spacing w:after="120"/>
            </w:pPr>
            <w:r>
              <w:t>The ACMA is currently considering responses to its October 2017 paper.</w:t>
            </w:r>
          </w:p>
          <w:p w14:paraId="1EAE8170" w14:textId="77777777" w:rsidR="00172695" w:rsidRPr="00FE75F2" w:rsidRDefault="00172695" w:rsidP="00E97880">
            <w:pPr>
              <w:pStyle w:val="BodySubHeader"/>
              <w:keepNext/>
              <w:keepLines/>
            </w:pPr>
            <w:r w:rsidRPr="00FE75F2">
              <w:lastRenderedPageBreak/>
              <w:t xml:space="preserve">Next </w:t>
            </w:r>
            <w:r w:rsidRPr="00DE694D">
              <w:t>steps</w:t>
            </w:r>
          </w:p>
          <w:p w14:paraId="088445FF" w14:textId="0FA49AC8" w:rsidR="00172695" w:rsidRPr="00E26672" w:rsidRDefault="00172695" w:rsidP="00E97880">
            <w:pPr>
              <w:keepNext/>
              <w:keepLines/>
              <w:rPr>
                <w:rFonts w:cs="Arial"/>
              </w:rPr>
            </w:pPr>
            <w:r w:rsidRPr="00C837A5">
              <w:t>Reconfiguration options for the band remain under consideration, including the a</w:t>
            </w:r>
            <w:r w:rsidRPr="008713AA">
              <w:t>bove-mentioned clearance and reallocation</w:t>
            </w:r>
            <w:r w:rsidRPr="00E26672">
              <w:t xml:space="preserve"> proposal.</w:t>
            </w:r>
            <w:r w:rsidR="00B959D2">
              <w:t xml:space="preserve"> </w:t>
            </w:r>
            <w:r w:rsidR="00B959D2" w:rsidRPr="00DE694D">
              <w:t>The ACMA is proposing to publish a consultation paper in Q4 2018-19 concerning these options.</w:t>
            </w:r>
          </w:p>
        </w:tc>
      </w:tr>
      <w:tr w:rsidR="00172695" w14:paraId="00C9F109" w14:textId="77777777" w:rsidTr="00DE694D">
        <w:tc>
          <w:tcPr>
            <w:tcW w:w="7797" w:type="dxa"/>
          </w:tcPr>
          <w:p w14:paraId="603C34FE" w14:textId="77DC21B9" w:rsidR="00172695" w:rsidRDefault="00172695" w:rsidP="00E97880">
            <w:pPr>
              <w:pStyle w:val="Heading3"/>
            </w:pPr>
            <w:bookmarkStart w:id="240" w:name="_Toc5025692"/>
            <w:r w:rsidRPr="00A54E97">
              <w:lastRenderedPageBreak/>
              <w:t>5.6 GHz (5600–5650 MHz)</w:t>
            </w:r>
            <w:bookmarkEnd w:id="240"/>
          </w:p>
        </w:tc>
      </w:tr>
      <w:tr w:rsidR="00172695" w14:paraId="06428BB3" w14:textId="77777777" w:rsidTr="00DE694D">
        <w:tc>
          <w:tcPr>
            <w:tcW w:w="7797" w:type="dxa"/>
          </w:tcPr>
          <w:p w14:paraId="4D1810BF" w14:textId="768BFB40" w:rsidR="00B959D2" w:rsidRPr="00E97880" w:rsidRDefault="00B959D2" w:rsidP="00B959D2">
            <w:pPr>
              <w:pStyle w:val="BodySubHeader"/>
              <w:spacing w:before="120"/>
            </w:pPr>
            <w:r w:rsidRPr="00E97880">
              <w:t xml:space="preserve">Recent developments </w:t>
            </w:r>
          </w:p>
          <w:p w14:paraId="2F4759B6" w14:textId="43D0DD3D" w:rsidR="00B959D2" w:rsidRDefault="00B959D2" w:rsidP="00B959D2">
            <w:r>
              <w:t xml:space="preserve">One of the outcomes from the </w:t>
            </w:r>
            <w:hyperlink r:id="rId49" w:history="1">
              <w:r w:rsidRPr="00A66E8D">
                <w:rPr>
                  <w:rStyle w:val="Hyperlink"/>
                </w:rPr>
                <w:t>Future use of the 3.6 GHz band</w:t>
              </w:r>
            </w:hyperlink>
            <w:r w:rsidRPr="00792A96">
              <w:rPr>
                <w:i/>
              </w:rPr>
              <w:t xml:space="preserve"> </w:t>
            </w:r>
            <w:r>
              <w:t>process was that the ACMA committed to implementing</w:t>
            </w:r>
            <w:r>
              <w:rPr>
                <w:lang w:eastAsia="en-US"/>
              </w:rPr>
              <w:t xml:space="preserve"> point-to-multipoint apparatus licen</w:t>
            </w:r>
            <w:r w:rsidR="003E7410">
              <w:rPr>
                <w:lang w:eastAsia="en-US"/>
              </w:rPr>
              <w:t>c</w:t>
            </w:r>
            <w:r>
              <w:rPr>
                <w:lang w:eastAsia="en-US"/>
              </w:rPr>
              <w:t xml:space="preserve">e arrangements in the 5.6 GHz band.  The </w:t>
            </w:r>
            <w:r w:rsidRPr="006D2422">
              <w:rPr>
                <w:lang w:eastAsia="en-US"/>
              </w:rPr>
              <w:t xml:space="preserve">ACMA </w:t>
            </w:r>
            <w:r>
              <w:rPr>
                <w:lang w:eastAsia="en-US"/>
              </w:rPr>
              <w:t xml:space="preserve">also implemented a </w:t>
            </w:r>
            <w:r w:rsidRPr="006D2422">
              <w:rPr>
                <w:lang w:eastAsia="en-US"/>
              </w:rPr>
              <w:t>policy that existing 3.6 GHz point-to-multipoint licensees</w:t>
            </w:r>
            <w:r w:rsidR="00AE71F5">
              <w:rPr>
                <w:lang w:eastAsia="en-US"/>
              </w:rPr>
              <w:t xml:space="preserve"> including FWA services</w:t>
            </w:r>
            <w:r>
              <w:rPr>
                <w:lang w:eastAsia="en-US"/>
              </w:rPr>
              <w:t xml:space="preserve"> affected by planning decisions made in the band would</w:t>
            </w:r>
            <w:r w:rsidRPr="006D2422">
              <w:rPr>
                <w:lang w:eastAsia="en-US"/>
              </w:rPr>
              <w:t>, as far as possible, be</w:t>
            </w:r>
            <w:r>
              <w:rPr>
                <w:lang w:eastAsia="en-US"/>
              </w:rPr>
              <w:t xml:space="preserve"> given</w:t>
            </w:r>
            <w:r w:rsidRPr="006D2422">
              <w:rPr>
                <w:lang w:eastAsia="en-US"/>
              </w:rPr>
              <w:t xml:space="preserve"> </w:t>
            </w:r>
            <w:r>
              <w:rPr>
                <w:lang w:eastAsia="en-US"/>
              </w:rPr>
              <w:t xml:space="preserve">preference when assessing applications for apparatus </w:t>
            </w:r>
            <w:r w:rsidRPr="006D2422">
              <w:rPr>
                <w:lang w:eastAsia="en-US"/>
              </w:rPr>
              <w:t>licences in the</w:t>
            </w:r>
            <w:r w:rsidRPr="003A7804">
              <w:rPr>
                <w:lang w:eastAsia="en-US"/>
              </w:rPr>
              <w:t xml:space="preserve"> </w:t>
            </w:r>
            <w:r>
              <w:rPr>
                <w:lang w:eastAsia="en-US"/>
              </w:rPr>
              <w:t>5.6 GHz</w:t>
            </w:r>
            <w:r w:rsidRPr="006D2422">
              <w:rPr>
                <w:lang w:eastAsia="en-US"/>
              </w:rPr>
              <w:t xml:space="preserve"> band.</w:t>
            </w:r>
          </w:p>
          <w:p w14:paraId="5F496B4A" w14:textId="77777777" w:rsidR="00B959D2" w:rsidRDefault="00B959D2" w:rsidP="00B959D2">
            <w:pPr>
              <w:rPr>
                <w:rFonts w:cs="Arial"/>
              </w:rPr>
            </w:pPr>
            <w:r>
              <w:rPr>
                <w:rFonts w:eastAsia="Calibri" w:cs="Arial"/>
                <w:lang w:eastAsia="en-US"/>
              </w:rPr>
              <w:t xml:space="preserve">In December 2019 the ACMA published the </w:t>
            </w:r>
            <w:r w:rsidRPr="00792A96">
              <w:rPr>
                <w:rFonts w:eastAsia="Calibri" w:cs="Arial"/>
                <w:i/>
                <w:lang w:eastAsia="en-US"/>
              </w:rPr>
              <w:t xml:space="preserve">Radiocommunications Assignment and Licensing Instruction (RALI) </w:t>
            </w:r>
            <w:r w:rsidRPr="00951275">
              <w:rPr>
                <w:rFonts w:eastAsia="Calibri" w:cs="Arial"/>
                <w:lang w:eastAsia="en-US"/>
              </w:rPr>
              <w:t>FX23</w:t>
            </w:r>
            <w:r>
              <w:rPr>
                <w:rFonts w:eastAsia="Calibri" w:cs="Arial"/>
                <w:lang w:eastAsia="en-US"/>
              </w:rPr>
              <w:t xml:space="preserve">. </w:t>
            </w:r>
            <w:r w:rsidRPr="00951275">
              <w:rPr>
                <w:rFonts w:eastAsia="Calibri" w:cs="Arial"/>
                <w:lang w:eastAsia="en-US"/>
              </w:rPr>
              <w:t>This</w:t>
            </w:r>
            <w:r>
              <w:rPr>
                <w:rFonts w:eastAsia="Calibri" w:cs="Arial"/>
                <w:lang w:eastAsia="en-US"/>
              </w:rPr>
              <w:t xml:space="preserve"> RALI defines </w:t>
            </w:r>
            <w:r w:rsidRPr="005E1E92">
              <w:rPr>
                <w:rFonts w:cs="Arial"/>
              </w:rPr>
              <w:t xml:space="preserve">frequency coordination requirements for new </w:t>
            </w:r>
            <w:r>
              <w:rPr>
                <w:rFonts w:cs="Arial"/>
              </w:rPr>
              <w:t>point-to-multipoint</w:t>
            </w:r>
            <w:r w:rsidRPr="005E1E92">
              <w:rPr>
                <w:rFonts w:cs="Arial"/>
              </w:rPr>
              <w:t xml:space="preserve"> apparatus licences in the 5.6 GHz band</w:t>
            </w:r>
            <w:r>
              <w:rPr>
                <w:rFonts w:cs="Arial"/>
              </w:rPr>
              <w:t xml:space="preserve">. Before a new PMP licence is issued, prospective licensees must show they meet the defined protection criteria contained in RALI FX 23. </w:t>
            </w:r>
          </w:p>
          <w:p w14:paraId="1EA5DD5C" w14:textId="77777777" w:rsidR="00B959D2" w:rsidRDefault="00B959D2" w:rsidP="00B959D2">
            <w:r w:rsidRPr="00DA4052">
              <w:t xml:space="preserve">The 5.6 GHz band is currently available for licensing in areas that will not affect the possible transition of 3.6 GHz band </w:t>
            </w:r>
            <w:r>
              <w:rPr>
                <w:rFonts w:cs="Arial"/>
              </w:rPr>
              <w:t>point-to-multipoint</w:t>
            </w:r>
            <w:r w:rsidRPr="00DA4052">
              <w:t xml:space="preserve"> licences into the band. The ACMA is still considering the most appropriate process and timing for release of the band in other areas. </w:t>
            </w:r>
          </w:p>
          <w:p w14:paraId="0DC68C7D" w14:textId="77777777" w:rsidR="00172695" w:rsidRPr="000D3F63" w:rsidRDefault="00172695" w:rsidP="00DE694D">
            <w:pPr>
              <w:pStyle w:val="BodySubHeader"/>
              <w:rPr>
                <w:rFonts w:cs="Arial"/>
                <w:szCs w:val="20"/>
              </w:rPr>
            </w:pPr>
            <w:r w:rsidRPr="000D3F63">
              <w:t xml:space="preserve">Next </w:t>
            </w:r>
            <w:r w:rsidRPr="00DE694D">
              <w:t>steps</w:t>
            </w:r>
            <w:r w:rsidRPr="000D3F63">
              <w:rPr>
                <w:rFonts w:cs="Arial"/>
                <w:szCs w:val="20"/>
              </w:rPr>
              <w:t xml:space="preserve">  </w:t>
            </w:r>
          </w:p>
          <w:p w14:paraId="280DBF50" w14:textId="77777777" w:rsidR="00531E5D" w:rsidRDefault="00172695" w:rsidP="00E337A4">
            <w:pPr>
              <w:rPr>
                <w:rFonts w:cs="Arial"/>
                <w:szCs w:val="20"/>
              </w:rPr>
            </w:pPr>
            <w:r w:rsidRPr="00596594">
              <w:t>Further information</w:t>
            </w:r>
            <w:r w:rsidR="00627CDC">
              <w:t xml:space="preserve"> </w:t>
            </w:r>
            <w:r w:rsidR="00627CDC" w:rsidRPr="00DE694D">
              <w:rPr>
                <w:rFonts w:cs="Arial"/>
                <w:szCs w:val="20"/>
              </w:rPr>
              <w:t>about the mechanism to release spectrum in these areas</w:t>
            </w:r>
            <w:r w:rsidRPr="00596594">
              <w:t xml:space="preserve"> will be made available when options and arrangements have been developed.</w:t>
            </w:r>
            <w:r w:rsidR="00B959D2">
              <w:t xml:space="preserve"> </w:t>
            </w:r>
            <w:r w:rsidR="00B959D2">
              <w:rPr>
                <w:rFonts w:cs="Arial"/>
                <w:szCs w:val="20"/>
              </w:rPr>
              <w:t>The ACMA is aiming to finalise this issue in the first half of 2019</w:t>
            </w:r>
            <w:r w:rsidR="00A66E8D">
              <w:rPr>
                <w:rFonts w:cs="Arial"/>
                <w:szCs w:val="20"/>
              </w:rPr>
              <w:t>–</w:t>
            </w:r>
            <w:r w:rsidR="00B959D2">
              <w:rPr>
                <w:rFonts w:cs="Arial"/>
                <w:szCs w:val="20"/>
              </w:rPr>
              <w:t>20.</w:t>
            </w:r>
          </w:p>
          <w:p w14:paraId="78CC62D4" w14:textId="77777777" w:rsidR="00E337A4" w:rsidRDefault="00E337A4" w:rsidP="00E97880">
            <w:pPr>
              <w:pStyle w:val="Heading3"/>
            </w:pPr>
            <w:bookmarkStart w:id="241" w:name="_Toc5025693"/>
            <w:r w:rsidRPr="00A54E97">
              <w:t>26 GHz (24.25–27.5 GHz)</w:t>
            </w:r>
            <w:bookmarkEnd w:id="241"/>
          </w:p>
          <w:p w14:paraId="71055327" w14:textId="77777777" w:rsidR="00E337A4" w:rsidRDefault="00E337A4" w:rsidP="00E337A4">
            <w:r>
              <w:t xml:space="preserve">WRC-19 agenda item 1.13 is to consider identification of frequency </w:t>
            </w:r>
            <w:r w:rsidRPr="00BB38F9">
              <w:t>bands for the future development of IMT,</w:t>
            </w:r>
            <w:r>
              <w:t xml:space="preserve"> including possible additional allocations to the mobile service on a primary basis. This agenda item is widely acknowledged to be focusing on spectrum harmonisation requirements for 5G mobile broadband technologies. The 26 GHz band is one of a number of the bands under consideration as part of WRC-19 agenda item 1.13.</w:t>
            </w:r>
          </w:p>
          <w:p w14:paraId="7453E0A6" w14:textId="77777777" w:rsidR="00E337A4" w:rsidRDefault="00E337A4" w:rsidP="00E337A4">
            <w:r>
              <w:t xml:space="preserve">The ACMA hosted a spectrum tune-up in September 2017 to solicit further industry views on the use of 26 GHz and other </w:t>
            </w:r>
            <w:proofErr w:type="spellStart"/>
            <w:r>
              <w:t>mmWave</w:t>
            </w:r>
            <w:proofErr w:type="spellEnd"/>
            <w:r>
              <w:t xml:space="preserve"> bands by broadband services. The ACMA also invited formal submissions on the issues raised for discussion at the event. </w:t>
            </w:r>
          </w:p>
          <w:p w14:paraId="50DE2648" w14:textId="77777777" w:rsidR="00E337A4" w:rsidRDefault="00E337A4" w:rsidP="00E337A4">
            <w:r w:rsidRPr="001E5818">
              <w:t xml:space="preserve">The tune-up </w:t>
            </w:r>
            <w:r>
              <w:t xml:space="preserve">also </w:t>
            </w:r>
            <w:r w:rsidRPr="001E5818">
              <w:t xml:space="preserve">floated some early ACMA thinking on potential technical planning scenarios and posed a number of </w:t>
            </w:r>
            <w:hyperlink r:id="rId50" w:history="1">
              <w:r w:rsidRPr="001E5818">
                <w:rPr>
                  <w:rStyle w:val="Hyperlink"/>
                </w:rPr>
                <w:t>questions</w:t>
              </w:r>
            </w:hyperlink>
            <w:r w:rsidRPr="001E5818">
              <w:t xml:space="preserve"> for industry input</w:t>
            </w:r>
            <w:r>
              <w:t>—</w:t>
            </w:r>
            <w:r w:rsidRPr="001E5818">
              <w:t xml:space="preserve">27 </w:t>
            </w:r>
            <w:hyperlink r:id="rId51" w:history="1">
              <w:r w:rsidRPr="001E5818">
                <w:rPr>
                  <w:rStyle w:val="Hyperlink"/>
                </w:rPr>
                <w:t>responses</w:t>
              </w:r>
            </w:hyperlink>
            <w:r w:rsidRPr="001E5818">
              <w:t xml:space="preserve"> were received. </w:t>
            </w:r>
            <w:r w:rsidRPr="001E5818">
              <w:rPr>
                <w:bCs/>
              </w:rPr>
              <w:t>A key question</w:t>
            </w:r>
            <w:r>
              <w:rPr>
                <w:bCs/>
              </w:rPr>
              <w:t xml:space="preserve"> posed in the tune-up</w:t>
            </w:r>
            <w:r w:rsidRPr="001E5818">
              <w:rPr>
                <w:bCs/>
              </w:rPr>
              <w:t xml:space="preserve"> was the appropriateness of accelerating the band through the </w:t>
            </w:r>
            <w:r w:rsidRPr="001E5818">
              <w:rPr>
                <w:bCs/>
                <w:i/>
              </w:rPr>
              <w:t xml:space="preserve">initial </w:t>
            </w:r>
            <w:r w:rsidRPr="007846E9">
              <w:rPr>
                <w:i/>
              </w:rPr>
              <w:t xml:space="preserve">investigation </w:t>
            </w:r>
            <w:r>
              <w:t>stage</w:t>
            </w:r>
            <w:r w:rsidRPr="007846E9">
              <w:t xml:space="preserve"> to the </w:t>
            </w:r>
            <w:r w:rsidRPr="007846E9">
              <w:rPr>
                <w:i/>
              </w:rPr>
              <w:t xml:space="preserve">preliminary replanning </w:t>
            </w:r>
            <w:r w:rsidRPr="007846E9">
              <w:t xml:space="preserve">stage. </w:t>
            </w:r>
          </w:p>
          <w:p w14:paraId="756F7A3C" w14:textId="77777777" w:rsidR="00E337A4" w:rsidRPr="00CA3DBE" w:rsidRDefault="00E337A4" w:rsidP="00E337A4">
            <w:pPr>
              <w:pStyle w:val="BodySubHeader"/>
            </w:pPr>
            <w:r w:rsidRPr="00D7755E">
              <w:t>Recent developments</w:t>
            </w:r>
          </w:p>
          <w:p w14:paraId="50B14715" w14:textId="5F023634" w:rsidR="00E337A4" w:rsidRDefault="00E337A4" w:rsidP="00E337A4">
            <w:r>
              <w:t xml:space="preserve">Following the tune-up hosted in September 2017 and consideration of feedback, the ACMA decided to include the 26 GHz band under </w:t>
            </w:r>
            <w:r>
              <w:rPr>
                <w:i/>
              </w:rPr>
              <w:t>preliminary replanning</w:t>
            </w:r>
            <w:r>
              <w:t>.</w:t>
            </w:r>
          </w:p>
          <w:p w14:paraId="3C00D110" w14:textId="611CB9AF" w:rsidR="00E337A4" w:rsidRDefault="00E337A4" w:rsidP="00E337A4">
            <w:r>
              <w:lastRenderedPageBreak/>
              <w:t>The ACMA is looking closely to international developments, particularly in Europe, to assist in determining what conditions are appropriate to consider in any Australian release of the band. Aligning domestic technical arrangements with larger overseas markets is an important consideration to achieve economies of scale and coexistence with global services such as passive earth observation.</w:t>
            </w:r>
          </w:p>
          <w:p w14:paraId="066123E4" w14:textId="77777777" w:rsidR="00E337A4" w:rsidRDefault="00E337A4" w:rsidP="00E337A4">
            <w:r>
              <w:t xml:space="preserve">In July 2018, the Electronic Communication Committee of CEPT (ECC) released a decision titled </w:t>
            </w:r>
            <w:r w:rsidRPr="00113D99">
              <w:rPr>
                <w:i/>
              </w:rPr>
              <w:t>Harmonised technical conditions for Mobile/Fixed Communications Networks (MFCN) in the band 24.25</w:t>
            </w:r>
            <w:r>
              <w:rPr>
                <w:i/>
              </w:rPr>
              <w:t>–</w:t>
            </w:r>
            <w:r w:rsidRPr="00113D99">
              <w:rPr>
                <w:i/>
              </w:rPr>
              <w:t>27.5 GHz</w:t>
            </w:r>
            <w:r>
              <w:t xml:space="preserve">. This decision addressed sharing and compatibility conditions to ensure coexistence with other spectrum users and included technical conditions to achieve this coexistence. </w:t>
            </w:r>
          </w:p>
          <w:p w14:paraId="57AA8378" w14:textId="77777777" w:rsidR="00E337A4" w:rsidRPr="00177387" w:rsidRDefault="00E337A4" w:rsidP="00E337A4">
            <w:r>
              <w:t xml:space="preserve">In September 2018, the ACMA released an </w:t>
            </w:r>
            <w:hyperlink r:id="rId52" w:history="1">
              <w:r w:rsidRPr="005F7D98">
                <w:rPr>
                  <w:rStyle w:val="Hyperlink"/>
                </w:rPr>
                <w:t>options paper</w:t>
              </w:r>
            </w:hyperlink>
            <w:r>
              <w:t xml:space="preserve"> consisting of </w:t>
            </w:r>
            <w:r w:rsidRPr="00177387">
              <w:t>a range of potential options</w:t>
            </w:r>
            <w:r>
              <w:t>,</w:t>
            </w:r>
            <w:r w:rsidRPr="00177387">
              <w:t xml:space="preserve"> both</w:t>
            </w:r>
            <w:r>
              <w:t xml:space="preserve"> for</w:t>
            </w:r>
            <w:r w:rsidRPr="00177387">
              <w:t xml:space="preserve"> </w:t>
            </w:r>
            <w:r w:rsidRPr="00177387">
              <w:rPr>
                <w:i/>
              </w:rPr>
              <w:t xml:space="preserve">what </w:t>
            </w:r>
            <w:r w:rsidRPr="00177387">
              <w:t xml:space="preserve">should be allocated, in terms of specific frequencies and areas, and </w:t>
            </w:r>
            <w:r w:rsidRPr="00177387">
              <w:rPr>
                <w:i/>
              </w:rPr>
              <w:t xml:space="preserve">how </w:t>
            </w:r>
            <w:r w:rsidRPr="00177387">
              <w:t>the band should be allocated, in terms of which licence types should be adopted to meet a range of potentially varying wireless broadband use cases.</w:t>
            </w:r>
            <w:r>
              <w:t xml:space="preserve"> 19 </w:t>
            </w:r>
            <w:hyperlink r:id="rId53" w:history="1">
              <w:r w:rsidRPr="005F7D98">
                <w:rPr>
                  <w:rStyle w:val="Hyperlink"/>
                </w:rPr>
                <w:t>submissions</w:t>
              </w:r>
            </w:hyperlink>
            <w:r>
              <w:t xml:space="preserve"> were received.</w:t>
            </w:r>
            <w:r w:rsidRPr="00177387">
              <w:t xml:space="preserve"> </w:t>
            </w:r>
          </w:p>
          <w:p w14:paraId="438281CA" w14:textId="77777777" w:rsidR="00E337A4" w:rsidRPr="00CA3DBE" w:rsidRDefault="00E337A4" w:rsidP="00E337A4">
            <w:pPr>
              <w:pStyle w:val="BodySubHeader"/>
            </w:pPr>
            <w:r w:rsidRPr="00D7755E">
              <w:t>Next steps</w:t>
            </w:r>
          </w:p>
          <w:p w14:paraId="00B9EB24" w14:textId="76B99166" w:rsidR="00E337A4" w:rsidRPr="00AD1C00" w:rsidRDefault="00E337A4" w:rsidP="00E337A4">
            <w:r>
              <w:t xml:space="preserve">Using the information obtained from submissions to the options paper, the ACMA </w:t>
            </w:r>
            <w:r w:rsidR="00074CE7">
              <w:t>has</w:t>
            </w:r>
            <w:r>
              <w:t xml:space="preserve"> </w:t>
            </w:r>
            <w:r w:rsidR="00071FEB">
              <w:t>released</w:t>
            </w:r>
            <w:r>
              <w:t xml:space="preserve"> a paper detailing decisions and preliminary views for the introduction of wireless broadband in the 26 GHz band.</w:t>
            </w:r>
          </w:p>
          <w:p w14:paraId="777E85DD" w14:textId="77777777" w:rsidR="00E337A4" w:rsidRDefault="00E337A4" w:rsidP="00E337A4">
            <w:pPr>
              <w:keepNext/>
              <w:keepLines/>
            </w:pPr>
            <w:r>
              <w:t>Internationally, as discussed above in the monitoring section regarding other bands being studied under WRC-</w:t>
            </w:r>
            <w:r w:rsidRPr="00E53CF1">
              <w:t>19 agenda item 1</w:t>
            </w:r>
            <w:r>
              <w:t xml:space="preserve">.13, the ACMA intends to continue engaging with stakeholders via the usual international preparatory process to develop Australian positions on WRC-19 agenda item 1.13, which includes the 26 GHz band. </w:t>
            </w:r>
          </w:p>
          <w:p w14:paraId="5E3083F1" w14:textId="4BE25B8F" w:rsidR="00172695" w:rsidRDefault="00E337A4" w:rsidP="00DE694D">
            <w:pPr>
              <w:rPr>
                <w:b/>
              </w:rPr>
            </w:pPr>
            <w:r>
              <w:t xml:space="preserve">The current Australian Preliminary View considers the 26 GHz band favourably for a possible IMT identification: </w:t>
            </w:r>
            <w:r w:rsidRPr="00B851E3">
              <w:t xml:space="preserve">Based on current studies, </w:t>
            </w:r>
            <w:r>
              <w:t xml:space="preserve">the Australian position is </w:t>
            </w:r>
            <w:r w:rsidRPr="00B851E3">
              <w:t>that some or all the 24.25</w:t>
            </w:r>
            <w:r>
              <w:t>–</w:t>
            </w:r>
            <w:r w:rsidRPr="00B851E3">
              <w:t>27.5 GHz frequency band is likely to be a suitable candidate for an IMT identification. Australia will monitor ongoing studies on this band and will revise its opinion on this band as necessary.</w:t>
            </w:r>
          </w:p>
        </w:tc>
      </w:tr>
    </w:tbl>
    <w:tbl>
      <w:tblPr>
        <w:tblStyle w:val="TableGrid"/>
        <w:tblW w:w="7792" w:type="dxa"/>
        <w:tblLook w:val="04A0" w:firstRow="1" w:lastRow="0" w:firstColumn="1" w:lastColumn="0" w:noHBand="0" w:noVBand="1"/>
        <w:tblCaption w:val="Monitoring"/>
      </w:tblPr>
      <w:tblGrid>
        <w:gridCol w:w="7792"/>
      </w:tblGrid>
      <w:tr w:rsidR="00DA4557" w14:paraId="45BA92CD" w14:textId="77777777" w:rsidTr="00DE694D">
        <w:tc>
          <w:tcPr>
            <w:tcW w:w="7792" w:type="dxa"/>
            <w:shd w:val="clear" w:color="auto" w:fill="F2F2F2" w:themeFill="background1" w:themeFillShade="F2"/>
          </w:tcPr>
          <w:p w14:paraId="1E2FFEFF" w14:textId="1A5906C0" w:rsidR="00DA4557" w:rsidRPr="00DE694D" w:rsidRDefault="00DA4557" w:rsidP="00DE694D">
            <w:pPr>
              <w:spacing w:before="120"/>
              <w:rPr>
                <w:b/>
              </w:rPr>
            </w:pPr>
            <w:r w:rsidRPr="00DE694D">
              <w:rPr>
                <w:b/>
              </w:rPr>
              <w:lastRenderedPageBreak/>
              <w:t>Consultation question</w:t>
            </w:r>
          </w:p>
          <w:p w14:paraId="15219E17" w14:textId="01B880C0" w:rsidR="00DA4557" w:rsidRPr="00155D31" w:rsidRDefault="00DA4557" w:rsidP="00DE694D">
            <w:pPr>
              <w:pStyle w:val="ListParagraph"/>
              <w:numPr>
                <w:ilvl w:val="0"/>
                <w:numId w:val="60"/>
              </w:numPr>
              <w:spacing w:after="360"/>
            </w:pPr>
            <w:r w:rsidRPr="00DE694D">
              <w:t>Do you have any feedback on the ACMA’s plans for monitoring, initial investigation, preliminary replanning or re-farming of bands?</w:t>
            </w:r>
          </w:p>
        </w:tc>
      </w:tr>
    </w:tbl>
    <w:p w14:paraId="2611C854" w14:textId="77777777" w:rsidR="00DA4557" w:rsidRDefault="00DA4557" w:rsidP="00DE694D"/>
    <w:p w14:paraId="2A0AE75B" w14:textId="71AFFDC2" w:rsidR="00F46EA9" w:rsidRPr="005759E7" w:rsidRDefault="00CB5884" w:rsidP="00DE694D">
      <w:pPr>
        <w:pStyle w:val="Heading2"/>
        <w:keepLines/>
      </w:pPr>
      <w:bookmarkStart w:id="242" w:name="_Optimising_established_planning"/>
      <w:bookmarkStart w:id="243" w:name="_Toc510104951"/>
      <w:bookmarkStart w:id="244" w:name="_Toc510105748"/>
      <w:bookmarkStart w:id="245" w:name="_Toc510795080"/>
      <w:bookmarkStart w:id="246" w:name="_Toc511716282"/>
      <w:bookmarkStart w:id="247" w:name="_Toc511719093"/>
      <w:bookmarkStart w:id="248" w:name="_Toc522794088"/>
      <w:bookmarkEnd w:id="242"/>
      <w:r>
        <w:br w:type="column"/>
      </w:r>
      <w:bookmarkStart w:id="249" w:name="_Toc5025694"/>
      <w:r w:rsidR="00F46EA9" w:rsidRPr="005759E7">
        <w:lastRenderedPageBreak/>
        <w:t>Optimising established planning frameworks</w:t>
      </w:r>
      <w:bookmarkEnd w:id="243"/>
      <w:bookmarkEnd w:id="244"/>
      <w:bookmarkEnd w:id="245"/>
      <w:bookmarkEnd w:id="246"/>
      <w:bookmarkEnd w:id="247"/>
      <w:bookmarkEnd w:id="248"/>
      <w:bookmarkEnd w:id="249"/>
    </w:p>
    <w:p w14:paraId="097EB5EC" w14:textId="6844BC5F" w:rsidR="00F24C8A" w:rsidRDefault="00F22FDB" w:rsidP="00DE694D">
      <w:pPr>
        <w:keepNext/>
        <w:keepLines/>
      </w:pPr>
      <w:r>
        <w:t>T</w:t>
      </w:r>
      <w:r w:rsidR="0066634A">
        <w:t>he optimisation of e</w:t>
      </w:r>
      <w:r w:rsidR="00F64B58" w:rsidRPr="00B47C14">
        <w:t>xisting spectrum</w:t>
      </w:r>
      <w:r w:rsidR="00E706F9">
        <w:t>-</w:t>
      </w:r>
      <w:r w:rsidR="00F15BFE">
        <w:t>planning arrangements</w:t>
      </w:r>
      <w:r>
        <w:t xml:space="preserve"> is also a significant planning priority for the ACMA</w:t>
      </w:r>
      <w:r w:rsidR="00F15BFE">
        <w:t>.</w:t>
      </w:r>
      <w:r>
        <w:t xml:space="preserve"> </w:t>
      </w:r>
      <w:r w:rsidR="00F15BFE">
        <w:t xml:space="preserve">This is typically </w:t>
      </w:r>
      <w:r w:rsidR="0066634A">
        <w:t>achieved through updates to</w:t>
      </w:r>
      <w:r w:rsidR="00D42D90">
        <w:t xml:space="preserve"> elements of</w:t>
      </w:r>
      <w:r w:rsidR="0066634A">
        <w:t xml:space="preserve"> </w:t>
      </w:r>
      <w:r w:rsidR="00F15BFE">
        <w:t>spectrum</w:t>
      </w:r>
      <w:r w:rsidR="00E706F9">
        <w:t>-</w:t>
      </w:r>
      <w:r w:rsidR="00F15BFE">
        <w:t>planning technical framework such as band plans (either administrative or legislative</w:t>
      </w:r>
      <w:r w:rsidR="002957B9">
        <w:t>)</w:t>
      </w:r>
      <w:r w:rsidR="00F15BFE">
        <w:t xml:space="preserve"> and Radiocommunication Assignment and Licensing </w:t>
      </w:r>
      <w:r w:rsidR="00F15BFE" w:rsidRPr="00E53CF1">
        <w:t>Instructions (RALIs).</w:t>
      </w:r>
      <w:r w:rsidR="00F15BFE">
        <w:t xml:space="preserve"> </w:t>
      </w:r>
    </w:p>
    <w:p w14:paraId="7F5A5FBA" w14:textId="1CDDF14C" w:rsidR="00F64B58" w:rsidRDefault="00E706F9">
      <w:r>
        <w:t>T</w:t>
      </w:r>
      <w:r w:rsidR="00F15BFE">
        <w:t xml:space="preserve">hese changes </w:t>
      </w:r>
      <w:r>
        <w:t xml:space="preserve">are intended </w:t>
      </w:r>
      <w:r w:rsidR="00F15BFE">
        <w:t xml:space="preserve">to </w:t>
      </w:r>
      <w:r w:rsidR="0066634A">
        <w:t>address band</w:t>
      </w:r>
      <w:r w:rsidR="00F15BFE">
        <w:t xml:space="preserve"> and service</w:t>
      </w:r>
      <w:r>
        <w:t>-</w:t>
      </w:r>
      <w:r w:rsidR="0066634A">
        <w:t xml:space="preserve">specific </w:t>
      </w:r>
      <w:r w:rsidR="00472F67">
        <w:t>issues</w:t>
      </w:r>
      <w:r w:rsidR="00F15BFE">
        <w:t xml:space="preserve"> identified within existing frameworks</w:t>
      </w:r>
      <w:r>
        <w:t>—</w:t>
      </w:r>
      <w:r w:rsidR="00F15BFE">
        <w:t>for example</w:t>
      </w:r>
      <w:r>
        <w:t>,</w:t>
      </w:r>
      <w:r w:rsidR="00F15BFE">
        <w:t xml:space="preserve"> by </w:t>
      </w:r>
      <w:r w:rsidR="00F64B58" w:rsidRPr="00B47C14">
        <w:t xml:space="preserve">addressing </w:t>
      </w:r>
      <w:r w:rsidR="00F15BFE">
        <w:t>technology developments, enabling sharing opportunities and other changes to improve the efficient use of the spectrum</w:t>
      </w:r>
      <w:r w:rsidR="00F64B58" w:rsidRPr="00B47C14">
        <w:t>.</w:t>
      </w:r>
    </w:p>
    <w:p w14:paraId="458752B3" w14:textId="39A0485C" w:rsidR="00AF6C4C" w:rsidRDefault="00AF6C4C" w:rsidP="00AF6C4C">
      <w:r>
        <w:t xml:space="preserve">In coming months, the ACMA intends to work within ITU-R Working Party 5A (responsible for recommendations and reports pertaining to </w:t>
      </w:r>
      <w:r w:rsidRPr="00DE694D">
        <w:t>public protection and disaster relief</w:t>
      </w:r>
      <w:r>
        <w:rPr>
          <w:i/>
        </w:rPr>
        <w:t xml:space="preserve"> </w:t>
      </w:r>
      <w:r>
        <w:t>(PPDR) communications, among other things) to include channelling arrangements for 5G NR in documents relevant to 4.9 GHz PPDR arrangements. The benefit of this is that it may help pave the way for public safety-grade 5G equipment that could operate under the 4.9 GHz</w:t>
      </w:r>
      <w:r w:rsidR="00D42D90">
        <w:t xml:space="preserve"> emergency services</w:t>
      </w:r>
      <w:r>
        <w:t xml:space="preserve"> class licence and could augment a future PSMB capability.</w:t>
      </w:r>
      <w:r w:rsidR="00D42D90">
        <w:t xml:space="preserve"> </w:t>
      </w:r>
      <w:proofErr w:type="spellStart"/>
      <w:r w:rsidR="00D42D90">
        <w:t>DoCA</w:t>
      </w:r>
      <w:proofErr w:type="spellEnd"/>
      <w:r w:rsidR="00D42D90">
        <w:t xml:space="preserve"> </w:t>
      </w:r>
      <w:r w:rsidR="00D42D90" w:rsidRPr="00DE694D">
        <w:t>is</w:t>
      </w:r>
      <w:r w:rsidR="00D42D90">
        <w:t xml:space="preserve"> considering future PSMB arrangements, which are centred around a 4G capability using 4G frequencies, in consultation with states and territories. Looking forward, the pre-existence of the 4.9 GHz class licence might potentially represent a path from progression from 4G to 5G-based PSMB systems in the longer term, if suitable equipment and protocols are established. The work within WP 5A is a first step in step in this process.</w:t>
      </w:r>
    </w:p>
    <w:p w14:paraId="49176253" w14:textId="77777777" w:rsidR="00472F67" w:rsidRDefault="00561CF6" w:rsidP="00D7755E">
      <w:r>
        <w:t xml:space="preserve">The ACMA’s </w:t>
      </w:r>
      <w:r w:rsidR="00472F67">
        <w:t>optimisation work across a range of different spectrum uses</w:t>
      </w:r>
      <w:r>
        <w:t xml:space="preserve"> is outlined below</w:t>
      </w:r>
      <w:r w:rsidR="00472F67">
        <w:t>.</w:t>
      </w:r>
    </w:p>
    <w:p w14:paraId="2123D874" w14:textId="77777777" w:rsidR="00F81DC1" w:rsidRPr="0027128C" w:rsidRDefault="00F81DC1" w:rsidP="00D7755E">
      <w:pPr>
        <w:pStyle w:val="Heading3"/>
        <w:keepNext w:val="0"/>
      </w:pPr>
      <w:bookmarkStart w:id="250" w:name="_Toc511716283"/>
      <w:bookmarkStart w:id="251" w:name="_Toc511719094"/>
      <w:bookmarkStart w:id="252" w:name="_Toc522794089"/>
      <w:bookmarkStart w:id="253" w:name="_Toc5025695"/>
      <w:bookmarkStart w:id="254" w:name="_Toc510104952"/>
      <w:bookmarkStart w:id="255" w:name="_Toc510105749"/>
      <w:bookmarkStart w:id="256" w:name="_Toc510795081"/>
      <w:r w:rsidRPr="0027128C">
        <w:t>Spectrum management advice and considering of out</w:t>
      </w:r>
      <w:r w:rsidR="00561CF6">
        <w:t>-</w:t>
      </w:r>
      <w:r w:rsidRPr="0027128C">
        <w:t>of</w:t>
      </w:r>
      <w:r w:rsidR="00561CF6">
        <w:t>-</w:t>
      </w:r>
      <w:r w:rsidRPr="0027128C">
        <w:t>policy requests</w:t>
      </w:r>
      <w:bookmarkEnd w:id="250"/>
      <w:bookmarkEnd w:id="251"/>
      <w:bookmarkEnd w:id="252"/>
      <w:bookmarkEnd w:id="253"/>
    </w:p>
    <w:p w14:paraId="7733ACDC" w14:textId="6999A189" w:rsidR="00F81DC1" w:rsidRPr="0027128C" w:rsidRDefault="00F22FDB" w:rsidP="00D7755E">
      <w:r>
        <w:t>T</w:t>
      </w:r>
      <w:r w:rsidR="00F81DC1" w:rsidRPr="0027128C">
        <w:t xml:space="preserve">he ACMA has an ongoing role </w:t>
      </w:r>
      <w:r w:rsidR="00841827">
        <w:t>in</w:t>
      </w:r>
      <w:r w:rsidR="00F81DC1" w:rsidRPr="0027128C">
        <w:t xml:space="preserve"> providing advice on spectrum a</w:t>
      </w:r>
      <w:r w:rsidR="00F81DC1">
        <w:t>rrangements, including advice on</w:t>
      </w:r>
      <w:r w:rsidR="00F81DC1" w:rsidRPr="0027128C">
        <w:t xml:space="preserve"> out</w:t>
      </w:r>
      <w:r w:rsidR="00561CF6">
        <w:t>-</w:t>
      </w:r>
      <w:r w:rsidR="00F81DC1" w:rsidRPr="0027128C">
        <w:t>of</w:t>
      </w:r>
      <w:r w:rsidR="00561CF6">
        <w:t>-</w:t>
      </w:r>
      <w:r w:rsidR="00F81DC1" w:rsidRPr="0027128C">
        <w:t>policy request</w:t>
      </w:r>
      <w:r w:rsidR="00F81DC1">
        <w:t>s</w:t>
      </w:r>
      <w:r w:rsidR="00F81DC1" w:rsidRPr="0027128C">
        <w:t xml:space="preserve"> and consider</w:t>
      </w:r>
      <w:r w:rsidR="00F81DC1">
        <w:t>ing</w:t>
      </w:r>
      <w:r w:rsidR="00F81DC1" w:rsidRPr="0027128C">
        <w:t xml:space="preserve"> applications for trial demonstration of new technologies.</w:t>
      </w:r>
      <w:r w:rsidR="00447762">
        <w:t xml:space="preserve"> </w:t>
      </w:r>
      <w:r w:rsidR="00F81DC1" w:rsidRPr="0027128C">
        <w:t xml:space="preserve"> </w:t>
      </w:r>
    </w:p>
    <w:p w14:paraId="147B6225" w14:textId="094FFD67" w:rsidR="00472F67" w:rsidRDefault="00F46EA9" w:rsidP="00E26672">
      <w:pPr>
        <w:pStyle w:val="Heading3"/>
        <w:keepNext w:val="0"/>
      </w:pPr>
      <w:bookmarkStart w:id="257" w:name="_Toc511716284"/>
      <w:bookmarkStart w:id="258" w:name="_Toc511719095"/>
      <w:bookmarkStart w:id="259" w:name="_Toc522794090"/>
      <w:bookmarkStart w:id="260" w:name="_Toc5025696"/>
      <w:r>
        <w:t>Broadcasting</w:t>
      </w:r>
      <w:bookmarkEnd w:id="254"/>
      <w:bookmarkEnd w:id="255"/>
      <w:bookmarkEnd w:id="256"/>
      <w:bookmarkEnd w:id="257"/>
      <w:bookmarkEnd w:id="258"/>
      <w:bookmarkEnd w:id="259"/>
      <w:bookmarkEnd w:id="260"/>
    </w:p>
    <w:p w14:paraId="715DF41C" w14:textId="77777777" w:rsidR="000901C6" w:rsidRDefault="00491DC5" w:rsidP="00E26672">
      <w:r>
        <w:t xml:space="preserve">Since the restack of television spectrum for the 700 MHz digital dividend, </w:t>
      </w:r>
      <w:r w:rsidR="000F52C2">
        <w:t xml:space="preserve">only </w:t>
      </w:r>
      <w:r>
        <w:t xml:space="preserve">limited further optimisation work has been necessary in these bands. </w:t>
      </w:r>
      <w:r w:rsidR="000901C6">
        <w:t>In contrast, there are significant activities progressing in the radio broadcasting spectrum.</w:t>
      </w:r>
    </w:p>
    <w:p w14:paraId="6559648A" w14:textId="746BC109" w:rsidR="00F42E07" w:rsidRDefault="000901C6">
      <w:r>
        <w:t>The ACMA has been working closely with the radio industry on two key initiatives for regional Australia—</w:t>
      </w:r>
      <w:r w:rsidR="00DB69B8">
        <w:t>e</w:t>
      </w:r>
      <w:r>
        <w:t xml:space="preserve">xpansion of digital radio to regional areas, and the conversion to FM of the heritage </w:t>
      </w:r>
      <w:r w:rsidR="000F52C2">
        <w:t xml:space="preserve">commercial </w:t>
      </w:r>
      <w:r>
        <w:t>AM station in single licensee regional markets</w:t>
      </w:r>
      <w:r w:rsidR="005F18BE">
        <w:t>.</w:t>
      </w:r>
      <w:r>
        <w:t xml:space="preserve"> </w:t>
      </w:r>
    </w:p>
    <w:p w14:paraId="3172F453" w14:textId="77777777" w:rsidR="00D50A45" w:rsidRDefault="00D50A45">
      <w:pPr>
        <w:pStyle w:val="BodySubHeader"/>
      </w:pPr>
      <w:bookmarkStart w:id="261" w:name="_Hlk2168169"/>
      <w:r>
        <w:t xml:space="preserve">Progress achieved </w:t>
      </w:r>
    </w:p>
    <w:p w14:paraId="02032E78" w14:textId="008A238D" w:rsidR="001639FB" w:rsidRPr="00D7755E" w:rsidRDefault="00C82472" w:rsidP="00DE694D">
      <w:pPr>
        <w:pStyle w:val="ListBullet"/>
        <w:keepNext w:val="0"/>
        <w:keepLines w:val="0"/>
      </w:pPr>
      <w:bookmarkStart w:id="262" w:name="_Hlk2163342"/>
      <w:r w:rsidRPr="00D7755E">
        <w:t xml:space="preserve">In late 2018 the ACMA </w:t>
      </w:r>
      <w:r w:rsidR="001639FB" w:rsidRPr="00D7755E">
        <w:t xml:space="preserve">licensed a trial </w:t>
      </w:r>
      <w:r w:rsidR="00B548F2" w:rsidRPr="00D7755E">
        <w:t xml:space="preserve">of </w:t>
      </w:r>
      <w:r w:rsidR="001639FB" w:rsidRPr="00D7755E">
        <w:t>DVB-T</w:t>
      </w:r>
      <w:r w:rsidR="00EE0639" w:rsidRPr="00D7755E">
        <w:t>2 technology for Free T</w:t>
      </w:r>
      <w:r w:rsidR="00B548F2" w:rsidRPr="00D7755E">
        <w:t>V</w:t>
      </w:r>
      <w:r w:rsidR="00EE0639" w:rsidRPr="00D7755E">
        <w:t xml:space="preserve"> Australia in Brisbane and the Gold Coast. This trial focused on the performance of DVB-T2 in a </w:t>
      </w:r>
      <w:r w:rsidRPr="00D7755E">
        <w:t xml:space="preserve">UHF </w:t>
      </w:r>
      <w:r w:rsidR="00EE0639" w:rsidRPr="00D7755E">
        <w:t>single frequency network environment</w:t>
      </w:r>
      <w:r w:rsidR="003C69B2" w:rsidRPr="00D7755E">
        <w:t>.</w:t>
      </w:r>
      <w:r w:rsidR="00EE0639" w:rsidRPr="00D7755E">
        <w:t xml:space="preserve"> </w:t>
      </w:r>
      <w:r w:rsidR="003C69B2" w:rsidRPr="00D7755E">
        <w:t>I</w:t>
      </w:r>
      <w:r w:rsidR="00EE0639" w:rsidRPr="00D7755E">
        <w:t xml:space="preserve">t </w:t>
      </w:r>
      <w:r w:rsidRPr="00D7755E">
        <w:t>follows on from the successful VHF trial in Sydney earlier in 2018.</w:t>
      </w:r>
    </w:p>
    <w:p w14:paraId="66DE1DB3" w14:textId="48E5262E" w:rsidR="00B548F2" w:rsidRPr="00D7755E" w:rsidRDefault="00B548F2" w:rsidP="00DE694D">
      <w:pPr>
        <w:pStyle w:val="ListBullet"/>
        <w:keepNext w:val="0"/>
        <w:keepLines w:val="0"/>
      </w:pPr>
      <w:r w:rsidRPr="00D7755E">
        <w:t>The ACMA completed</w:t>
      </w:r>
      <w:r w:rsidR="00CA3436" w:rsidRPr="00D7755E">
        <w:t xml:space="preserve"> Australia-wide frequency allotment planning for DAB+ digital radio. Completion of this planning enabled the ACMA to vary the Canberra Digital Radio Channel plan to increase power from 5 to 20 kW.</w:t>
      </w:r>
    </w:p>
    <w:bookmarkEnd w:id="262"/>
    <w:p w14:paraId="35DCC0C0" w14:textId="0D224687" w:rsidR="009630BF" w:rsidRPr="00D7755E" w:rsidRDefault="009630BF" w:rsidP="00DE694D">
      <w:pPr>
        <w:pStyle w:val="ListBullet"/>
        <w:keepNext w:val="0"/>
        <w:keepLines w:val="0"/>
      </w:pPr>
      <w:r w:rsidRPr="00D7755E">
        <w:t>In September 2018, the ACMA issued 15-year digital radio multiplex transmitter licences for the commercial and community broadcasters in Canberra</w:t>
      </w:r>
      <w:r w:rsidR="00B548F2" w:rsidRPr="00D7755E">
        <w:t>,</w:t>
      </w:r>
      <w:r w:rsidRPr="00D7755E" w:rsidDel="00B548F2">
        <w:t xml:space="preserve"> </w:t>
      </w:r>
      <w:r w:rsidRPr="00D7755E">
        <w:t xml:space="preserve">Darwin </w:t>
      </w:r>
      <w:r w:rsidR="00883A72" w:rsidRPr="00D7755E">
        <w:t>a</w:t>
      </w:r>
      <w:r w:rsidR="00B548F2" w:rsidRPr="00D7755E">
        <w:t>nd Hobart</w:t>
      </w:r>
      <w:r w:rsidR="005A322C">
        <w:t>.</w:t>
      </w:r>
      <w:r w:rsidR="003C714E">
        <w:t xml:space="preserve"> </w:t>
      </w:r>
      <w:r w:rsidR="00B548F2" w:rsidRPr="00D7755E">
        <w:t xml:space="preserve">The services under the licences are likely to commence </w:t>
      </w:r>
      <w:r w:rsidR="00B548F2" w:rsidRPr="00D7755E" w:rsidDel="00B548F2">
        <w:t>i</w:t>
      </w:r>
      <w:r w:rsidR="00B548F2" w:rsidRPr="00D7755E">
        <w:t>n the fourth quarter of 2018</w:t>
      </w:r>
      <w:r w:rsidR="005A322C">
        <w:t>–</w:t>
      </w:r>
      <w:r w:rsidR="00B548F2" w:rsidRPr="00D7755E">
        <w:t>19. The services in Canberra and Darwin will succeed the current trial services.</w:t>
      </w:r>
    </w:p>
    <w:p w14:paraId="1A0E451F" w14:textId="23E2B0CE" w:rsidR="00C52474" w:rsidRPr="00D7755E" w:rsidRDefault="00C52474" w:rsidP="00DE694D">
      <w:pPr>
        <w:pStyle w:val="ListBullet"/>
      </w:pPr>
      <w:r w:rsidRPr="00D7755E">
        <w:lastRenderedPageBreak/>
        <w:t>The ACMA consulted on a new digital radio channel plan for Mandurah, W</w:t>
      </w:r>
      <w:r w:rsidR="002651E4" w:rsidRPr="00D7755E">
        <w:t xml:space="preserve">estern </w:t>
      </w:r>
      <w:r w:rsidRPr="00D7755E">
        <w:t>A</w:t>
      </w:r>
      <w:r w:rsidR="002651E4" w:rsidRPr="00D7755E">
        <w:t>ustralia</w:t>
      </w:r>
      <w:r w:rsidRPr="00D7755E">
        <w:t>.</w:t>
      </w:r>
    </w:p>
    <w:p w14:paraId="0F7810AA" w14:textId="7CCEA377" w:rsidR="00C52474" w:rsidRPr="00D7755E" w:rsidRDefault="00474A22" w:rsidP="00DE694D">
      <w:pPr>
        <w:pStyle w:val="ListBullet"/>
      </w:pPr>
      <w:r w:rsidRPr="00D7755E">
        <w:t>In 2018</w:t>
      </w:r>
      <w:r w:rsidR="002651E4" w:rsidRPr="00D7755E">
        <w:t>–</w:t>
      </w:r>
      <w:r w:rsidRPr="00D7755E">
        <w:t>2019 t</w:t>
      </w:r>
      <w:r w:rsidR="00C52474" w:rsidRPr="00D7755E">
        <w:t xml:space="preserve">he ACMA approved AM–FM conversions for Bathurst, Burnie, Devonport, </w:t>
      </w:r>
      <w:r w:rsidRPr="00D7755E">
        <w:t>Queenstown and Mandurah. It has consulted on proposals for conversions in Scottsdale, Mandurah, Bega, Cooma and Goulburn</w:t>
      </w:r>
      <w:r w:rsidR="000301A7">
        <w:t>.</w:t>
      </w:r>
    </w:p>
    <w:p w14:paraId="05F0E80C" w14:textId="5D74FFFF" w:rsidR="00D50A45" w:rsidRPr="00AF6C4C" w:rsidRDefault="00D50A45" w:rsidP="00D7755E">
      <w:pPr>
        <w:pStyle w:val="BodySubHeader"/>
      </w:pPr>
      <w:r w:rsidRPr="00AF6C4C">
        <w:t xml:space="preserve">Activities planned for </w:t>
      </w:r>
      <w:r w:rsidR="00041CA4" w:rsidRPr="0045598D">
        <w:t>20</w:t>
      </w:r>
      <w:r w:rsidR="00F00E00">
        <w:t>1</w:t>
      </w:r>
      <w:r w:rsidR="00163EA5">
        <w:t>9</w:t>
      </w:r>
      <w:r w:rsidR="00561CF6" w:rsidRPr="0045598D">
        <w:t>–</w:t>
      </w:r>
      <w:r w:rsidR="00041CA4" w:rsidRPr="00AF6C4C">
        <w:t>20</w:t>
      </w:r>
      <w:r w:rsidRPr="00AF6C4C">
        <w:t xml:space="preserve"> </w:t>
      </w:r>
    </w:p>
    <w:p w14:paraId="0602C7B0" w14:textId="77777777" w:rsidR="00F46EA9" w:rsidRPr="00AF6C4C" w:rsidRDefault="00472F67" w:rsidP="00D7755E">
      <w:pPr>
        <w:pStyle w:val="BodySubHeader"/>
      </w:pPr>
      <w:r w:rsidRPr="00AF6C4C">
        <w:t>D</w:t>
      </w:r>
      <w:r w:rsidR="00F46EA9" w:rsidRPr="00AF6C4C">
        <w:t>igital radio</w:t>
      </w:r>
      <w:r w:rsidR="00692645" w:rsidRPr="00AF6C4C">
        <w:t xml:space="preserve"> and</w:t>
      </w:r>
      <w:r w:rsidR="00F46EA9" w:rsidRPr="00AF6C4C">
        <w:t xml:space="preserve"> AM to FM conversion</w:t>
      </w:r>
    </w:p>
    <w:p w14:paraId="33B36EAC" w14:textId="513E32CB" w:rsidR="003D7FAC" w:rsidRPr="00AF6C4C" w:rsidRDefault="003D7FAC" w:rsidP="00D7755E">
      <w:r w:rsidRPr="00AF6C4C">
        <w:t>Over the next few years,</w:t>
      </w:r>
      <w:r w:rsidRPr="00AF6C4C" w:rsidDel="00B04F39">
        <w:t xml:space="preserve"> </w:t>
      </w:r>
      <w:r w:rsidRPr="00AF6C4C">
        <w:t xml:space="preserve">the main priorities in radio broadcasting will continue to include planning for </w:t>
      </w:r>
      <w:r w:rsidR="00474A22" w:rsidRPr="00AF6C4C">
        <w:t xml:space="preserve">regional </w:t>
      </w:r>
      <w:r w:rsidRPr="00AF6C4C">
        <w:t xml:space="preserve">digital radio </w:t>
      </w:r>
      <w:r>
        <w:t>and</w:t>
      </w:r>
      <w:r w:rsidRPr="00AF6C4C" w:rsidDel="00474A22">
        <w:t xml:space="preserve"> </w:t>
      </w:r>
      <w:r w:rsidRPr="00AF6C4C">
        <w:t xml:space="preserve">consideration of </w:t>
      </w:r>
      <w:r w:rsidR="00474A22" w:rsidRPr="00AF6C4C">
        <w:t xml:space="preserve">the expansion of </w:t>
      </w:r>
      <w:r w:rsidRPr="00AF6C4C">
        <w:t>AM to FM conversion</w:t>
      </w:r>
      <w:r w:rsidR="00474A22" w:rsidRPr="00AF6C4C">
        <w:t>s to competitive regional licence areas</w:t>
      </w:r>
      <w:r w:rsidRPr="00AF6C4C">
        <w:t xml:space="preserve">. </w:t>
      </w:r>
    </w:p>
    <w:p w14:paraId="11D64C5E" w14:textId="77777777" w:rsidR="005716DE" w:rsidRDefault="003D7FAC" w:rsidP="00D7755E">
      <w:r w:rsidRPr="00AF6C4C">
        <w:t xml:space="preserve">While the ACMA can </w:t>
      </w:r>
      <w:r w:rsidR="00474A22">
        <w:t xml:space="preserve">plan </w:t>
      </w:r>
      <w:r w:rsidR="00474A22" w:rsidRPr="00AF6C4C">
        <w:t xml:space="preserve">spectrum for </w:t>
      </w:r>
      <w:r w:rsidRPr="00AF6C4C">
        <w:t xml:space="preserve">digital radio services in regional Australia, the </w:t>
      </w:r>
      <w:r>
        <w:t>establishment of digital radio services in any given market is a commercial decision of the relevant incumbent commercial radio broadcasting licensees.</w:t>
      </w:r>
      <w:r w:rsidRPr="00BF3536">
        <w:t xml:space="preserve"> </w:t>
      </w:r>
      <w:r>
        <w:t>Similarly, where and when the ABC and SBS will roll</w:t>
      </w:r>
      <w:r w:rsidR="006B5401">
        <w:t xml:space="preserve"> </w:t>
      </w:r>
      <w:r>
        <w:t>out digital radio services is a decision for those broadcasters.</w:t>
      </w:r>
    </w:p>
    <w:p w14:paraId="653C726F" w14:textId="480BFA14" w:rsidR="005716DE" w:rsidRPr="005716DE" w:rsidRDefault="005716DE" w:rsidP="00A66E8D">
      <w:pPr>
        <w:spacing w:after="80"/>
      </w:pPr>
      <w:r>
        <w:t>In Q4 2018</w:t>
      </w:r>
      <w:r w:rsidR="00E72675">
        <w:t>–</w:t>
      </w:r>
      <w:r>
        <w:t>19 we will:</w:t>
      </w:r>
    </w:p>
    <w:p w14:paraId="5AFF06AE" w14:textId="77777777" w:rsidR="005716DE" w:rsidRDefault="005716DE" w:rsidP="005716DE">
      <w:pPr>
        <w:pStyle w:val="ListBullet"/>
      </w:pPr>
      <w:r w:rsidRPr="0091315D">
        <w:t>consult on and determine whether specified community radio licence areas should be deemed to be the same as the Hobart RA1 commercial radio licence area for the purpose of digital radio</w:t>
      </w:r>
    </w:p>
    <w:p w14:paraId="04B032CE" w14:textId="0E85AD35" w:rsidR="005716DE" w:rsidRPr="0091315D" w:rsidRDefault="005716DE" w:rsidP="00A66E8D">
      <w:pPr>
        <w:pStyle w:val="ListBulletLast"/>
      </w:pPr>
      <w:r>
        <w:t>consult on proposals for the AM</w:t>
      </w:r>
      <w:r w:rsidR="00535B5D">
        <w:t>–</w:t>
      </w:r>
      <w:r>
        <w:t>FM conversion of Murray Bridge, Spencer North and Port Lincoln in South Australia.</w:t>
      </w:r>
    </w:p>
    <w:p w14:paraId="5723B260" w14:textId="48FFEE91" w:rsidR="006C2F18" w:rsidRDefault="006C2F18" w:rsidP="00A66E8D">
      <w:pPr>
        <w:spacing w:after="80"/>
      </w:pPr>
      <w:r>
        <w:t xml:space="preserve">In </w:t>
      </w:r>
      <w:r w:rsidR="00041CA4">
        <w:t>201</w:t>
      </w:r>
      <w:r w:rsidR="00804833">
        <w:t>9</w:t>
      </w:r>
      <w:r>
        <w:t>–</w:t>
      </w:r>
      <w:r w:rsidR="00804833">
        <w:t>20</w:t>
      </w:r>
      <w:r w:rsidR="00561CF6">
        <w:t>,</w:t>
      </w:r>
      <w:r>
        <w:t xml:space="preserve"> we will:</w:t>
      </w:r>
    </w:p>
    <w:p w14:paraId="0F7EDFAD" w14:textId="5336BBBD" w:rsidR="006C2F18" w:rsidRPr="0091315D" w:rsidRDefault="00EA0641" w:rsidP="00DE694D">
      <w:pPr>
        <w:pStyle w:val="ListBullet"/>
      </w:pPr>
      <w:r>
        <w:t xml:space="preserve">complete engineering for, and </w:t>
      </w:r>
      <w:r w:rsidR="006D64BD">
        <w:t>c</w:t>
      </w:r>
      <w:r w:rsidR="006C2F18">
        <w:t xml:space="preserve">onsult on and finalise the digital radio channel plans for </w:t>
      </w:r>
      <w:r w:rsidR="005E257E">
        <w:t xml:space="preserve">the </w:t>
      </w:r>
      <w:r w:rsidR="006C2F18">
        <w:t xml:space="preserve">licence areas </w:t>
      </w:r>
      <w:r w:rsidR="001543E4">
        <w:t xml:space="preserve">where a commercial licensee </w:t>
      </w:r>
      <w:r w:rsidR="001543E4" w:rsidRPr="00E26672">
        <w:t>ha</w:t>
      </w:r>
      <w:r w:rsidR="008862A9" w:rsidRPr="00E26672">
        <w:t>s</w:t>
      </w:r>
      <w:r w:rsidR="001543E4" w:rsidRPr="00E26672">
        <w:t xml:space="preserve"> </w:t>
      </w:r>
      <w:r w:rsidR="004959E5" w:rsidRPr="002C75FC">
        <w:t>committed</w:t>
      </w:r>
      <w:r w:rsidR="001543E4" w:rsidRPr="0091315D">
        <w:t xml:space="preserve"> to</w:t>
      </w:r>
      <w:r w:rsidR="00474A22" w:rsidRPr="0091315D">
        <w:t xml:space="preserve"> starting up around 2020. This is likely to include </w:t>
      </w:r>
      <w:r w:rsidR="00F94E92" w:rsidRPr="0091315D">
        <w:t xml:space="preserve">Bathurst, </w:t>
      </w:r>
      <w:r w:rsidR="00DD4AA4" w:rsidRPr="0091315D">
        <w:t>Goulburn, Cooma and Warragul</w:t>
      </w:r>
    </w:p>
    <w:p w14:paraId="62D34EF7" w14:textId="75CD2490" w:rsidR="00DD4AA4" w:rsidRPr="0091315D" w:rsidRDefault="00DD4AA4" w:rsidP="00DE694D">
      <w:pPr>
        <w:pStyle w:val="ListBullet"/>
      </w:pPr>
      <w:r w:rsidRPr="0091315D">
        <w:t>further consult on whether variations to the Brisbane digital radio channel plan are appropriate to improve digital coverage</w:t>
      </w:r>
    </w:p>
    <w:p w14:paraId="0CE728AD" w14:textId="5A009F86" w:rsidR="00DD4AA4" w:rsidRPr="0091315D" w:rsidRDefault="00F502CE" w:rsidP="00DE694D">
      <w:pPr>
        <w:pStyle w:val="ListBullet"/>
      </w:pPr>
      <w:r w:rsidRPr="0091315D">
        <w:t>r</w:t>
      </w:r>
      <w:r w:rsidR="00DD4AA4" w:rsidRPr="0091315D">
        <w:t>e-consult on the Gold Coast digital radio channel plan taking into account the completion of frequency allotment planning and the result of a proposed propagation trial</w:t>
      </w:r>
    </w:p>
    <w:p w14:paraId="51EDCABA" w14:textId="64F4B138" w:rsidR="000F47BB" w:rsidRPr="0091315D" w:rsidRDefault="000F47BB" w:rsidP="00DE694D">
      <w:pPr>
        <w:pStyle w:val="ListBullet"/>
      </w:pPr>
      <w:r w:rsidRPr="0091315D">
        <w:t>consult on and determine whether specified community radio licence areas should be deemed to be the same as the Bathurst RA1, Cooma RA1, Goulburn RA1 and Warragul RA1 commercial radio licence areas for the purpose of digital radio</w:t>
      </w:r>
    </w:p>
    <w:p w14:paraId="687AEBD5" w14:textId="502261CE" w:rsidR="00B35476" w:rsidRDefault="002C689F" w:rsidP="00DE694D">
      <w:pPr>
        <w:pStyle w:val="ListBullet"/>
      </w:pPr>
      <w:r w:rsidRPr="0091315D">
        <w:t xml:space="preserve">finalise </w:t>
      </w:r>
      <w:r w:rsidR="006D64BD" w:rsidRPr="0091315D">
        <w:t>i</w:t>
      </w:r>
      <w:r w:rsidR="00B35476" w:rsidRPr="0091315D">
        <w:t xml:space="preserve">n Q1 </w:t>
      </w:r>
      <w:r w:rsidR="00DD4AA4" w:rsidRPr="0091315D">
        <w:t>2019</w:t>
      </w:r>
      <w:r w:rsidR="00243870" w:rsidRPr="0091315D">
        <w:t>–</w:t>
      </w:r>
      <w:r w:rsidR="00DD4AA4" w:rsidRPr="0091315D">
        <w:t xml:space="preserve">20 </w:t>
      </w:r>
      <w:r w:rsidR="004044E4" w:rsidRPr="0091315D">
        <w:t xml:space="preserve">the outcome </w:t>
      </w:r>
      <w:r w:rsidR="007A78A6" w:rsidRPr="0091315D">
        <w:t xml:space="preserve">of </w:t>
      </w:r>
      <w:r w:rsidR="00DD4AA4" w:rsidRPr="0091315D">
        <w:t>the consultation on AM–FM conversions for Scottsdale,</w:t>
      </w:r>
      <w:r w:rsidR="00DD4AA4">
        <w:t xml:space="preserve"> Tas</w:t>
      </w:r>
      <w:r w:rsidR="00F22FDB">
        <w:t>mania</w:t>
      </w:r>
      <w:r w:rsidR="00DD4AA4">
        <w:t>, and Regional South Australia</w:t>
      </w:r>
    </w:p>
    <w:p w14:paraId="0AC23323" w14:textId="76F865CF" w:rsidR="00DD4AA4" w:rsidRDefault="00F502CE" w:rsidP="00DE694D">
      <w:pPr>
        <w:pStyle w:val="ListBulletLast"/>
      </w:pPr>
      <w:r>
        <w:t>c</w:t>
      </w:r>
      <w:r w:rsidR="00DD4AA4">
        <w:t xml:space="preserve">onsult on further </w:t>
      </w:r>
      <w:r w:rsidR="006C2F18" w:rsidRPr="00E53CF1" w:rsidDel="00DD4AA4">
        <w:t>AM</w:t>
      </w:r>
      <w:r w:rsidR="00561CF6" w:rsidRPr="00E53CF1" w:rsidDel="00DD4AA4">
        <w:t>–</w:t>
      </w:r>
      <w:r w:rsidR="006C2F18" w:rsidRPr="00E53CF1" w:rsidDel="00DD4AA4">
        <w:t>FM conversions</w:t>
      </w:r>
      <w:r w:rsidR="006C2F18" w:rsidDel="00DD4AA4">
        <w:t xml:space="preserve"> </w:t>
      </w:r>
      <w:r w:rsidR="00DD4AA4">
        <w:t>in solus markets</w:t>
      </w:r>
      <w:r>
        <w:t xml:space="preserve"> when</w:t>
      </w:r>
      <w:r w:rsidR="00DD4AA4">
        <w:t xml:space="preserve"> engineering reports have been received from the licensees and approved by the ACMA. These area</w:t>
      </w:r>
      <w:r w:rsidR="00786F04">
        <w:t>s</w:t>
      </w:r>
      <w:r w:rsidR="00DD4AA4">
        <w:t xml:space="preserve"> </w:t>
      </w:r>
      <w:r w:rsidR="00DD4AA4" w:rsidDel="00F22FDB">
        <w:t>include</w:t>
      </w:r>
      <w:r w:rsidR="00DD4AA4">
        <w:t xml:space="preserve"> Nowra, Armidale, Gunnedah, Moree, Tamworth, Taree, Grafton, </w:t>
      </w:r>
      <w:r w:rsidR="00786F04">
        <w:t>Parkes</w:t>
      </w:r>
      <w:r w:rsidR="00DD4AA4">
        <w:t xml:space="preserve">, </w:t>
      </w:r>
      <w:r w:rsidR="00786F04">
        <w:t>Inverell</w:t>
      </w:r>
      <w:r w:rsidR="00DD4AA4">
        <w:t xml:space="preserve">, </w:t>
      </w:r>
      <w:r w:rsidR="00786F04">
        <w:t>Lismore</w:t>
      </w:r>
      <w:r w:rsidR="00180CD4">
        <w:t>,</w:t>
      </w:r>
      <w:r w:rsidR="003C714E">
        <w:t xml:space="preserve"> </w:t>
      </w:r>
      <w:r w:rsidR="00786F04">
        <w:t>Wangaratta</w:t>
      </w:r>
      <w:r w:rsidR="00DD4AA4">
        <w:t xml:space="preserve">, </w:t>
      </w:r>
      <w:r w:rsidR="00786F04">
        <w:t>Albany, Horsham, Hamilton, Colac, Sawn Hill</w:t>
      </w:r>
      <w:r>
        <w:t xml:space="preserve"> and</w:t>
      </w:r>
      <w:r w:rsidR="00786F04">
        <w:t xml:space="preserve"> Lithgow.</w:t>
      </w:r>
    </w:p>
    <w:p w14:paraId="4A20B199" w14:textId="439B8518" w:rsidR="00FB1D8C" w:rsidRDefault="002345FB" w:rsidP="00D7755E">
      <w:pPr>
        <w:pStyle w:val="BodySubHeader"/>
      </w:pPr>
      <w:r>
        <w:t>Potential f</w:t>
      </w:r>
      <w:r w:rsidR="008D74BE">
        <w:t>or</w:t>
      </w:r>
      <w:r w:rsidR="00C06D75">
        <w:t xml:space="preserve"> Perth </w:t>
      </w:r>
      <w:proofErr w:type="spellStart"/>
      <w:r w:rsidR="00FB1D8C">
        <w:t>analog</w:t>
      </w:r>
      <w:proofErr w:type="spellEnd"/>
      <w:r w:rsidR="00FB1D8C">
        <w:t xml:space="preserve"> </w:t>
      </w:r>
      <w:r w:rsidR="007E6806" w:rsidRPr="00493B5D">
        <w:t xml:space="preserve">radio broadcast </w:t>
      </w:r>
      <w:r w:rsidR="00FB1D8C">
        <w:t>planning initiative</w:t>
      </w:r>
    </w:p>
    <w:p w14:paraId="2F37F4FC" w14:textId="7B6BB2E2" w:rsidR="00351778" w:rsidRDefault="002345FB" w:rsidP="00D7755E">
      <w:r>
        <w:t xml:space="preserve">Internal engineering </w:t>
      </w:r>
      <w:r w:rsidR="00FB1D8C">
        <w:t xml:space="preserve">work has </w:t>
      </w:r>
      <w:r>
        <w:t xml:space="preserve">been completed </w:t>
      </w:r>
      <w:r w:rsidR="00FB1D8C">
        <w:t xml:space="preserve">on a study into </w:t>
      </w:r>
      <w:r w:rsidR="000609CE">
        <w:t>the potential for replanning Perth radio. The clearance of Band II television in Bunbury</w:t>
      </w:r>
      <w:r w:rsidR="00BC673B">
        <w:t>,</w:t>
      </w:r>
      <w:r w:rsidR="000609CE">
        <w:t xml:space="preserve"> following digital switch-over</w:t>
      </w:r>
      <w:r w:rsidR="00BC673B">
        <w:t>,</w:t>
      </w:r>
      <w:r w:rsidR="000609CE">
        <w:t xml:space="preserve"> has provided new planning </w:t>
      </w:r>
      <w:r w:rsidR="000609CE" w:rsidRPr="00493B5D">
        <w:t>op</w:t>
      </w:r>
      <w:r w:rsidR="007E6806" w:rsidRPr="00493B5D">
        <w:t>t</w:t>
      </w:r>
      <w:r w:rsidR="000609CE" w:rsidRPr="00493B5D">
        <w:t>ions.</w:t>
      </w:r>
      <w:r w:rsidR="004959E5">
        <w:t xml:space="preserve"> </w:t>
      </w:r>
    </w:p>
    <w:p w14:paraId="634A14A5" w14:textId="21BD4D7D" w:rsidR="00FB1D8C" w:rsidRDefault="00351778" w:rsidP="00DE694D">
      <w:pPr>
        <w:spacing w:after="80"/>
      </w:pPr>
      <w:r>
        <w:t>In 2019</w:t>
      </w:r>
      <w:r w:rsidR="00243870">
        <w:t>–</w:t>
      </w:r>
      <w:r>
        <w:t>20, we will</w:t>
      </w:r>
      <w:r w:rsidR="0091315D">
        <w:t xml:space="preserve"> </w:t>
      </w:r>
      <w:r w:rsidR="000609CE" w:rsidRPr="00493B5D">
        <w:t>consu</w:t>
      </w:r>
      <w:r w:rsidR="007E6806" w:rsidRPr="00493B5D">
        <w:t>lt</w:t>
      </w:r>
      <w:r w:rsidR="000609CE" w:rsidRPr="00493B5D">
        <w:t xml:space="preserve"> on </w:t>
      </w:r>
      <w:r w:rsidR="007E6806" w:rsidRPr="00493B5D">
        <w:t>the potential to replan</w:t>
      </w:r>
      <w:r w:rsidR="000609CE">
        <w:t xml:space="preserve"> </w:t>
      </w:r>
      <w:r w:rsidR="007E6806" w:rsidRPr="00493B5D">
        <w:t>the</w:t>
      </w:r>
      <w:r w:rsidR="000609CE">
        <w:t xml:space="preserve"> Perth </w:t>
      </w:r>
      <w:r w:rsidR="007E6806" w:rsidRPr="00493B5D">
        <w:t xml:space="preserve">FM broadcast band </w:t>
      </w:r>
      <w:r w:rsidR="000609CE" w:rsidDel="00786F04">
        <w:t xml:space="preserve">in </w:t>
      </w:r>
      <w:r w:rsidR="00786F04">
        <w:t xml:space="preserve">the second </w:t>
      </w:r>
      <w:r w:rsidR="00786F04" w:rsidDel="00B84A97">
        <w:t xml:space="preserve">half </w:t>
      </w:r>
      <w:r w:rsidR="00786F04">
        <w:t xml:space="preserve">of </w:t>
      </w:r>
      <w:r w:rsidR="00786F04" w:rsidRPr="00E26672">
        <w:t>2019</w:t>
      </w:r>
      <w:r w:rsidR="00243870">
        <w:t>–</w:t>
      </w:r>
      <w:r w:rsidR="00786F04" w:rsidDel="00B84A97">
        <w:t>20</w:t>
      </w:r>
      <w:r w:rsidR="000609CE" w:rsidDel="00DD4AA4">
        <w:t>.</w:t>
      </w:r>
    </w:p>
    <w:p w14:paraId="5115E93D" w14:textId="58F8191C" w:rsidR="00895D88" w:rsidRDefault="00982F6C" w:rsidP="00DE694D">
      <w:pPr>
        <w:pStyle w:val="BodySubHeader"/>
        <w:keepNext/>
        <w:keepLines/>
      </w:pPr>
      <w:r>
        <w:lastRenderedPageBreak/>
        <w:t>C</w:t>
      </w:r>
      <w:r w:rsidR="00351778">
        <w:t>onsultation on the f</w:t>
      </w:r>
      <w:r w:rsidR="00895D88">
        <w:t>uture delivery of radio services in Australia</w:t>
      </w:r>
    </w:p>
    <w:p w14:paraId="36DBEFCB" w14:textId="2732568D" w:rsidR="00351778" w:rsidRPr="00627CDC" w:rsidRDefault="00351778" w:rsidP="005F18BE">
      <w:pPr>
        <w:keepNext/>
        <w:keepLines/>
      </w:pPr>
      <w:r w:rsidRPr="00351778">
        <w:t>Radio broadcasting faces new opportunities and challenges due to technological</w:t>
      </w:r>
      <w:r w:rsidR="002D769B">
        <w:t xml:space="preserve"> evolution and changing listener preferences. </w:t>
      </w:r>
      <w:r w:rsidRPr="00351778">
        <w:t>As demand grows for IP</w:t>
      </w:r>
      <w:r w:rsidR="00AE63A3">
        <w:t>-</w:t>
      </w:r>
      <w:r w:rsidRPr="00351778">
        <w:t>based services and platforms, the ACMA will need to manage available spectrum resources in an effective and efficient manner. This includes understanding the future roles of AM radio, FM radio, digital radio and radio delivered via IP</w:t>
      </w:r>
      <w:r>
        <w:t xml:space="preserve"> in metropolitan areas</w:t>
      </w:r>
      <w:r w:rsidR="00362445">
        <w:t>,</w:t>
      </w:r>
      <w:r>
        <w:t xml:space="preserve"> and regional and remote areas</w:t>
      </w:r>
      <w:r w:rsidRPr="00351778">
        <w:t>.</w:t>
      </w:r>
      <w:r>
        <w:t xml:space="preserve"> </w:t>
      </w:r>
      <w:r w:rsidRPr="00351778">
        <w:t xml:space="preserve">It is timely </w:t>
      </w:r>
      <w:r w:rsidR="00362445">
        <w:t xml:space="preserve">then </w:t>
      </w:r>
      <w:r w:rsidRPr="00351778">
        <w:t xml:space="preserve">to ask </w:t>
      </w:r>
      <w:r w:rsidR="00986663">
        <w:t xml:space="preserve">radio industry participants </w:t>
      </w:r>
      <w:r w:rsidRPr="00351778">
        <w:t xml:space="preserve">about emerging technology, its impact on their businesses and the choices these create for </w:t>
      </w:r>
      <w:r w:rsidRPr="00627CDC">
        <w:t>the radio industry.</w:t>
      </w:r>
    </w:p>
    <w:p w14:paraId="0FE87AAC" w14:textId="074C076E" w:rsidR="00627CDC" w:rsidRPr="00DE694D" w:rsidRDefault="00627CDC" w:rsidP="00627CDC">
      <w:r w:rsidRPr="00DE694D">
        <w:t>In Q4 2018</w:t>
      </w:r>
      <w:r>
        <w:t>–</w:t>
      </w:r>
      <w:r w:rsidRPr="00DE694D">
        <w:t>19 we will publish for consultation an issues paper on the future delivery of radio services in Australia.</w:t>
      </w:r>
    </w:p>
    <w:p w14:paraId="7EC18ADC" w14:textId="77777777" w:rsidR="00895D88" w:rsidRDefault="00895D88" w:rsidP="00895D88">
      <w:pPr>
        <w:spacing w:after="80"/>
      </w:pPr>
      <w:r>
        <w:t>In 2019–20, we will:</w:t>
      </w:r>
    </w:p>
    <w:p w14:paraId="581C33D0" w14:textId="500145A4" w:rsidR="00362445" w:rsidRDefault="00895D88" w:rsidP="00DE694D">
      <w:pPr>
        <w:pStyle w:val="ListBullet"/>
      </w:pPr>
      <w:r>
        <w:t xml:space="preserve">consult with industry on the issues paper through multilateral </w:t>
      </w:r>
      <w:r w:rsidR="00362445">
        <w:t>and bilateral stakeholder discussion</w:t>
      </w:r>
      <w:r w:rsidR="00BD6AED">
        <w:t xml:space="preserve">s including a </w:t>
      </w:r>
      <w:r w:rsidR="00362445">
        <w:t>workshop</w:t>
      </w:r>
    </w:p>
    <w:p w14:paraId="4CFC929F" w14:textId="6B3CBFAC" w:rsidR="00362445" w:rsidRPr="00DE694D" w:rsidRDefault="00362445" w:rsidP="00DE694D">
      <w:pPr>
        <w:pStyle w:val="ListBullet"/>
        <w:rPr>
          <w:color w:val="323232"/>
          <w:spacing w:val="-28"/>
          <w:sz w:val="53"/>
        </w:rPr>
      </w:pPr>
      <w:r w:rsidRPr="00E26672">
        <w:rPr>
          <w:bCs/>
        </w:rPr>
        <w:t xml:space="preserve">undertake </w:t>
      </w:r>
      <w:r w:rsidRPr="00E26672">
        <w:t>further research and analysis of international trends</w:t>
      </w:r>
    </w:p>
    <w:p w14:paraId="29C88DB1" w14:textId="0C992C14" w:rsidR="00895D88" w:rsidRDefault="00853E51" w:rsidP="00DE694D">
      <w:pPr>
        <w:pStyle w:val="ListBulletLast"/>
      </w:pPr>
      <w:r>
        <w:t>r</w:t>
      </w:r>
      <w:r w:rsidR="00362445" w:rsidRPr="00362445">
        <w:t>eport</w:t>
      </w:r>
      <w:r w:rsidR="00362445">
        <w:t xml:space="preserve"> findings </w:t>
      </w:r>
      <w:r w:rsidR="00362445" w:rsidRPr="00362445">
        <w:t xml:space="preserve">to the </w:t>
      </w:r>
      <w:r w:rsidR="00C53C74">
        <w:t>m</w:t>
      </w:r>
      <w:r w:rsidR="00362445" w:rsidRPr="00362445">
        <w:t>inister</w:t>
      </w:r>
      <w:r w:rsidR="00362445">
        <w:t xml:space="preserve"> in </w:t>
      </w:r>
      <w:r w:rsidR="00180CD4">
        <w:t>Q2</w:t>
      </w:r>
      <w:r w:rsidR="00362445">
        <w:t xml:space="preserve"> 2019</w:t>
      </w:r>
      <w:r w:rsidR="00243870">
        <w:t>–</w:t>
      </w:r>
      <w:r w:rsidR="00180CD4">
        <w:t>20</w:t>
      </w:r>
      <w:r w:rsidR="006B69DB">
        <w:t>.</w:t>
      </w:r>
    </w:p>
    <w:p w14:paraId="2C06E485" w14:textId="5CB90573" w:rsidR="003D7FAC" w:rsidRPr="00E26672" w:rsidRDefault="003D7FAC" w:rsidP="008713AA">
      <w:pPr>
        <w:pStyle w:val="Heading3"/>
      </w:pPr>
      <w:bookmarkStart w:id="263" w:name="_Toc510104953"/>
      <w:bookmarkStart w:id="264" w:name="_Toc510105750"/>
      <w:bookmarkStart w:id="265" w:name="_Toc510795082"/>
      <w:bookmarkStart w:id="266" w:name="_Toc511716285"/>
      <w:bookmarkStart w:id="267" w:name="_Toc511719096"/>
      <w:bookmarkStart w:id="268" w:name="_Toc522794091"/>
      <w:bookmarkStart w:id="269" w:name="_Toc5025697"/>
      <w:bookmarkEnd w:id="261"/>
      <w:r w:rsidRPr="008713AA">
        <w:t xml:space="preserve">Satellite </w:t>
      </w:r>
      <w:r w:rsidR="00161584" w:rsidRPr="008713AA">
        <w:t>planning</w:t>
      </w:r>
      <w:bookmarkEnd w:id="263"/>
      <w:bookmarkEnd w:id="264"/>
      <w:bookmarkEnd w:id="265"/>
      <w:bookmarkEnd w:id="266"/>
      <w:bookmarkEnd w:id="267"/>
      <w:bookmarkEnd w:id="268"/>
      <w:bookmarkEnd w:id="269"/>
      <w:r w:rsidR="00161584" w:rsidRPr="00E26672">
        <w:t xml:space="preserve"> </w:t>
      </w:r>
    </w:p>
    <w:p w14:paraId="1F798F58" w14:textId="6D600DAF" w:rsidR="003D7FAC" w:rsidRDefault="003D7FAC" w:rsidP="00D7755E">
      <w:pPr>
        <w:spacing w:after="80"/>
      </w:pPr>
      <w:r w:rsidRPr="002B5174">
        <w:t>T</w:t>
      </w:r>
      <w:r>
        <w:t>h</w:t>
      </w:r>
      <w:r w:rsidRPr="002B5174">
        <w:t xml:space="preserve">e ACMA </w:t>
      </w:r>
      <w:r>
        <w:t>continues to engage</w:t>
      </w:r>
      <w:r w:rsidRPr="002B5174">
        <w:t xml:space="preserve"> internationally </w:t>
      </w:r>
      <w:r>
        <w:t>on</w:t>
      </w:r>
      <w:r w:rsidRPr="002B5174">
        <w:t xml:space="preserve"> </w:t>
      </w:r>
      <w:r>
        <w:t xml:space="preserve">the </w:t>
      </w:r>
      <w:r w:rsidRPr="002B5174">
        <w:t xml:space="preserve">coordination, development and implementation of measures to enhance spectrum </w:t>
      </w:r>
      <w:r>
        <w:t>usage for satellite communications and space research services</w:t>
      </w:r>
      <w:r w:rsidRPr="002B5174">
        <w:t>.</w:t>
      </w:r>
      <w:r>
        <w:t xml:space="preserve"> </w:t>
      </w:r>
      <w:r w:rsidR="003A1F35">
        <w:t>Australia’s</w:t>
      </w:r>
      <w:r w:rsidR="00303F02">
        <w:t xml:space="preserve"> international engagement activities </w:t>
      </w:r>
      <w:r w:rsidR="003A1F35">
        <w:t xml:space="preserve">leading up to, and including, </w:t>
      </w:r>
      <w:r w:rsidR="00303F02">
        <w:t xml:space="preserve">WRC-19, </w:t>
      </w:r>
      <w:r w:rsidR="00F502CE">
        <w:t xml:space="preserve">are a priority for the ACMA. However, </w:t>
      </w:r>
      <w:r w:rsidR="00303F02">
        <w:t>d</w:t>
      </w:r>
      <w:r>
        <w:t>omestically</w:t>
      </w:r>
      <w:r w:rsidRPr="00125FC9">
        <w:t>, our key</w:t>
      </w:r>
      <w:r>
        <w:t xml:space="preserve"> spectrum planning priorities over the next </w:t>
      </w:r>
      <w:r w:rsidR="00F15BFE">
        <w:t>year</w:t>
      </w:r>
      <w:r w:rsidDel="001A3A21">
        <w:t xml:space="preserve"> </w:t>
      </w:r>
      <w:r>
        <w:t>are to:</w:t>
      </w:r>
    </w:p>
    <w:p w14:paraId="157CF252" w14:textId="77777777" w:rsidR="00F15BFE" w:rsidRDefault="00561CF6">
      <w:pPr>
        <w:pStyle w:val="ListBullet"/>
        <w:tabs>
          <w:tab w:val="clear" w:pos="-261"/>
          <w:tab w:val="num" w:pos="-260"/>
        </w:tabs>
      </w:pPr>
      <w:r>
        <w:t xml:space="preserve">provide </w:t>
      </w:r>
      <w:r w:rsidR="00F15BFE" w:rsidRPr="00561CF6">
        <w:t>ongoing</w:t>
      </w:r>
      <w:r w:rsidR="00F15BFE">
        <w:t xml:space="preserve"> operational support for </w:t>
      </w:r>
      <w:r w:rsidR="00F15BFE" w:rsidRPr="00350C72">
        <w:t>Australian</w:t>
      </w:r>
      <w:r w:rsidR="00350C72">
        <w:t>-</w:t>
      </w:r>
      <w:r w:rsidR="00F15BFE" w:rsidRPr="00350C72">
        <w:t>filed satellite</w:t>
      </w:r>
      <w:r w:rsidR="00F15BFE">
        <w:t xml:space="preserve"> networks</w:t>
      </w:r>
    </w:p>
    <w:p w14:paraId="7568F4F9" w14:textId="77777777" w:rsidR="003D7FAC" w:rsidRDefault="003D7FAC">
      <w:pPr>
        <w:pStyle w:val="ListBullet"/>
        <w:tabs>
          <w:tab w:val="clear" w:pos="-261"/>
          <w:tab w:val="num" w:pos="-260"/>
        </w:tabs>
      </w:pPr>
      <w:r>
        <w:t>support</w:t>
      </w:r>
      <w:r w:rsidRPr="002B5174">
        <w:t xml:space="preserve"> the deployment of novel satellite systems (particularly small satellites)</w:t>
      </w:r>
    </w:p>
    <w:p w14:paraId="51630028" w14:textId="77777777" w:rsidR="006E164C" w:rsidRDefault="00F502CE">
      <w:pPr>
        <w:pStyle w:val="ListBullet"/>
        <w:tabs>
          <w:tab w:val="clear" w:pos="-261"/>
          <w:tab w:val="num" w:pos="-260"/>
        </w:tabs>
      </w:pPr>
      <w:r>
        <w:t>p</w:t>
      </w:r>
      <w:r w:rsidR="00A52E0D">
        <w:t>rogressing</w:t>
      </w:r>
      <w:r w:rsidR="006E164C">
        <w:t xml:space="preserve"> work commence</w:t>
      </w:r>
      <w:r w:rsidR="00A52E0D">
        <w:t>d</w:t>
      </w:r>
      <w:r w:rsidR="006E164C">
        <w:t xml:space="preserve"> in 2018</w:t>
      </w:r>
      <w:r>
        <w:t>–</w:t>
      </w:r>
      <w:r w:rsidR="006E164C">
        <w:t>19 on:</w:t>
      </w:r>
    </w:p>
    <w:p w14:paraId="492255BE" w14:textId="0EF96E55" w:rsidR="006E164C" w:rsidRPr="00C53C74" w:rsidRDefault="003A1F35" w:rsidP="00C53C74">
      <w:pPr>
        <w:pStyle w:val="ListBullet2"/>
        <w:tabs>
          <w:tab w:val="clear" w:pos="295"/>
          <w:tab w:val="num" w:pos="579"/>
        </w:tabs>
        <w:ind w:left="579"/>
      </w:pPr>
      <w:r w:rsidRPr="00C53C74">
        <w:t>r</w:t>
      </w:r>
      <w:r w:rsidR="00A52E0D" w:rsidRPr="00C53C74">
        <w:t>eviewing</w:t>
      </w:r>
      <w:r w:rsidR="00A52E0D" w:rsidRPr="00C53C74" w:rsidDel="00205514">
        <w:t xml:space="preserve"> </w:t>
      </w:r>
      <w:r w:rsidR="00A52E0D" w:rsidRPr="00C53C74">
        <w:t>licensing procedures for space-based communications systems to consider whether existing procedures are commensurate</w:t>
      </w:r>
      <w:r w:rsidR="00A52E0D" w:rsidRPr="00C53C74" w:rsidDel="001971EA">
        <w:t xml:space="preserve"> </w:t>
      </w:r>
      <w:r w:rsidR="00A52E0D" w:rsidRPr="00C53C74">
        <w:t xml:space="preserve">with the risk of interference, including consideration of </w:t>
      </w:r>
      <w:r w:rsidR="00B45FDA" w:rsidRPr="00C53C74">
        <w:t xml:space="preserve">the </w:t>
      </w:r>
      <w:r w:rsidR="00A52E0D" w:rsidRPr="00C53C74">
        <w:t xml:space="preserve">status of </w:t>
      </w:r>
      <w:r w:rsidR="00B45FDA" w:rsidRPr="00C53C74">
        <w:t>a</w:t>
      </w:r>
      <w:r w:rsidR="00A52E0D" w:rsidRPr="00C53C74">
        <w:t xml:space="preserve"> satellite network in</w:t>
      </w:r>
      <w:r w:rsidRPr="00C53C74">
        <w:t xml:space="preserve"> the</w:t>
      </w:r>
      <w:r w:rsidR="00A52E0D" w:rsidRPr="00C53C74">
        <w:t xml:space="preserve"> ITU satellite coordination process</w:t>
      </w:r>
    </w:p>
    <w:p w14:paraId="5ED3F5D8" w14:textId="2199C560" w:rsidR="00A52E0D" w:rsidRPr="00C53C74" w:rsidRDefault="00A52E0D" w:rsidP="00C53C74">
      <w:pPr>
        <w:pStyle w:val="ListBullet2"/>
        <w:tabs>
          <w:tab w:val="clear" w:pos="295"/>
          <w:tab w:val="num" w:pos="579"/>
        </w:tabs>
        <w:ind w:left="579"/>
      </w:pPr>
      <w:r w:rsidRPr="00C53C74">
        <w:t xml:space="preserve">review of arrangements for ubiquitous </w:t>
      </w:r>
      <w:r w:rsidR="003A1F35" w:rsidRPr="00C53C74">
        <w:t>ESIM</w:t>
      </w:r>
      <w:r w:rsidR="00BC5180" w:rsidRPr="00C53C74">
        <w:t>s</w:t>
      </w:r>
      <w:r w:rsidRPr="00C53C74">
        <w:t xml:space="preserve"> in the FSS in those parts of the Ku-band included in the </w:t>
      </w:r>
      <w:r w:rsidR="005D530F" w:rsidRPr="00C53C74">
        <w:t>Radiocommunications (</w:t>
      </w:r>
      <w:r w:rsidRPr="00C53C74">
        <w:t>Communication with Space Object</w:t>
      </w:r>
      <w:r w:rsidR="005D530F" w:rsidRPr="00C53C74">
        <w:t>)</w:t>
      </w:r>
      <w:r w:rsidRPr="00C53C74">
        <w:t xml:space="preserve"> Class Licence</w:t>
      </w:r>
      <w:r w:rsidR="005D530F" w:rsidRPr="00C53C74">
        <w:t xml:space="preserve"> 2015</w:t>
      </w:r>
    </w:p>
    <w:p w14:paraId="0E21F900" w14:textId="120A72F2" w:rsidR="00401E19" w:rsidRPr="00401E19" w:rsidRDefault="00A52E0D" w:rsidP="00C53C74">
      <w:pPr>
        <w:pStyle w:val="ListBullet2"/>
        <w:tabs>
          <w:tab w:val="clear" w:pos="295"/>
          <w:tab w:val="num" w:pos="579"/>
        </w:tabs>
        <w:ind w:left="579"/>
      </w:pPr>
      <w:r w:rsidRPr="00C53C74">
        <w:t xml:space="preserve">work supporting </w:t>
      </w:r>
      <w:r w:rsidR="003A1F35" w:rsidRPr="00C53C74">
        <w:t>the</w:t>
      </w:r>
      <w:r w:rsidR="003A1F35">
        <w:t xml:space="preserve"> </w:t>
      </w:r>
      <w:r>
        <w:t xml:space="preserve">use </w:t>
      </w:r>
      <w:r w:rsidR="00B45FDA">
        <w:t xml:space="preserve">of </w:t>
      </w:r>
      <w:r>
        <w:t>small satellites focusing on short-duration satellite missions</w:t>
      </w:r>
      <w:r w:rsidRPr="00A52E0D">
        <w:t xml:space="preserve"> </w:t>
      </w:r>
      <w:r>
        <w:t>for experimental purposes.</w:t>
      </w:r>
    </w:p>
    <w:p w14:paraId="45C5D7A1" w14:textId="77777777" w:rsidR="007F3368" w:rsidRDefault="007F3368" w:rsidP="00D7755E">
      <w:pPr>
        <w:pStyle w:val="BodySubHeader"/>
      </w:pPr>
      <w:r>
        <w:t xml:space="preserve">Progress achieved </w:t>
      </w:r>
    </w:p>
    <w:p w14:paraId="51EE230A" w14:textId="328FD780" w:rsidR="007F3368" w:rsidRDefault="007F3368" w:rsidP="00D7755E">
      <w:pPr>
        <w:spacing w:after="80"/>
      </w:pPr>
      <w:r>
        <w:t>In 201</w:t>
      </w:r>
      <w:r w:rsidR="001355CA">
        <w:t>8</w:t>
      </w:r>
      <w:r w:rsidR="00EF0E76">
        <w:t>–</w:t>
      </w:r>
      <w:r w:rsidR="006E164C">
        <w:t>19</w:t>
      </w:r>
      <w:r>
        <w:t xml:space="preserve">, the ACMA finalised consultation on </w:t>
      </w:r>
      <w:r w:rsidR="00F22FDB">
        <w:t>several</w:t>
      </w:r>
      <w:r>
        <w:t xml:space="preserve"> issues to support developments in satellite communications</w:t>
      </w:r>
      <w:r w:rsidR="006E164C">
        <w:t xml:space="preserve"> and in September 2018 made updates to the</w:t>
      </w:r>
      <w:r>
        <w:t>:</w:t>
      </w:r>
    </w:p>
    <w:p w14:paraId="454CE216" w14:textId="2335AE65" w:rsidR="006E164C" w:rsidRDefault="006E164C">
      <w:pPr>
        <w:pStyle w:val="ListBullet"/>
        <w:tabs>
          <w:tab w:val="clear" w:pos="-261"/>
          <w:tab w:val="num" w:pos="-260"/>
        </w:tabs>
      </w:pPr>
      <w:r w:rsidRPr="006E164C">
        <w:t>Radiocommunications (Communication with Space Object) Class Licence</w:t>
      </w:r>
      <w:r w:rsidR="00B45FDA">
        <w:t xml:space="preserve"> 2015</w:t>
      </w:r>
    </w:p>
    <w:p w14:paraId="3609BF26" w14:textId="1A5C2542" w:rsidR="006E164C" w:rsidRDefault="006E164C">
      <w:pPr>
        <w:pStyle w:val="ListBullet"/>
        <w:tabs>
          <w:tab w:val="clear" w:pos="-261"/>
          <w:tab w:val="num" w:pos="-260"/>
        </w:tabs>
      </w:pPr>
      <w:r w:rsidRPr="006E164C">
        <w:t>Radiocommunications (Foreign Space Objects) Determination 2014</w:t>
      </w:r>
    </w:p>
    <w:p w14:paraId="50469B59" w14:textId="2520BFCD" w:rsidR="00330303" w:rsidRDefault="006E164C" w:rsidP="00DE694D">
      <w:pPr>
        <w:pStyle w:val="ListBulletLast"/>
      </w:pPr>
      <w:r w:rsidRPr="006E164C">
        <w:t xml:space="preserve">Radiocommunications (Australian Space Objects) Determination </w:t>
      </w:r>
      <w:r w:rsidRPr="00E26672">
        <w:t>2014</w:t>
      </w:r>
      <w:r w:rsidR="00403D2A">
        <w:t>.</w:t>
      </w:r>
      <w:r w:rsidRPr="006E164C" w:rsidDel="006E164C">
        <w:t xml:space="preserve"> </w:t>
      </w:r>
      <w:r w:rsidR="00330303">
        <w:t xml:space="preserve"> </w:t>
      </w:r>
    </w:p>
    <w:p w14:paraId="48AAF63D" w14:textId="071B4C37" w:rsidR="000E050A" w:rsidRDefault="000E050A" w:rsidP="00D7755E">
      <w:r>
        <w:t>In late 2018 the ACMA consulted on frequency coordination requirements between apparatus-licensed fixed point-to-point links (in the 6 and 6.7 GHz bands) and FSS earth stations communicating with geostationary orbit satellites.</w:t>
      </w:r>
    </w:p>
    <w:p w14:paraId="22A137A7" w14:textId="4192D4D4" w:rsidR="007F3368" w:rsidRDefault="006E164C" w:rsidP="00D7755E">
      <w:r>
        <w:t>In December 2018</w:t>
      </w:r>
      <w:r w:rsidR="00F22FDB">
        <w:t>,</w:t>
      </w:r>
      <w:r>
        <w:t xml:space="preserve"> the ACMA commence</w:t>
      </w:r>
      <w:r w:rsidR="00545902">
        <w:t>d</w:t>
      </w:r>
      <w:r>
        <w:t xml:space="preserve"> consultation on an update </w:t>
      </w:r>
      <w:r w:rsidRPr="00D7755E">
        <w:t xml:space="preserve">to frequency coordination procedures for the earth station protection zones around </w:t>
      </w:r>
      <w:r>
        <w:t>Moree, Quirindi and Roma.</w:t>
      </w:r>
      <w:r w:rsidR="00EF6022">
        <w:t xml:space="preserve"> This work is expected to be completed by Q4 2018</w:t>
      </w:r>
      <w:r w:rsidR="00243870">
        <w:t>–</w:t>
      </w:r>
      <w:r w:rsidR="00EF6022">
        <w:t>19</w:t>
      </w:r>
      <w:r w:rsidR="00545902">
        <w:t>.</w:t>
      </w:r>
    </w:p>
    <w:p w14:paraId="1DE0B9B7" w14:textId="3296A8BB" w:rsidR="009C2FFE" w:rsidRPr="005B4845" w:rsidRDefault="009C2FFE" w:rsidP="00D7755E">
      <w:pPr>
        <w:pStyle w:val="BodySubHeader"/>
        <w:keepNext/>
        <w:keepLines/>
      </w:pPr>
      <w:r w:rsidRPr="005B4845">
        <w:lastRenderedPageBreak/>
        <w:t>Activities planned for 201</w:t>
      </w:r>
      <w:r w:rsidR="00041CA4">
        <w:t>9</w:t>
      </w:r>
      <w:r w:rsidR="002F10B6" w:rsidRPr="005B4845">
        <w:t>–</w:t>
      </w:r>
      <w:r w:rsidR="00041CA4">
        <w:t>20</w:t>
      </w:r>
      <w:r w:rsidRPr="005B4845">
        <w:t xml:space="preserve"> </w:t>
      </w:r>
    </w:p>
    <w:p w14:paraId="4BC3C9B1" w14:textId="7DA1DC36" w:rsidR="001A7901" w:rsidRDefault="00303F02" w:rsidP="00D7755E">
      <w:r>
        <w:t>While the ACMA intends to prioriti</w:t>
      </w:r>
      <w:r w:rsidR="003A1F35">
        <w:t>se</w:t>
      </w:r>
      <w:r>
        <w:t xml:space="preserve"> its support for </w:t>
      </w:r>
      <w:r w:rsidR="003A1F35">
        <w:t>Australia’s</w:t>
      </w:r>
      <w:r>
        <w:t xml:space="preserve"> international engagement activities </w:t>
      </w:r>
      <w:r w:rsidR="003A1F35">
        <w:t>leading up to, and including,</w:t>
      </w:r>
      <w:r>
        <w:t xml:space="preserve"> WRC-19, the following </w:t>
      </w:r>
      <w:r w:rsidR="00CF7C7A">
        <w:t>satellite planning activities</w:t>
      </w:r>
      <w:r>
        <w:t xml:space="preserve"> are envisaged for 2019</w:t>
      </w:r>
      <w:r w:rsidR="00545902">
        <w:t>–</w:t>
      </w:r>
      <w:r>
        <w:t>20</w:t>
      </w:r>
      <w:r w:rsidR="00CF7C7A">
        <w:t>.</w:t>
      </w:r>
    </w:p>
    <w:p w14:paraId="311D666A" w14:textId="77777777" w:rsidR="003D7FAC" w:rsidRPr="0037046B" w:rsidRDefault="00016561" w:rsidP="00D7755E">
      <w:pPr>
        <w:pStyle w:val="BodySubHeader"/>
        <w:keepNext/>
      </w:pPr>
      <w:r w:rsidRPr="00344590">
        <w:t xml:space="preserve">Spectrum arrangements for </w:t>
      </w:r>
      <w:r w:rsidR="002F10B6" w:rsidRPr="00344590">
        <w:t>‘</w:t>
      </w:r>
      <w:r w:rsidRPr="00344590">
        <w:t>small satellites</w:t>
      </w:r>
      <w:r w:rsidR="002F10B6" w:rsidRPr="0037046B">
        <w:t>’</w:t>
      </w:r>
    </w:p>
    <w:p w14:paraId="31E3359B" w14:textId="458A0BEA" w:rsidR="00CF7C7A" w:rsidRDefault="00CF7C7A" w:rsidP="00D7755E">
      <w:r>
        <w:t>The ACMA is continuing the work identified in the FYSO</w:t>
      </w:r>
      <w:r w:rsidR="00545902">
        <w:t xml:space="preserve"> 2018–22</w:t>
      </w:r>
      <w:r>
        <w:t xml:space="preserve"> in support</w:t>
      </w:r>
      <w:r w:rsidR="003A1F35">
        <w:t xml:space="preserve"> of</w:t>
      </w:r>
      <w:r>
        <w:t xml:space="preserve"> ‘small </w:t>
      </w:r>
      <w:r w:rsidR="001062C2">
        <w:t>satellites’</w:t>
      </w:r>
      <w:r>
        <w:t xml:space="preserve">. </w:t>
      </w:r>
    </w:p>
    <w:p w14:paraId="1433AA5D" w14:textId="0F74F93C" w:rsidR="00672016" w:rsidRDefault="008C7725" w:rsidP="00D7755E">
      <w:r>
        <w:t xml:space="preserve">The ACMA </w:t>
      </w:r>
      <w:r w:rsidR="00C70FBF">
        <w:t>will</w:t>
      </w:r>
      <w:r w:rsidR="00B971FB">
        <w:t xml:space="preserve"> </w:t>
      </w:r>
      <w:r w:rsidR="00CF7C7A">
        <w:t>target its work on supporting short-duration satellite missions</w:t>
      </w:r>
      <w:r w:rsidR="00CF7C7A" w:rsidRPr="00A52E0D">
        <w:t xml:space="preserve"> </w:t>
      </w:r>
      <w:r w:rsidR="00CF7C7A">
        <w:t xml:space="preserve">for experimental </w:t>
      </w:r>
      <w:r w:rsidR="001062C2">
        <w:t>purposes as</w:t>
      </w:r>
      <w:r w:rsidR="00CF7C7A">
        <w:t xml:space="preserve"> well as seeking </w:t>
      </w:r>
      <w:r w:rsidR="004A3036">
        <w:t xml:space="preserve">industry’s </w:t>
      </w:r>
      <w:r>
        <w:t xml:space="preserve">views </w:t>
      </w:r>
      <w:r w:rsidR="004A3036">
        <w:t>on</w:t>
      </w:r>
      <w:r>
        <w:t xml:space="preserve"> what changes can be made to the existing spectrum management framework to support </w:t>
      </w:r>
      <w:r w:rsidR="003A1F35">
        <w:t xml:space="preserve">the </w:t>
      </w:r>
      <w:r w:rsidR="00CF7C7A">
        <w:t xml:space="preserve">broader </w:t>
      </w:r>
      <w:r>
        <w:t>needs</w:t>
      </w:r>
      <w:r w:rsidR="00CF7C7A">
        <w:t xml:space="preserve"> of </w:t>
      </w:r>
      <w:proofErr w:type="spellStart"/>
      <w:r w:rsidR="00CF7C7A">
        <w:t>smallsat</w:t>
      </w:r>
      <w:proofErr w:type="spellEnd"/>
      <w:r w:rsidR="00CF7C7A">
        <w:t xml:space="preserve"> users</w:t>
      </w:r>
      <w:r w:rsidR="0037254E">
        <w:t>,</w:t>
      </w:r>
      <w:r>
        <w:t xml:space="preserve"> </w:t>
      </w:r>
      <w:r w:rsidR="00B971FB">
        <w:t xml:space="preserve">while ensuring a </w:t>
      </w:r>
      <w:r w:rsidR="0037254E">
        <w:t xml:space="preserve">continuing, </w:t>
      </w:r>
      <w:r w:rsidR="00B971FB">
        <w:t>stable regulatory environment for ‘traditional’ satellite use</w:t>
      </w:r>
      <w:r w:rsidR="0037254E">
        <w:t>rs</w:t>
      </w:r>
      <w:r w:rsidR="00016561">
        <w:t>.</w:t>
      </w:r>
      <w:r w:rsidR="00B971FB">
        <w:t xml:space="preserve"> </w:t>
      </w:r>
    </w:p>
    <w:p w14:paraId="1D1B78BF" w14:textId="14922378" w:rsidR="008C7725" w:rsidRPr="002268C9" w:rsidRDefault="00CF7C7A" w:rsidP="00D7755E">
      <w:r>
        <w:t>T</w:t>
      </w:r>
      <w:r w:rsidR="008C7725">
        <w:t xml:space="preserve">he ACMA </w:t>
      </w:r>
      <w:r w:rsidR="00B971FB">
        <w:t xml:space="preserve">expects to </w:t>
      </w:r>
      <w:r w:rsidR="00CB4118">
        <w:t>release</w:t>
      </w:r>
      <w:r w:rsidR="00CB4118" w:rsidDel="008F3780">
        <w:t xml:space="preserve"> </w:t>
      </w:r>
      <w:r w:rsidR="00CB4118">
        <w:t>a discussion paper by</w:t>
      </w:r>
      <w:r w:rsidR="004A3036">
        <w:t xml:space="preserve"> the</w:t>
      </w:r>
      <w:r w:rsidR="00CB4118">
        <w:t xml:space="preserve"> end</w:t>
      </w:r>
      <w:r w:rsidR="004A3036">
        <w:t xml:space="preserve"> of</w:t>
      </w:r>
      <w:r w:rsidR="00CB4118">
        <w:t xml:space="preserve"> Q</w:t>
      </w:r>
      <w:r w:rsidR="008A6603">
        <w:t>4</w:t>
      </w:r>
      <w:r w:rsidR="00CB4118">
        <w:t xml:space="preserve"> 2018</w:t>
      </w:r>
      <w:r w:rsidR="00063F57">
        <w:t>–</w:t>
      </w:r>
      <w:r w:rsidR="00CB4118">
        <w:t>19</w:t>
      </w:r>
      <w:r w:rsidR="008C7725">
        <w:t>.</w:t>
      </w:r>
      <w:r>
        <w:t xml:space="preserve"> This work </w:t>
      </w:r>
      <w:r w:rsidR="004A3036">
        <w:t>should</w:t>
      </w:r>
      <w:r>
        <w:t xml:space="preserve"> continue into 2019</w:t>
      </w:r>
      <w:r w:rsidR="00243870">
        <w:t>–</w:t>
      </w:r>
      <w:r>
        <w:t>20 with the ACMA reviewing submissions received and developing a way forward.</w:t>
      </w:r>
    </w:p>
    <w:p w14:paraId="41F3EB63" w14:textId="77777777" w:rsidR="00B971FB" w:rsidRDefault="00992750" w:rsidP="00D7755E">
      <w:pPr>
        <w:pStyle w:val="BodySubHeader"/>
      </w:pPr>
      <w:r>
        <w:t>Updating regulatory arrangement</w:t>
      </w:r>
      <w:r w:rsidR="00985FA1">
        <w:t>s</w:t>
      </w:r>
      <w:r>
        <w:t xml:space="preserve"> for space</w:t>
      </w:r>
      <w:r w:rsidR="000B35F0">
        <w:t>-</w:t>
      </w:r>
      <w:r>
        <w:t xml:space="preserve">based communications systems </w:t>
      </w:r>
    </w:p>
    <w:p w14:paraId="5750FD06" w14:textId="77777777" w:rsidR="00483DC5" w:rsidRDefault="00FB6B0A" w:rsidP="00D7755E">
      <w:r w:rsidRPr="00D35496">
        <w:t xml:space="preserve">The ACMA will continue to monitor trends in the spectrum needs of space-based communications systems, as well as developments in emerging space-based technologies and applications. </w:t>
      </w:r>
    </w:p>
    <w:p w14:paraId="7F458360" w14:textId="2ED9E323" w:rsidR="00483DC5" w:rsidRDefault="001355CA" w:rsidP="00D7755E">
      <w:r>
        <w:t xml:space="preserve">At this stage, except for consideration of inclusion </w:t>
      </w:r>
      <w:r w:rsidRPr="00DB04B9">
        <w:t>10.7</w:t>
      </w:r>
      <w:r>
        <w:t>–</w:t>
      </w:r>
      <w:r w:rsidRPr="00DB04B9">
        <w:t xml:space="preserve">11.7 GHz in the </w:t>
      </w:r>
      <w:r w:rsidR="00176275">
        <w:t>Radiocommunications (</w:t>
      </w:r>
      <w:r w:rsidRPr="00DB04B9">
        <w:t>Communication with Space Object</w:t>
      </w:r>
      <w:r w:rsidR="00176275">
        <w:t>)</w:t>
      </w:r>
      <w:r w:rsidRPr="00DB04B9">
        <w:t xml:space="preserve"> Class Licence</w:t>
      </w:r>
      <w:r w:rsidR="00176275">
        <w:t xml:space="preserve"> 2015</w:t>
      </w:r>
      <w:r>
        <w:t xml:space="preserve"> (see below), the ACMA is not aware of </w:t>
      </w:r>
      <w:r w:rsidR="00147F0C">
        <w:t xml:space="preserve">any </w:t>
      </w:r>
      <w:r>
        <w:t>proposal</w:t>
      </w:r>
      <w:r w:rsidR="00147F0C">
        <w:t>s</w:t>
      </w:r>
      <w:r>
        <w:t xml:space="preserve"> that could necessitate the need for </w:t>
      </w:r>
      <w:r w:rsidR="00FB6B0A" w:rsidRPr="00D35496">
        <w:t>updates</w:t>
      </w:r>
      <w:r w:rsidR="00147F0C">
        <w:t xml:space="preserve"> to current </w:t>
      </w:r>
      <w:r w:rsidR="00FB6B0A" w:rsidRPr="00D35496">
        <w:t>regulatory arrangements</w:t>
      </w:r>
      <w:r w:rsidR="00483DC5">
        <w:t>.</w:t>
      </w:r>
      <w:r w:rsidR="00FB6B0A">
        <w:rPr>
          <w:rStyle w:val="FootnoteReference"/>
        </w:rPr>
        <w:footnoteReference w:id="29"/>
      </w:r>
      <w:r w:rsidR="00FB6B0A" w:rsidRPr="00D35496">
        <w:t xml:space="preserve"> </w:t>
      </w:r>
    </w:p>
    <w:p w14:paraId="428D02A1" w14:textId="77EB8B34" w:rsidR="00B514B8" w:rsidRPr="00D35496" w:rsidRDefault="00FB6B0A" w:rsidP="00D7755E">
      <w:r w:rsidRPr="00D35496">
        <w:t xml:space="preserve">Organisations planning new satellite communication systems and intending to use existing systems are encouraged to contact the ACMA to discuss whether such updates are required and </w:t>
      </w:r>
      <w:r w:rsidR="004A3036">
        <w:t xml:space="preserve">if so, </w:t>
      </w:r>
      <w:r>
        <w:t>the</w:t>
      </w:r>
      <w:r w:rsidR="004A3036">
        <w:t>ir</w:t>
      </w:r>
      <w:r>
        <w:t xml:space="preserve"> </w:t>
      </w:r>
      <w:r w:rsidRPr="00D35496">
        <w:t>timing.</w:t>
      </w:r>
      <w:r w:rsidR="001355CA" w:rsidRPr="001355CA">
        <w:t xml:space="preserve"> </w:t>
      </w:r>
      <w:r w:rsidR="001355CA">
        <w:t>Any</w:t>
      </w:r>
      <w:r w:rsidR="001355CA" w:rsidRPr="00D35496">
        <w:t xml:space="preserve"> future work will depend on stakeholder feedback</w:t>
      </w:r>
      <w:r w:rsidR="001355CA">
        <w:t xml:space="preserve">, </w:t>
      </w:r>
      <w:r w:rsidR="001355CA" w:rsidRPr="00D35496">
        <w:t>priority relative to other projects in the</w:t>
      </w:r>
      <w:r w:rsidR="001355CA">
        <w:t xml:space="preserve"> ACMA’s</w:t>
      </w:r>
      <w:r w:rsidR="001355CA" w:rsidRPr="00D35496">
        <w:t xml:space="preserve"> </w:t>
      </w:r>
      <w:r w:rsidR="00151518">
        <w:t>annual</w:t>
      </w:r>
      <w:r w:rsidR="00151518" w:rsidRPr="00D35496">
        <w:t xml:space="preserve"> </w:t>
      </w:r>
      <w:r w:rsidR="001355CA" w:rsidRPr="00D35496">
        <w:t>work program</w:t>
      </w:r>
      <w:r w:rsidR="001355CA">
        <w:t xml:space="preserve"> and technical viability (for example</w:t>
      </w:r>
      <w:r w:rsidR="004A3036">
        <w:t>,</w:t>
      </w:r>
      <w:r w:rsidR="001355CA">
        <w:t xml:space="preserve"> consideration of </w:t>
      </w:r>
      <w:r w:rsidR="00B514B8">
        <w:t>the potential impact on terrestrial services</w:t>
      </w:r>
      <w:r w:rsidR="001355CA">
        <w:t>)</w:t>
      </w:r>
      <w:r w:rsidR="00B514B8">
        <w:t xml:space="preserve">. </w:t>
      </w:r>
    </w:p>
    <w:p w14:paraId="36AAAB56" w14:textId="13B2F8A8" w:rsidR="00B514B8" w:rsidRDefault="001062C2" w:rsidP="00D7755E">
      <w:r>
        <w:t>C</w:t>
      </w:r>
      <w:r w:rsidR="00CB4118">
        <w:t xml:space="preserve">onsideration of </w:t>
      </w:r>
      <w:r>
        <w:t>future</w:t>
      </w:r>
      <w:r w:rsidRPr="001062C2">
        <w:t xml:space="preserve"> </w:t>
      </w:r>
      <w:r w:rsidR="00E94117">
        <w:t>Ka</w:t>
      </w:r>
      <w:r w:rsidR="00063F57">
        <w:t>-</w:t>
      </w:r>
      <w:r w:rsidR="00E94117">
        <w:t xml:space="preserve">band </w:t>
      </w:r>
      <w:r w:rsidR="00CB4118">
        <w:t>satellite usage</w:t>
      </w:r>
      <w:r>
        <w:t>, including expanding the frequency range support</w:t>
      </w:r>
      <w:r w:rsidR="003A1F35">
        <w:t>ing</w:t>
      </w:r>
      <w:r>
        <w:t xml:space="preserve"> </w:t>
      </w:r>
      <w:r w:rsidR="003A1F35">
        <w:t xml:space="preserve">growing </w:t>
      </w:r>
      <w:r w:rsidRPr="001062C2">
        <w:t>ubiquitous</w:t>
      </w:r>
      <w:r>
        <w:t xml:space="preserve"> usage, is being undertaken as part of the ACMA </w:t>
      </w:r>
      <w:r w:rsidR="00A138EE">
        <w:t xml:space="preserve">review of the </w:t>
      </w:r>
      <w:r>
        <w:t>28 GHz</w:t>
      </w:r>
      <w:r w:rsidR="00A138EE">
        <w:t xml:space="preserve"> band</w:t>
      </w:r>
      <w:r>
        <w:t>.</w:t>
      </w:r>
    </w:p>
    <w:p w14:paraId="4C7BDBB5" w14:textId="77777777" w:rsidR="00AF65F1" w:rsidRDefault="00AF65F1" w:rsidP="00D7755E">
      <w:pPr>
        <w:pStyle w:val="BodySubHeader"/>
        <w:keepNext/>
      </w:pPr>
      <w:r>
        <w:t>General review of space licensing procedures</w:t>
      </w:r>
    </w:p>
    <w:p w14:paraId="7FCC10C6" w14:textId="42298767" w:rsidR="00483DC5" w:rsidRDefault="00FB6B0A" w:rsidP="00D7755E">
      <w:pPr>
        <w:spacing w:after="80"/>
      </w:pPr>
      <w:r>
        <w:t xml:space="preserve">The ACMA is </w:t>
      </w:r>
      <w:r w:rsidR="00822964">
        <w:t xml:space="preserve">continuing </w:t>
      </w:r>
      <w:r w:rsidR="00AC03A7">
        <w:t xml:space="preserve">the </w:t>
      </w:r>
      <w:r w:rsidR="00822964">
        <w:t xml:space="preserve">work </w:t>
      </w:r>
      <w:r w:rsidR="00AC03A7">
        <w:t>identified in the FYSO</w:t>
      </w:r>
      <w:r w:rsidR="004A3036">
        <w:t xml:space="preserve"> 2018</w:t>
      </w:r>
      <w:r w:rsidR="00243870">
        <w:t>–</w:t>
      </w:r>
      <w:r w:rsidR="004A3036">
        <w:t>22</w:t>
      </w:r>
      <w:r w:rsidR="00AC03A7">
        <w:t xml:space="preserve"> </w:t>
      </w:r>
      <w:r>
        <w:t>review</w:t>
      </w:r>
      <w:r w:rsidR="00822964">
        <w:t>ing its administrative assessment procedures for apparatus licensing of space</w:t>
      </w:r>
      <w:r w:rsidR="004A3036">
        <w:t>-</w:t>
      </w:r>
      <w:r w:rsidR="00822964">
        <w:t>based communications systems</w:t>
      </w:r>
      <w:r>
        <w:t xml:space="preserve">. </w:t>
      </w:r>
    </w:p>
    <w:p w14:paraId="46A883F3" w14:textId="5AD53D0E" w:rsidR="00FB6B0A" w:rsidRDefault="00FB6B0A" w:rsidP="00DE694D">
      <w:pPr>
        <w:keepNext/>
        <w:keepLines/>
        <w:spacing w:after="80"/>
      </w:pPr>
      <w:r>
        <w:lastRenderedPageBreak/>
        <w:t>One of the key purposes of the review is to consider whether</w:t>
      </w:r>
      <w:r w:rsidR="00063F57">
        <w:t>,</w:t>
      </w:r>
      <w:r>
        <w:t xml:space="preserve"> in light of trends in space-based communications systems</w:t>
      </w:r>
      <w:r w:rsidR="00063F57">
        <w:t>,</w:t>
      </w:r>
      <w:r>
        <w:t xml:space="preserve"> licensing procedures are appropriate and commensurate with the risk of interference, and</w:t>
      </w:r>
      <w:r w:rsidR="004A3036">
        <w:t xml:space="preserve"> to</w:t>
      </w:r>
      <w:r>
        <w:t xml:space="preserve"> consider possible updates to business operating procedures for licensing of space-based communications systems.</w:t>
      </w:r>
      <w:r>
        <w:rPr>
          <w:rStyle w:val="FootnoteReference"/>
        </w:rPr>
        <w:footnoteReference w:id="30"/>
      </w:r>
      <w:r>
        <w:t xml:space="preserve"> </w:t>
      </w:r>
      <w:bookmarkStart w:id="270" w:name="_Hlk2679884"/>
      <w:r>
        <w:t xml:space="preserve">Given issues raised in </w:t>
      </w:r>
      <w:r w:rsidR="001062C2">
        <w:t>previous consultations</w:t>
      </w:r>
      <w:r>
        <w:t xml:space="preserve">, some topics in the scope of the review </w:t>
      </w:r>
      <w:r w:rsidR="009263D1">
        <w:t>are whether</w:t>
      </w:r>
      <w:r w:rsidR="000B35F0">
        <w:t xml:space="preserve"> </w:t>
      </w:r>
      <w:r>
        <w:t>there is a need to include additional measures for:</w:t>
      </w:r>
      <w:bookmarkEnd w:id="270"/>
    </w:p>
    <w:p w14:paraId="49DAC8E9" w14:textId="30AA96F5" w:rsidR="00FB6B0A" w:rsidRPr="00551873" w:rsidRDefault="00FB6B0A">
      <w:pPr>
        <w:pStyle w:val="ListBullet"/>
        <w:tabs>
          <w:tab w:val="clear" w:pos="-261"/>
          <w:tab w:val="num" w:pos="-260"/>
        </w:tabs>
      </w:pPr>
      <w:bookmarkStart w:id="271" w:name="_Hlk2679972"/>
      <w:r>
        <w:t>when</w:t>
      </w:r>
      <w:r w:rsidRPr="00CA45D7" w:rsidDel="006D64BD">
        <w:t xml:space="preserve"> </w:t>
      </w:r>
      <w:r w:rsidRPr="00CA45D7">
        <w:t xml:space="preserve">the ITU satellite </w:t>
      </w:r>
      <w:r w:rsidRPr="00E26672">
        <w:t>coordination</w:t>
      </w:r>
      <w:r w:rsidRPr="00CA45D7">
        <w:t xml:space="preserve"> process </w:t>
      </w:r>
      <w:r w:rsidR="009E0F86">
        <w:t>is</w:t>
      </w:r>
      <w:r w:rsidR="009E0F86" w:rsidRPr="00CA45D7">
        <w:t xml:space="preserve"> </w:t>
      </w:r>
      <w:r w:rsidRPr="00CA45D7">
        <w:t>not completed</w:t>
      </w:r>
    </w:p>
    <w:p w14:paraId="695A5EFF" w14:textId="1B6DF572" w:rsidR="00FB6B0A" w:rsidRPr="00947F88" w:rsidRDefault="00FB6B0A" w:rsidP="00DE694D">
      <w:pPr>
        <w:pStyle w:val="ListBulletLast"/>
        <w:rPr>
          <w:color w:val="1F497D"/>
        </w:rPr>
      </w:pPr>
      <w:r w:rsidRPr="00CA45D7">
        <w:t xml:space="preserve">where the satellite network has been </w:t>
      </w:r>
      <w:r w:rsidRPr="00E26672">
        <w:t>recorded</w:t>
      </w:r>
      <w:r w:rsidRPr="00CA45D7">
        <w:t xml:space="preserve"> in the Master International Frequency Register (MIFR) in accordance w</w:t>
      </w:r>
      <w:r w:rsidRPr="00947F88">
        <w:t>ith ITU Radio Regulation No. 11.</w:t>
      </w:r>
      <w:r w:rsidR="001971EA">
        <w:t>41</w:t>
      </w:r>
      <w:r w:rsidR="00063F57">
        <w:t>.</w:t>
      </w:r>
      <w:bookmarkEnd w:id="271"/>
    </w:p>
    <w:p w14:paraId="4AFB39FF" w14:textId="55B24A99" w:rsidR="00D34C68" w:rsidRDefault="00AC35F5" w:rsidP="008713AA">
      <w:r>
        <w:t>This work has been delayed</w:t>
      </w:r>
      <w:r w:rsidR="00BD6AED">
        <w:t xml:space="preserve">, with </w:t>
      </w:r>
      <w:r>
        <w:t xml:space="preserve">a </w:t>
      </w:r>
      <w:r w:rsidR="00F84899">
        <w:t xml:space="preserve">consultation paper </w:t>
      </w:r>
      <w:r>
        <w:t xml:space="preserve">now expected to </w:t>
      </w:r>
      <w:r w:rsidR="00822964">
        <w:t xml:space="preserve">be </w:t>
      </w:r>
      <w:r w:rsidR="00F84899">
        <w:t>release</w:t>
      </w:r>
      <w:r w:rsidR="00822964">
        <w:t>d</w:t>
      </w:r>
      <w:r w:rsidR="00F84899">
        <w:t xml:space="preserve"> in Q</w:t>
      </w:r>
      <w:r>
        <w:t>4</w:t>
      </w:r>
      <w:r w:rsidR="00F84899">
        <w:t xml:space="preserve"> 2018</w:t>
      </w:r>
      <w:r w:rsidR="000B35F0">
        <w:t>–</w:t>
      </w:r>
      <w:r w:rsidR="00F84899">
        <w:t>19</w:t>
      </w:r>
      <w:r>
        <w:t xml:space="preserve"> (previously Q2)</w:t>
      </w:r>
      <w:r w:rsidR="00F84899">
        <w:t xml:space="preserve">. </w:t>
      </w:r>
      <w:r w:rsidR="00AC03A7">
        <w:t>This work is expected to continue into 2019</w:t>
      </w:r>
      <w:r w:rsidR="004A3036">
        <w:t>–</w:t>
      </w:r>
      <w:r w:rsidR="00AC03A7">
        <w:t xml:space="preserve">20 with the ACMA reviewing submissions </w:t>
      </w:r>
      <w:r w:rsidR="00CF7C7A">
        <w:t>received and developing a way forward.</w:t>
      </w:r>
      <w:r w:rsidR="00A30C58" w:rsidRPr="00A30C58">
        <w:t xml:space="preserve"> </w:t>
      </w:r>
      <w:r w:rsidR="00A30C58">
        <w:t xml:space="preserve">The ACMA is aware </w:t>
      </w:r>
      <w:r w:rsidR="00483DC5">
        <w:t>several</w:t>
      </w:r>
      <w:r w:rsidR="00A30C58">
        <w:t xml:space="preserve"> stakeholders interested in this work are involved in </w:t>
      </w:r>
      <w:r w:rsidR="009E0F86">
        <w:t xml:space="preserve">the </w:t>
      </w:r>
      <w:r w:rsidR="00A30C58">
        <w:t>WRC-19 process and will be mindful of this in timing any follow</w:t>
      </w:r>
      <w:r w:rsidR="004A3036">
        <w:t>-</w:t>
      </w:r>
      <w:r w:rsidR="00A30C58">
        <w:t xml:space="preserve">up work after the release of the discussion paper. </w:t>
      </w:r>
    </w:p>
    <w:p w14:paraId="22ECD1EA" w14:textId="6C6C6B76" w:rsidR="00DB04B9" w:rsidRPr="00CA5FD2" w:rsidRDefault="00DB04B9" w:rsidP="00D7755E">
      <w:pPr>
        <w:pStyle w:val="BodySubHeader"/>
      </w:pPr>
      <w:r w:rsidRPr="00CA5FD2">
        <w:t>Review of regulatory arrangements for ESIM</w:t>
      </w:r>
      <w:r w:rsidR="00BC5180">
        <w:t>s</w:t>
      </w:r>
      <w:r>
        <w:t xml:space="preserve"> parts of Ku</w:t>
      </w:r>
      <w:r w:rsidR="00231D4A">
        <w:t>-</w:t>
      </w:r>
      <w:r>
        <w:t>band</w:t>
      </w:r>
    </w:p>
    <w:p w14:paraId="49355583" w14:textId="4E3C5CF3" w:rsidR="00DB04B9" w:rsidRDefault="00AC03A7" w:rsidP="00D7755E">
      <w:r>
        <w:t>The ACMA is continuing the work identified in the FYSO</w:t>
      </w:r>
      <w:r w:rsidR="004A3036">
        <w:t xml:space="preserve"> 2018</w:t>
      </w:r>
      <w:r w:rsidR="00243870">
        <w:t>–</w:t>
      </w:r>
      <w:r w:rsidR="004A3036">
        <w:t>22</w:t>
      </w:r>
      <w:r w:rsidDel="004A3036">
        <w:t xml:space="preserve"> </w:t>
      </w:r>
      <w:r w:rsidR="00DB04B9" w:rsidRPr="00FA3274">
        <w:rPr>
          <w:rFonts w:cs="Arial"/>
          <w:szCs w:val="20"/>
        </w:rPr>
        <w:t>review</w:t>
      </w:r>
      <w:r w:rsidR="004A3036">
        <w:rPr>
          <w:rFonts w:cs="Arial"/>
          <w:szCs w:val="20"/>
        </w:rPr>
        <w:t>ing</w:t>
      </w:r>
      <w:r w:rsidR="00DB04B9" w:rsidRPr="00FA3274">
        <w:rPr>
          <w:rFonts w:cs="Arial"/>
          <w:szCs w:val="20"/>
        </w:rPr>
        <w:t xml:space="preserve"> </w:t>
      </w:r>
      <w:r w:rsidR="00DB04B9">
        <w:rPr>
          <w:rFonts w:cs="Arial"/>
          <w:szCs w:val="20"/>
        </w:rPr>
        <w:t xml:space="preserve">existing arrangements to identify what (if any) </w:t>
      </w:r>
      <w:r w:rsidR="00DB04B9" w:rsidRPr="00FA3274">
        <w:rPr>
          <w:rFonts w:cs="Arial"/>
          <w:szCs w:val="20"/>
        </w:rPr>
        <w:t>changes are required to existing regulatory and licensing arrangements to support ESIM</w:t>
      </w:r>
      <w:r w:rsidR="00BC5180">
        <w:rPr>
          <w:rFonts w:cs="Arial"/>
          <w:szCs w:val="20"/>
        </w:rPr>
        <w:t>s</w:t>
      </w:r>
      <w:r w:rsidR="00DB04B9" w:rsidRPr="00FA3274">
        <w:rPr>
          <w:rFonts w:cs="Arial"/>
          <w:szCs w:val="20"/>
        </w:rPr>
        <w:t xml:space="preserve"> in </w:t>
      </w:r>
      <w:r w:rsidR="00231D4A">
        <w:rPr>
          <w:rFonts w:cs="Arial"/>
          <w:szCs w:val="20"/>
        </w:rPr>
        <w:t xml:space="preserve">the </w:t>
      </w:r>
      <w:r w:rsidR="00DB04B9" w:rsidRPr="00FA3274">
        <w:rPr>
          <w:rFonts w:cs="Arial"/>
          <w:szCs w:val="20"/>
        </w:rPr>
        <w:t>Ku</w:t>
      </w:r>
      <w:r w:rsidR="00231D4A">
        <w:rPr>
          <w:rFonts w:cs="Arial"/>
          <w:szCs w:val="20"/>
        </w:rPr>
        <w:t>-</w:t>
      </w:r>
      <w:r w:rsidR="00DB04B9" w:rsidRPr="00FA3274">
        <w:rPr>
          <w:rFonts w:cs="Arial"/>
          <w:szCs w:val="20"/>
        </w:rPr>
        <w:t xml:space="preserve">band for both </w:t>
      </w:r>
      <w:r w:rsidR="00B84A97">
        <w:t>geostationary orbit</w:t>
      </w:r>
      <w:r w:rsidR="00DB04B9" w:rsidRPr="00FA3274">
        <w:rPr>
          <w:rFonts w:cs="Arial"/>
          <w:szCs w:val="20"/>
        </w:rPr>
        <w:t xml:space="preserve"> and </w:t>
      </w:r>
      <w:r w:rsidR="00B84A97">
        <w:t>non-geostationary orbit</w:t>
      </w:r>
      <w:r w:rsidR="00DB04B9" w:rsidRPr="00FA3274">
        <w:rPr>
          <w:rFonts w:cs="Arial"/>
          <w:szCs w:val="20"/>
        </w:rPr>
        <w:t xml:space="preserve"> satellite networks</w:t>
      </w:r>
      <w:r w:rsidR="00DB04B9">
        <w:rPr>
          <w:rFonts w:cs="Arial"/>
          <w:szCs w:val="20"/>
        </w:rPr>
        <w:t>.</w:t>
      </w:r>
    </w:p>
    <w:p w14:paraId="1E1E68B8" w14:textId="02B648BC" w:rsidR="00DB04B9" w:rsidRDefault="00DB04B9" w:rsidP="00D7755E">
      <w:r>
        <w:rPr>
          <w:rFonts w:cs="Arial"/>
          <w:szCs w:val="20"/>
        </w:rPr>
        <w:t xml:space="preserve">This work </w:t>
      </w:r>
      <w:r w:rsidR="00AC03A7">
        <w:rPr>
          <w:rFonts w:cs="Arial"/>
          <w:szCs w:val="20"/>
        </w:rPr>
        <w:t xml:space="preserve">has progressed and the ACMA expects to release a discussion paper by </w:t>
      </w:r>
      <w:r w:rsidR="00FB6D20">
        <w:rPr>
          <w:rFonts w:cs="Arial"/>
          <w:szCs w:val="20"/>
        </w:rPr>
        <w:t xml:space="preserve">the </w:t>
      </w:r>
      <w:r w:rsidR="00AC03A7">
        <w:rPr>
          <w:rFonts w:cs="Arial"/>
          <w:szCs w:val="20"/>
        </w:rPr>
        <w:t>end</w:t>
      </w:r>
      <w:r w:rsidR="00FB6D20">
        <w:rPr>
          <w:rFonts w:cs="Arial"/>
          <w:szCs w:val="20"/>
        </w:rPr>
        <w:t xml:space="preserve"> of</w:t>
      </w:r>
      <w:r w:rsidR="002B2F2E">
        <w:t xml:space="preserve"> Q3</w:t>
      </w:r>
      <w:r w:rsidR="00AC03A7">
        <w:t xml:space="preserve"> 2018</w:t>
      </w:r>
      <w:r w:rsidR="00FB6D20">
        <w:t>–</w:t>
      </w:r>
      <w:r w:rsidR="00AC03A7">
        <w:t>19</w:t>
      </w:r>
      <w:r w:rsidR="00CF7C7A" w:rsidDel="00BD6AED">
        <w:t>.</w:t>
      </w:r>
    </w:p>
    <w:p w14:paraId="0FA4246D" w14:textId="4BC21BB5" w:rsidR="00DB04B9" w:rsidRDefault="00DB04B9" w:rsidP="00D7755E">
      <w:pPr>
        <w:pStyle w:val="BodySubHeader"/>
      </w:pPr>
      <w:r w:rsidRPr="00DB04B9">
        <w:t>Feasibility of inclusion of 10.7</w:t>
      </w:r>
      <w:r w:rsidR="00727DD8">
        <w:t>–</w:t>
      </w:r>
      <w:r w:rsidRPr="00DB04B9">
        <w:t xml:space="preserve">11.7 GHz in the </w:t>
      </w:r>
      <w:r w:rsidR="00176275">
        <w:t>Radioc</w:t>
      </w:r>
      <w:r w:rsidRPr="00DB04B9">
        <w:t xml:space="preserve">ommunications </w:t>
      </w:r>
      <w:r w:rsidR="00176275">
        <w:t xml:space="preserve">(Communication </w:t>
      </w:r>
      <w:r w:rsidRPr="00DB04B9">
        <w:t>with Space Object</w:t>
      </w:r>
      <w:r w:rsidR="00176275">
        <w:t>)</w:t>
      </w:r>
      <w:r w:rsidRPr="00DB04B9">
        <w:t xml:space="preserve"> Class Licence</w:t>
      </w:r>
    </w:p>
    <w:p w14:paraId="27162B50" w14:textId="2848554B" w:rsidR="006E113A" w:rsidRDefault="00205997" w:rsidP="00D7755E">
      <w:r>
        <w:t>The ACMA is continuing the work identified in the FYSO</w:t>
      </w:r>
      <w:r w:rsidR="00FB6D20">
        <w:t xml:space="preserve"> 2018–22</w:t>
      </w:r>
      <w:r>
        <w:t xml:space="preserve"> </w:t>
      </w:r>
      <w:r w:rsidRPr="00DB04B9">
        <w:t>investigat</w:t>
      </w:r>
      <w:r w:rsidR="00FB6D20">
        <w:t>ing</w:t>
      </w:r>
      <w:r w:rsidRPr="00DB04B9">
        <w:t xml:space="preserve"> the feasibility </w:t>
      </w:r>
      <w:r>
        <w:t>of including the 10.7–11.7 GHz band for earth station receivers in</w:t>
      </w:r>
      <w:r w:rsidR="004044E4">
        <w:t xml:space="preserve"> the</w:t>
      </w:r>
      <w:r w:rsidR="006E113A">
        <w:t xml:space="preserve"> </w:t>
      </w:r>
      <w:r w:rsidR="006E113A" w:rsidRPr="00C43A99">
        <w:t>Radiocommunications (Communication with Space Object) Class Licence</w:t>
      </w:r>
      <w:r w:rsidR="00176275">
        <w:t xml:space="preserve"> 2015</w:t>
      </w:r>
      <w:r w:rsidR="006E113A">
        <w:t xml:space="preserve">. </w:t>
      </w:r>
    </w:p>
    <w:p w14:paraId="18885B01" w14:textId="7735FE0F" w:rsidR="006E113A" w:rsidRDefault="006E113A" w:rsidP="00D7755E">
      <w:r>
        <w:t xml:space="preserve">That frequency range </w:t>
      </w:r>
      <w:r w:rsidR="00063F57">
        <w:t xml:space="preserve">(known as the ‘11 GHz band’) </w:t>
      </w:r>
      <w:r>
        <w:t>is used for fixed point-to-point links and is one of the most heavily used microwave fixed point-to-point link bands in Australia</w:t>
      </w:r>
      <w:r w:rsidR="00231D4A">
        <w:t>,</w:t>
      </w:r>
      <w:r>
        <w:t xml:space="preserve"> with over </w:t>
      </w:r>
      <w:r w:rsidR="00052E1E">
        <w:t>15</w:t>
      </w:r>
      <w:r w:rsidR="00231D4A">
        <w:t>,</w:t>
      </w:r>
      <w:r w:rsidR="00052E1E">
        <w:t>3</w:t>
      </w:r>
      <w:r w:rsidRPr="00FC654E">
        <w:t>00 links</w:t>
      </w:r>
      <w:r>
        <w:t xml:space="preserve"> in operation. Earth stations currently operate in this frequency range on an individual coordinated basis. </w:t>
      </w:r>
    </w:p>
    <w:p w14:paraId="4217FF05" w14:textId="77777777" w:rsidR="004B3010" w:rsidRDefault="006E113A" w:rsidP="00D7755E">
      <w:r>
        <w:t xml:space="preserve">The possible use of ‘ubiquitous’ user terminals under the </w:t>
      </w:r>
      <w:r w:rsidRPr="00CD459E">
        <w:t>class licence</w:t>
      </w:r>
      <w:r>
        <w:t xml:space="preserve"> would require consideration of the impact on fixed links and </w:t>
      </w:r>
      <w:r w:rsidR="002460B3">
        <w:t xml:space="preserve">investigation </w:t>
      </w:r>
      <w:r>
        <w:t>of</w:t>
      </w:r>
      <w:r w:rsidR="002460B3">
        <w:t xml:space="preserve"> any required technical restrictions</w:t>
      </w:r>
      <w:r>
        <w:t xml:space="preserve"> </w:t>
      </w:r>
      <w:r w:rsidR="002460B3">
        <w:t>on</w:t>
      </w:r>
      <w:r>
        <w:t xml:space="preserve"> earth station receive use. </w:t>
      </w:r>
    </w:p>
    <w:p w14:paraId="2D9F2B80" w14:textId="0ECA4226" w:rsidR="006E113A" w:rsidRDefault="006E113A" w:rsidP="00D7755E">
      <w:r>
        <w:t xml:space="preserve">While </w:t>
      </w:r>
      <w:r w:rsidR="005540A2">
        <w:t xml:space="preserve">uncoordinated </w:t>
      </w:r>
      <w:r>
        <w:t>earth</w:t>
      </w:r>
      <w:r w:rsidDel="002B369B">
        <w:t xml:space="preserve"> </w:t>
      </w:r>
      <w:r>
        <w:t xml:space="preserve">station </w:t>
      </w:r>
      <w:r w:rsidR="002B369B">
        <w:t xml:space="preserve">receiver </w:t>
      </w:r>
      <w:r>
        <w:t xml:space="preserve">use would not pose an interference risk to point-to-point links, a relevant consideration is </w:t>
      </w:r>
      <w:r w:rsidR="005540A2">
        <w:t xml:space="preserve">under what conditions earth station receivers </w:t>
      </w:r>
      <w:r w:rsidR="00A138EE">
        <w:t xml:space="preserve">could </w:t>
      </w:r>
      <w:r w:rsidR="005540A2">
        <w:t>operate on a</w:t>
      </w:r>
      <w:r w:rsidR="00746F0C">
        <w:t>n</w:t>
      </w:r>
      <w:r w:rsidR="005540A2">
        <w:t xml:space="preserve"> uncoordinated basis with an acceptable probability of interference</w:t>
      </w:r>
      <w:r w:rsidR="00231D4A">
        <w:t>, given</w:t>
      </w:r>
      <w:r w:rsidR="005540A2">
        <w:t xml:space="preserve"> that the</w:t>
      </w:r>
      <w:r w:rsidR="00676443">
        <w:t xml:space="preserve"> </w:t>
      </w:r>
      <w:r w:rsidR="005540A2">
        <w:t xml:space="preserve">introduction </w:t>
      </w:r>
      <w:r>
        <w:t>of class</w:t>
      </w:r>
      <w:r w:rsidR="00231D4A">
        <w:t>-</w:t>
      </w:r>
      <w:r>
        <w:t>licensed earth station receive</w:t>
      </w:r>
      <w:r w:rsidR="005540A2">
        <w:t xml:space="preserve">rs should not lead to undue constraints </w:t>
      </w:r>
      <w:r>
        <w:t xml:space="preserve">on the future deployment and growth of fixed links. </w:t>
      </w:r>
    </w:p>
    <w:p w14:paraId="4E548851" w14:textId="71B04DBF" w:rsidR="00DB04B9" w:rsidRDefault="00205997" w:rsidP="00D7755E">
      <w:pPr>
        <w:keepNext/>
      </w:pPr>
      <w:r>
        <w:lastRenderedPageBreak/>
        <w:t xml:space="preserve">This work has progressed and </w:t>
      </w:r>
      <w:r w:rsidR="00DB04B9" w:rsidRPr="00DB04B9">
        <w:t>the ACMA intends to</w:t>
      </w:r>
      <w:r>
        <w:t xml:space="preserve"> release a discussion paper considering the technical feasibility in </w:t>
      </w:r>
      <w:r w:rsidR="00DB04B9" w:rsidRPr="00DB04B9">
        <w:t>Q4 2018</w:t>
      </w:r>
      <w:r w:rsidR="00A312EF">
        <w:t>–</w:t>
      </w:r>
      <w:r w:rsidR="00DB04B9">
        <w:t>19</w:t>
      </w:r>
      <w:r w:rsidR="00DB04B9" w:rsidDel="002B2F2E">
        <w:t>.</w:t>
      </w:r>
    </w:p>
    <w:p w14:paraId="1BFE7BD2" w14:textId="77777777" w:rsidR="00A0073F" w:rsidRDefault="00A0073F" w:rsidP="00D7755E">
      <w:pPr>
        <w:pStyle w:val="BodySubHeader"/>
        <w:keepNext/>
      </w:pPr>
      <w:r>
        <w:t xml:space="preserve">Filing and coordination of Australian satellite systems. </w:t>
      </w:r>
    </w:p>
    <w:p w14:paraId="0CE0EC74" w14:textId="77777777" w:rsidR="00A0073F" w:rsidRPr="00554698" w:rsidRDefault="00A0073F" w:rsidP="00D7755E">
      <w:pPr>
        <w:keepNext/>
        <w:spacing w:after="80"/>
        <w:rPr>
          <w:rFonts w:cs="Arial"/>
          <w:szCs w:val="20"/>
        </w:rPr>
      </w:pPr>
      <w:r>
        <w:t xml:space="preserve">In accordance with the </w:t>
      </w:r>
      <w:hyperlink r:id="rId54" w:tgtFrame="_top" w:history="1">
        <w:r w:rsidRPr="00964F02">
          <w:rPr>
            <w:rStyle w:val="Hyperlink"/>
          </w:rPr>
          <w:t>Australian procedures for the coordination and notification of satellite systems</w:t>
        </w:r>
      </w:hyperlink>
      <w:r w:rsidR="00A312EF" w:rsidRPr="00964F02">
        <w:rPr>
          <w:rStyle w:val="Hyperlink"/>
          <w:color w:val="auto"/>
          <w:u w:val="none"/>
        </w:rPr>
        <w:t>,</w:t>
      </w:r>
      <w:r w:rsidRPr="00964F02">
        <w:t xml:space="preserve"> the ACMA has an ongoing role in the filing and coordination of </w:t>
      </w:r>
      <w:r w:rsidRPr="00964F02">
        <w:rPr>
          <w:rFonts w:cs="Arial"/>
          <w:szCs w:val="20"/>
        </w:rPr>
        <w:t xml:space="preserve">Australian satellite systems with the ITU. </w:t>
      </w:r>
      <w:r w:rsidRPr="00554698">
        <w:rPr>
          <w:rFonts w:cs="Arial"/>
          <w:szCs w:val="20"/>
        </w:rPr>
        <w:t>This includes:</w:t>
      </w:r>
    </w:p>
    <w:p w14:paraId="2BDBC45B" w14:textId="77777777" w:rsidR="00A0073F" w:rsidRPr="00A312EF" w:rsidRDefault="00A0073F">
      <w:pPr>
        <w:pStyle w:val="ListBullet"/>
        <w:tabs>
          <w:tab w:val="clear" w:pos="-261"/>
          <w:tab w:val="num" w:pos="-260"/>
        </w:tabs>
      </w:pPr>
      <w:r w:rsidRPr="00CA45D7">
        <w:t xml:space="preserve">assisting Australian satellite operators with ongoing satellite coordination </w:t>
      </w:r>
      <w:r w:rsidRPr="00A312EF">
        <w:t>negotiations with other administrations</w:t>
      </w:r>
    </w:p>
    <w:p w14:paraId="2908A2F6" w14:textId="77777777" w:rsidR="00A0073F" w:rsidRPr="007B0700" w:rsidRDefault="00A0073F">
      <w:pPr>
        <w:pStyle w:val="ListBullet"/>
        <w:tabs>
          <w:tab w:val="clear" w:pos="-261"/>
          <w:tab w:val="num" w:pos="-260"/>
        </w:tabs>
      </w:pPr>
      <w:r w:rsidRPr="00A312EF">
        <w:t>assessment</w:t>
      </w:r>
      <w:r w:rsidRPr="00CA45D7">
        <w:t xml:space="preserve"> of </w:t>
      </w:r>
      <w:r w:rsidRPr="00947F88">
        <w:t>new notices related to progress of existing Australian satellite networks</w:t>
      </w:r>
    </w:p>
    <w:p w14:paraId="4B609148" w14:textId="77777777" w:rsidR="00A0073F" w:rsidRPr="007B0700" w:rsidRDefault="00A0073F">
      <w:pPr>
        <w:pStyle w:val="ListBullet"/>
        <w:tabs>
          <w:tab w:val="clear" w:pos="-261"/>
          <w:tab w:val="num" w:pos="-260"/>
        </w:tabs>
      </w:pPr>
      <w:r w:rsidRPr="00CA45D7">
        <w:t>filing of new Australian satellite networks</w:t>
      </w:r>
    </w:p>
    <w:p w14:paraId="52B24FCC" w14:textId="77777777" w:rsidR="00A0073F" w:rsidRPr="00947F88" w:rsidRDefault="00A0073F" w:rsidP="00DE694D">
      <w:pPr>
        <w:pStyle w:val="ListBulletLast"/>
      </w:pPr>
      <w:r w:rsidRPr="00CA45D7">
        <w:t xml:space="preserve">supporting </w:t>
      </w:r>
      <w:r w:rsidRPr="00E26672">
        <w:t>international</w:t>
      </w:r>
      <w:r w:rsidRPr="00CA45D7">
        <w:t xml:space="preserve"> administration-level satellite coordination meetings with other </w:t>
      </w:r>
      <w:r w:rsidR="00A312EF">
        <w:t>a</w:t>
      </w:r>
      <w:r w:rsidRPr="00CA45D7">
        <w:t>dministrations</w:t>
      </w:r>
      <w:r w:rsidR="00A312EF">
        <w:t>.</w:t>
      </w:r>
    </w:p>
    <w:p w14:paraId="1DAC1A61" w14:textId="13A3820A" w:rsidR="00AF65F1" w:rsidRDefault="00D34C68" w:rsidP="00D7755E">
      <w:pPr>
        <w:pStyle w:val="BodySubHeader"/>
      </w:pPr>
      <w:r w:rsidRPr="00CA5FD2">
        <w:t>Updating procedures for submission of Australian satellite networks to the ITU</w:t>
      </w:r>
    </w:p>
    <w:p w14:paraId="6E7CC9D6" w14:textId="49D109B6" w:rsidR="00AF65F1" w:rsidRDefault="00AF65F1" w:rsidP="00D7755E">
      <w:r w:rsidRPr="008C7725">
        <w:t xml:space="preserve">Australian procedures for the coordination and notification of satellite systems with the ITU were developed in 2012. </w:t>
      </w:r>
      <w:r w:rsidR="0076382A">
        <w:t xml:space="preserve">Outcomes of WRC-19 might result in the need for possible updates. </w:t>
      </w:r>
      <w:r w:rsidRPr="008C7725">
        <w:t xml:space="preserve">The ACMA will consider </w:t>
      </w:r>
      <w:r w:rsidR="000C70F6">
        <w:t xml:space="preserve">the </w:t>
      </w:r>
      <w:r w:rsidRPr="008C7725">
        <w:t>need for possible updates, drawing on experience in the application of the procedures and input from the Australian satellite operators.</w:t>
      </w:r>
    </w:p>
    <w:p w14:paraId="44580556" w14:textId="02C0719C" w:rsidR="00AF65F1" w:rsidRDefault="00147F0C" w:rsidP="00D7755E">
      <w:r>
        <w:t xml:space="preserve">Any future </w:t>
      </w:r>
      <w:r w:rsidR="00AF65F1">
        <w:t xml:space="preserve">update will consider whether </w:t>
      </w:r>
      <w:r w:rsidR="00A312EF">
        <w:t xml:space="preserve">providing </w:t>
      </w:r>
      <w:r w:rsidR="00AF65F1">
        <w:t>better support</w:t>
      </w:r>
      <w:r w:rsidR="00A312EF">
        <w:t xml:space="preserve"> to</w:t>
      </w:r>
      <w:r w:rsidR="00AF65F1">
        <w:t xml:space="preserve"> innovations such as the deployment of low-cost, miniaturised space hardware (often referred to as nanosats, </w:t>
      </w:r>
      <w:proofErr w:type="spellStart"/>
      <w:r w:rsidR="00AF65F1">
        <w:t>cubesats</w:t>
      </w:r>
      <w:proofErr w:type="spellEnd"/>
      <w:r w:rsidR="00AF65F1">
        <w:t xml:space="preserve"> or </w:t>
      </w:r>
      <w:proofErr w:type="spellStart"/>
      <w:r w:rsidR="00AF65F1">
        <w:t>smallsats</w:t>
      </w:r>
      <w:proofErr w:type="spellEnd"/>
      <w:r w:rsidR="00AF65F1">
        <w:t>), changes in ITU requirements and general improvements,</w:t>
      </w:r>
      <w:r w:rsidR="00A312EF">
        <w:t xml:space="preserve"> is required.</w:t>
      </w:r>
    </w:p>
    <w:p w14:paraId="7FD191F9" w14:textId="0D2A22F5" w:rsidR="00AF65F1" w:rsidRPr="00263705" w:rsidRDefault="002F450E" w:rsidP="0062732F">
      <w:r>
        <w:t>In</w:t>
      </w:r>
      <w:r w:rsidR="00147F0C">
        <w:t xml:space="preserve"> the</w:t>
      </w:r>
      <w:r w:rsidR="00147F0C" w:rsidDel="00714BBD">
        <w:t xml:space="preserve"> </w:t>
      </w:r>
      <w:r w:rsidR="00147F0C">
        <w:t>FYSO</w:t>
      </w:r>
      <w:r w:rsidR="00714BBD">
        <w:t xml:space="preserve"> 2018–22</w:t>
      </w:r>
      <w:r w:rsidR="00147F0C">
        <w:t xml:space="preserve"> </w:t>
      </w:r>
      <w:r>
        <w:t xml:space="preserve">the ACMA considered, </w:t>
      </w:r>
      <w:r w:rsidR="00147F0C">
        <w:t>d</w:t>
      </w:r>
      <w:r w:rsidR="00AF65F1">
        <w:t>epending on progress of other projects</w:t>
      </w:r>
      <w:r w:rsidR="00A312EF">
        <w:t>,</w:t>
      </w:r>
      <w:r w:rsidR="00AF65F1">
        <w:t xml:space="preserve"> </w:t>
      </w:r>
      <w:r>
        <w:t xml:space="preserve">there was </w:t>
      </w:r>
      <w:r w:rsidR="00147F0C">
        <w:t xml:space="preserve">a </w:t>
      </w:r>
      <w:r w:rsidR="00AF65F1">
        <w:t xml:space="preserve">possibility </w:t>
      </w:r>
      <w:r w:rsidR="00147F0C">
        <w:t xml:space="preserve">an update </w:t>
      </w:r>
      <w:r w:rsidR="00AF65F1">
        <w:t xml:space="preserve">could commence in </w:t>
      </w:r>
      <w:r w:rsidR="00672016">
        <w:t xml:space="preserve">Q4 </w:t>
      </w:r>
      <w:r w:rsidR="00AF65F1">
        <w:t>2018</w:t>
      </w:r>
      <w:r w:rsidR="00A312EF">
        <w:t>–</w:t>
      </w:r>
      <w:r w:rsidR="00AF65F1">
        <w:t>19</w:t>
      </w:r>
      <w:r w:rsidR="00483DC5">
        <w:t>.</w:t>
      </w:r>
      <w:r>
        <w:t xml:space="preserve">  Work on other satellite activities has not sufficiently progressed and now the</w:t>
      </w:r>
      <w:r w:rsidDel="00483DC5">
        <w:t xml:space="preserve"> </w:t>
      </w:r>
      <w:r w:rsidR="00147F0C">
        <w:t>ACMA will not consider this matter until after WRC-19</w:t>
      </w:r>
      <w:r w:rsidR="00AF65F1">
        <w:t>.</w:t>
      </w:r>
      <w:r w:rsidR="00E94117">
        <w:t xml:space="preserve"> </w:t>
      </w:r>
      <w:r>
        <w:t>A caveat is that i</w:t>
      </w:r>
      <w:r w:rsidR="00E94117">
        <w:t xml:space="preserve">t </w:t>
      </w:r>
      <w:r w:rsidR="00E94117" w:rsidDel="0097320E">
        <w:t xml:space="preserve">is </w:t>
      </w:r>
      <w:r w:rsidR="00E94117">
        <w:t xml:space="preserve">possible that work on spectrum for small satellites could result in </w:t>
      </w:r>
      <w:r w:rsidR="00147F0C">
        <w:t xml:space="preserve">the need for </w:t>
      </w:r>
      <w:r w:rsidR="00E94117">
        <w:t>an earlier target updated.</w:t>
      </w:r>
    </w:p>
    <w:p w14:paraId="25DA0694" w14:textId="1663909F" w:rsidR="00B830D0" w:rsidRDefault="00B830D0" w:rsidP="00D7755E">
      <w:pPr>
        <w:pStyle w:val="Heading3"/>
      </w:pPr>
      <w:bookmarkStart w:id="272" w:name="_Toc5025698"/>
      <w:bookmarkStart w:id="273" w:name="_Toc510795083"/>
      <w:bookmarkStart w:id="274" w:name="_Toc511716286"/>
      <w:bookmarkStart w:id="275" w:name="_Toc511719097"/>
      <w:bookmarkStart w:id="276" w:name="_Toc522794092"/>
      <w:r>
        <w:t xml:space="preserve">Low interference potential </w:t>
      </w:r>
      <w:r w:rsidRPr="00A312EF">
        <w:t>devices</w:t>
      </w:r>
      <w:bookmarkEnd w:id="272"/>
      <w:r>
        <w:t xml:space="preserve"> </w:t>
      </w:r>
      <w:bookmarkEnd w:id="273"/>
      <w:bookmarkEnd w:id="274"/>
      <w:bookmarkEnd w:id="275"/>
      <w:bookmarkEnd w:id="276"/>
      <w:r>
        <w:t xml:space="preserve"> </w:t>
      </w:r>
    </w:p>
    <w:p w14:paraId="7BDBA217" w14:textId="0EB396E2" w:rsidR="00C568CD" w:rsidRPr="00F86A0F" w:rsidRDefault="00A312EF" w:rsidP="00DE694D">
      <w:pPr>
        <w:spacing w:after="80"/>
        <w:rPr>
          <w:rFonts w:cs="Arial"/>
        </w:rPr>
      </w:pPr>
      <w:r>
        <w:t>In</w:t>
      </w:r>
      <w:r w:rsidR="00B830D0">
        <w:t xml:space="preserve"> </w:t>
      </w:r>
      <w:r w:rsidR="00E301E2">
        <w:t xml:space="preserve">December </w:t>
      </w:r>
      <w:r w:rsidR="00B830D0">
        <w:t>201</w:t>
      </w:r>
      <w:r w:rsidR="00E301E2">
        <w:t>8</w:t>
      </w:r>
      <w:r>
        <w:t>,</w:t>
      </w:r>
      <w:r w:rsidR="00B830D0">
        <w:t xml:space="preserve"> the ACMA </w:t>
      </w:r>
      <w:r w:rsidR="00F11130">
        <w:t>commenced consultation (see IFC 45/2018)</w:t>
      </w:r>
      <w:r w:rsidR="00493062">
        <w:t xml:space="preserve"> </w:t>
      </w:r>
      <w:r w:rsidR="00B830D0">
        <w:t xml:space="preserve">on a proposed update to the </w:t>
      </w:r>
      <w:r w:rsidR="00A56FF3">
        <w:t>LIPD class licence</w:t>
      </w:r>
      <w:r w:rsidR="00B830D0">
        <w:t>.</w:t>
      </w:r>
      <w:r w:rsidR="00C568CD">
        <w:t xml:space="preserve"> The proposed updates </w:t>
      </w:r>
      <w:r w:rsidR="00C568CD" w:rsidRPr="00C568CD">
        <w:t>conside</w:t>
      </w:r>
      <w:r w:rsidR="00C568CD">
        <w:t>red</w:t>
      </w:r>
      <w:r w:rsidR="00C568CD" w:rsidRPr="00F86A0F">
        <w:rPr>
          <w:rFonts w:cs="Arial"/>
        </w:rPr>
        <w:t>:</w:t>
      </w:r>
    </w:p>
    <w:p w14:paraId="33E637E1" w14:textId="0F9A8950" w:rsidR="00C568CD" w:rsidRDefault="00714BBD" w:rsidP="00DE694D">
      <w:pPr>
        <w:pStyle w:val="ListBullet"/>
      </w:pPr>
      <w:r>
        <w:t>u</w:t>
      </w:r>
      <w:r w:rsidR="00C568CD" w:rsidRPr="00F86A0F">
        <w:t xml:space="preserve">pdating and </w:t>
      </w:r>
      <w:r w:rsidR="00C568CD" w:rsidRPr="00E26672">
        <w:t>expanding</w:t>
      </w:r>
      <w:r w:rsidR="00C568CD" w:rsidRPr="00F86A0F">
        <w:t xml:space="preserve"> existing 60 GHz arrangements (57</w:t>
      </w:r>
      <w:r>
        <w:t>–</w:t>
      </w:r>
      <w:r w:rsidR="00C568CD" w:rsidRPr="00F86A0F">
        <w:t>66 GHz) for data communication systems, including 5G. Specifically:</w:t>
      </w:r>
    </w:p>
    <w:p w14:paraId="24338789" w14:textId="018E4AD3" w:rsidR="00C568CD" w:rsidRDefault="00714BBD" w:rsidP="00DE694D">
      <w:pPr>
        <w:pStyle w:val="ListBullet"/>
        <w:tabs>
          <w:tab w:val="clear" w:pos="-261"/>
          <w:tab w:val="num" w:pos="23"/>
        </w:tabs>
        <w:ind w:left="579"/>
      </w:pPr>
      <w:r>
        <w:t>a</w:t>
      </w:r>
      <w:r w:rsidR="00C568CD" w:rsidRPr="00C568CD">
        <w:t>dding</w:t>
      </w:r>
      <w:r w:rsidR="00C568CD" w:rsidRPr="00F86A0F">
        <w:t xml:space="preserve"> 66</w:t>
      </w:r>
      <w:r w:rsidR="00C568CD">
        <w:t>–</w:t>
      </w:r>
      <w:r w:rsidR="00C568CD" w:rsidRPr="00F86A0F">
        <w:t>71 GHz</w:t>
      </w:r>
    </w:p>
    <w:p w14:paraId="2E8428E3" w14:textId="2A63AFF0" w:rsidR="00C568CD" w:rsidRPr="00F86A0F" w:rsidRDefault="00714BBD" w:rsidP="00DE694D">
      <w:pPr>
        <w:pStyle w:val="ListBullet"/>
        <w:tabs>
          <w:tab w:val="clear" w:pos="-261"/>
          <w:tab w:val="num" w:pos="23"/>
        </w:tabs>
        <w:ind w:left="579"/>
      </w:pPr>
      <w:r>
        <w:t>u</w:t>
      </w:r>
      <w:r w:rsidR="00C568CD" w:rsidRPr="00F86A0F">
        <w:t xml:space="preserve">pdating existing </w:t>
      </w:r>
      <w:r w:rsidR="00C568CD" w:rsidRPr="00EA61B8">
        <w:t>arrangements</w:t>
      </w:r>
      <w:r w:rsidR="00C568CD" w:rsidRPr="00F86A0F">
        <w:t xml:space="preserve"> in 57</w:t>
      </w:r>
      <w:r w:rsidR="00C568CD">
        <w:t>–</w:t>
      </w:r>
      <w:r w:rsidR="00C568CD" w:rsidRPr="00F86A0F">
        <w:t>66 GHz regarding indoor and outdoor data communications systems</w:t>
      </w:r>
    </w:p>
    <w:p w14:paraId="73596451" w14:textId="29BAAF93" w:rsidR="00C568CD" w:rsidRPr="00F86A0F" w:rsidRDefault="008E6685" w:rsidP="00DE694D">
      <w:pPr>
        <w:pStyle w:val="ListBullet2"/>
        <w:tabs>
          <w:tab w:val="clear" w:pos="295"/>
          <w:tab w:val="num" w:pos="579"/>
        </w:tabs>
        <w:ind w:left="579"/>
      </w:pPr>
      <w:r>
        <w:t>a</w:t>
      </w:r>
      <w:r w:rsidR="00C568CD" w:rsidRPr="00F86A0F">
        <w:t>dding new arrangements for ‘All transmitters’ in 57</w:t>
      </w:r>
      <w:r w:rsidR="00C568CD">
        <w:t>–</w:t>
      </w:r>
      <w:r w:rsidR="00C568CD" w:rsidRPr="00F86A0F">
        <w:t>64 GHz</w:t>
      </w:r>
    </w:p>
    <w:p w14:paraId="476A76CE" w14:textId="485389B5" w:rsidR="00C568CD" w:rsidRPr="00F86A0F" w:rsidRDefault="00714BBD" w:rsidP="00DE694D">
      <w:pPr>
        <w:pStyle w:val="ListBullet"/>
      </w:pPr>
      <w:r>
        <w:t>r</w:t>
      </w:r>
      <w:r w:rsidR="00C568CD" w:rsidRPr="00F86A0F">
        <w:t xml:space="preserve">evising arrangements for underground transmitters in certain bands supporting </w:t>
      </w:r>
      <w:r w:rsidR="00C568CD" w:rsidRPr="00E26672">
        <w:t>fixed</w:t>
      </w:r>
      <w:r w:rsidR="00C568CD" w:rsidRPr="00F86A0F">
        <w:t xml:space="preserve"> and mobile services between 70</w:t>
      </w:r>
      <w:r w:rsidR="00C568CD">
        <w:t>–</w:t>
      </w:r>
      <w:r w:rsidR="00C568CD" w:rsidRPr="00F86A0F">
        <w:t>520 MHz</w:t>
      </w:r>
    </w:p>
    <w:p w14:paraId="5A5C8E95" w14:textId="17123F99" w:rsidR="00C568CD" w:rsidRPr="00F86A0F" w:rsidRDefault="00714BBD" w:rsidP="00DE694D">
      <w:pPr>
        <w:pStyle w:val="ListBullet"/>
      </w:pPr>
      <w:r>
        <w:t>a</w:t>
      </w:r>
      <w:r w:rsidR="00C568CD" w:rsidRPr="00F86A0F">
        <w:t>dding support for higher power radiodetermination transmitters i.e. radars (76</w:t>
      </w:r>
      <w:r w:rsidR="00C568CD">
        <w:t>–</w:t>
      </w:r>
      <w:r w:rsidR="00C568CD" w:rsidRPr="00F86A0F">
        <w:t>77</w:t>
      </w:r>
      <w:r w:rsidR="00463A65">
        <w:t> </w:t>
      </w:r>
      <w:r w:rsidR="00C568CD" w:rsidRPr="00F86A0F">
        <w:t>GHz)</w:t>
      </w:r>
    </w:p>
    <w:p w14:paraId="2BD6CA7D" w14:textId="57B185A3" w:rsidR="00C568CD" w:rsidRPr="00F86A0F" w:rsidRDefault="00714BBD" w:rsidP="00DE694D">
      <w:pPr>
        <w:pStyle w:val="ListBullet"/>
      </w:pPr>
      <w:r>
        <w:t>a</w:t>
      </w:r>
      <w:r w:rsidR="00C568CD" w:rsidRPr="00F86A0F">
        <w:t>dding support for ground and wall penetration radar as an adjunct to current apparatus licence arrangements (30</w:t>
      </w:r>
      <w:r w:rsidR="00C568CD">
        <w:t>–</w:t>
      </w:r>
      <w:r w:rsidR="00C568CD" w:rsidRPr="00F86A0F">
        <w:t>12400 MHz)</w:t>
      </w:r>
    </w:p>
    <w:p w14:paraId="39E5ABB3" w14:textId="5060A816" w:rsidR="00C568CD" w:rsidRDefault="00714BBD" w:rsidP="00DE694D">
      <w:pPr>
        <w:pStyle w:val="ListBulletLast"/>
      </w:pPr>
      <w:r>
        <w:t>a</w:t>
      </w:r>
      <w:r w:rsidR="00C568CD" w:rsidRPr="00F86A0F">
        <w:t xml:space="preserve">ligning existing arrangements for ultra-wideband devices with US and </w:t>
      </w:r>
      <w:r w:rsidR="00C568CD" w:rsidRPr="00EA61B8">
        <w:t>European</w:t>
      </w:r>
      <w:r w:rsidR="00C568CD" w:rsidRPr="00F86A0F">
        <w:t xml:space="preserve"> arrangements for generic (indoor </w:t>
      </w:r>
      <w:r w:rsidR="00C568CD">
        <w:t>and</w:t>
      </w:r>
      <w:r w:rsidR="00C568CD" w:rsidRPr="00F86A0F">
        <w:t xml:space="preserve"> handheld) devices (3100</w:t>
      </w:r>
      <w:r w:rsidR="00C568CD">
        <w:t>–</w:t>
      </w:r>
      <w:r w:rsidR="00C568CD" w:rsidRPr="00F86A0F">
        <w:t xml:space="preserve">3400 MHz </w:t>
      </w:r>
      <w:r w:rsidR="00C568CD">
        <w:t>and</w:t>
      </w:r>
      <w:r w:rsidR="00C568CD" w:rsidRPr="00F86A0F">
        <w:t xml:space="preserve"> 8500</w:t>
      </w:r>
      <w:r w:rsidR="00C568CD">
        <w:t>–</w:t>
      </w:r>
      <w:r w:rsidR="00C568CD" w:rsidRPr="00F86A0F">
        <w:t>9000 MHz) and aircraft applications (6000</w:t>
      </w:r>
      <w:r w:rsidR="00C568CD">
        <w:t>–</w:t>
      </w:r>
      <w:r w:rsidR="00C568CD" w:rsidRPr="00F86A0F">
        <w:t>8500 MHz).</w:t>
      </w:r>
    </w:p>
    <w:p w14:paraId="4F1A744B" w14:textId="77777777" w:rsidR="00AC2377" w:rsidRDefault="00AC2377" w:rsidP="00DE694D">
      <w:pPr>
        <w:pStyle w:val="BodySubHeader"/>
        <w:keepNext/>
        <w:keepLines/>
      </w:pPr>
      <w:r>
        <w:lastRenderedPageBreak/>
        <w:t xml:space="preserve">Progress achieved </w:t>
      </w:r>
    </w:p>
    <w:p w14:paraId="44EC53D0" w14:textId="41EFB830" w:rsidR="00B830D0" w:rsidRDefault="00C568CD" w:rsidP="00DE694D">
      <w:pPr>
        <w:keepNext/>
        <w:keepLines/>
      </w:pPr>
      <w:r>
        <w:t>Submissions closed</w:t>
      </w:r>
      <w:r w:rsidR="008E6685">
        <w:t xml:space="preserve"> on</w:t>
      </w:r>
      <w:r>
        <w:t xml:space="preserve"> 22 February</w:t>
      </w:r>
      <w:r w:rsidR="008E6685">
        <w:t xml:space="preserve"> 2019</w:t>
      </w:r>
      <w:r>
        <w:t xml:space="preserve"> and the ACMA is currently consider</w:t>
      </w:r>
      <w:r w:rsidR="00463A65">
        <w:t>ing</w:t>
      </w:r>
      <w:r>
        <w:t xml:space="preserve"> submissions received</w:t>
      </w:r>
      <w:r w:rsidR="00B830D0">
        <w:t>.</w:t>
      </w:r>
    </w:p>
    <w:p w14:paraId="395821FD" w14:textId="15FE87A6" w:rsidR="00B830D0" w:rsidRDefault="00B830D0">
      <w:pPr>
        <w:pStyle w:val="BodySubHeader"/>
      </w:pPr>
      <w:r>
        <w:t xml:space="preserve">Activities planned for </w:t>
      </w:r>
      <w:r w:rsidR="00041CA4">
        <w:t>2019</w:t>
      </w:r>
      <w:r w:rsidR="00727DD8">
        <w:t>–</w:t>
      </w:r>
      <w:r w:rsidR="00041CA4">
        <w:t>20</w:t>
      </w:r>
      <w:r>
        <w:t xml:space="preserve"> </w:t>
      </w:r>
    </w:p>
    <w:p w14:paraId="1A5DDA4A" w14:textId="7CC6AAA5" w:rsidR="00C568CD" w:rsidRDefault="00C568CD">
      <w:r w:rsidRPr="00FD4AB9">
        <w:rPr>
          <w:rFonts w:cs="Arial"/>
          <w:szCs w:val="20"/>
        </w:rPr>
        <w:t xml:space="preserve">The ACMA </w:t>
      </w:r>
      <w:r>
        <w:rPr>
          <w:rFonts w:cs="Arial"/>
          <w:szCs w:val="20"/>
        </w:rPr>
        <w:t xml:space="preserve">expects to </w:t>
      </w:r>
      <w:r w:rsidR="00F11130">
        <w:rPr>
          <w:rFonts w:cs="Arial"/>
          <w:szCs w:val="20"/>
        </w:rPr>
        <w:t xml:space="preserve">complete </w:t>
      </w:r>
      <w:r w:rsidR="00CD5C5B">
        <w:rPr>
          <w:rFonts w:cs="Arial"/>
          <w:szCs w:val="20"/>
        </w:rPr>
        <w:t xml:space="preserve">its consideration </w:t>
      </w:r>
      <w:r w:rsidR="00F11130">
        <w:rPr>
          <w:rFonts w:cs="Arial"/>
          <w:szCs w:val="20"/>
        </w:rPr>
        <w:t>o</w:t>
      </w:r>
      <w:r w:rsidR="00CD5C5B">
        <w:rPr>
          <w:rFonts w:cs="Arial"/>
          <w:szCs w:val="20"/>
        </w:rPr>
        <w:t>f</w:t>
      </w:r>
      <w:r w:rsidR="00F11130">
        <w:rPr>
          <w:rFonts w:cs="Arial"/>
          <w:szCs w:val="20"/>
        </w:rPr>
        <w:t xml:space="preserve"> </w:t>
      </w:r>
      <w:r>
        <w:rPr>
          <w:rFonts w:cs="Arial"/>
          <w:szCs w:val="20"/>
        </w:rPr>
        <w:t>updat</w:t>
      </w:r>
      <w:r w:rsidR="006D178E">
        <w:rPr>
          <w:rFonts w:cs="Arial"/>
          <w:szCs w:val="20"/>
        </w:rPr>
        <w:t>ing</w:t>
      </w:r>
      <w:r w:rsidR="00F11130">
        <w:rPr>
          <w:rFonts w:cs="Arial"/>
          <w:szCs w:val="20"/>
        </w:rPr>
        <w:t xml:space="preserve"> the LIPD class licence b</w:t>
      </w:r>
      <w:r w:rsidR="00CD5C5B">
        <w:rPr>
          <w:rFonts w:cs="Arial"/>
          <w:szCs w:val="20"/>
        </w:rPr>
        <w:t>efore</w:t>
      </w:r>
      <w:r w:rsidR="00F11130">
        <w:rPr>
          <w:rFonts w:cs="Arial"/>
          <w:szCs w:val="20"/>
        </w:rPr>
        <w:t xml:space="preserve"> </w:t>
      </w:r>
      <w:r w:rsidR="006D178E">
        <w:rPr>
          <w:rFonts w:cs="Arial"/>
          <w:szCs w:val="20"/>
        </w:rPr>
        <w:t xml:space="preserve">the </w:t>
      </w:r>
      <w:r w:rsidR="00F11130">
        <w:rPr>
          <w:rFonts w:cs="Arial"/>
          <w:szCs w:val="20"/>
        </w:rPr>
        <w:t xml:space="preserve">end </w:t>
      </w:r>
      <w:r w:rsidR="00CD5C5B">
        <w:rPr>
          <w:rFonts w:cs="Arial"/>
          <w:szCs w:val="20"/>
        </w:rPr>
        <w:t xml:space="preserve">of </w:t>
      </w:r>
      <w:r>
        <w:rPr>
          <w:rFonts w:cs="Arial"/>
          <w:szCs w:val="20"/>
        </w:rPr>
        <w:t>Q</w:t>
      </w:r>
      <w:r w:rsidR="00F11130">
        <w:rPr>
          <w:rFonts w:cs="Arial"/>
          <w:szCs w:val="20"/>
        </w:rPr>
        <w:t>1</w:t>
      </w:r>
      <w:r>
        <w:rPr>
          <w:rFonts w:cs="Arial"/>
          <w:szCs w:val="20"/>
        </w:rPr>
        <w:t xml:space="preserve"> 2019</w:t>
      </w:r>
      <w:r w:rsidR="00243870">
        <w:rPr>
          <w:rFonts w:cs="Arial"/>
          <w:szCs w:val="20"/>
        </w:rPr>
        <w:t>–</w:t>
      </w:r>
      <w:r>
        <w:rPr>
          <w:rFonts w:cs="Arial"/>
          <w:szCs w:val="20"/>
        </w:rPr>
        <w:t>2020.</w:t>
      </w:r>
      <w:r w:rsidRPr="00FD4AB9">
        <w:rPr>
          <w:rFonts w:cs="Arial"/>
          <w:szCs w:val="20"/>
        </w:rPr>
        <w:t xml:space="preserve"> </w:t>
      </w:r>
      <w:bookmarkStart w:id="277" w:name="_Hlk3357645"/>
      <w:r w:rsidRPr="00FD4AB9">
        <w:rPr>
          <w:rFonts w:cs="Arial"/>
          <w:szCs w:val="20"/>
        </w:rPr>
        <w:t>Organisations interested in further updates to the LIPD class licence should contact the ACMA to discuss the requirements and timing of such updates.</w:t>
      </w:r>
      <w:bookmarkEnd w:id="277"/>
    </w:p>
    <w:p w14:paraId="660B5404" w14:textId="0E1A6215" w:rsidR="00A91C26" w:rsidRDefault="00B830D0">
      <w:pPr>
        <w:pStyle w:val="Heading3"/>
        <w:keepLines/>
      </w:pPr>
      <w:bookmarkStart w:id="278" w:name="_Toc510795084"/>
      <w:bookmarkStart w:id="279" w:name="_Toc511716287"/>
      <w:bookmarkStart w:id="280" w:name="_Toc511719098"/>
      <w:bookmarkStart w:id="281" w:name="_Toc522794093"/>
      <w:bookmarkStart w:id="282" w:name="_Toc5025699"/>
      <w:r w:rsidRPr="0027128C" w:rsidDel="007E55F4">
        <w:t>Amateur radio</w:t>
      </w:r>
      <w:bookmarkEnd w:id="278"/>
      <w:bookmarkEnd w:id="279"/>
      <w:bookmarkEnd w:id="280"/>
      <w:bookmarkEnd w:id="281"/>
      <w:bookmarkEnd w:id="282"/>
    </w:p>
    <w:p w14:paraId="7A4D37C2" w14:textId="69029C87" w:rsidR="00431E8B" w:rsidRDefault="001D3F8B">
      <w:r w:rsidRPr="001D3F8B">
        <w:t xml:space="preserve">WRC-15 introduced a secondary allocation </w:t>
      </w:r>
      <w:r w:rsidR="00E20EBC">
        <w:t xml:space="preserve">for </w:t>
      </w:r>
      <w:r w:rsidRPr="001D3F8B">
        <w:t xml:space="preserve">the amateur service in the frequency band 5351.5–5366.5 kHz with </w:t>
      </w:r>
      <w:r w:rsidRPr="00596594">
        <w:t>a maximum radiated power of 15 W (</w:t>
      </w:r>
      <w:r w:rsidR="004C506A">
        <w:t>EIRP</w:t>
      </w:r>
      <w:r w:rsidRPr="00596594">
        <w:t>)</w:t>
      </w:r>
      <w:r w:rsidR="00E20EBC">
        <w:rPr>
          <w:rStyle w:val="FootnoteReference"/>
          <w:b/>
        </w:rPr>
        <w:footnoteReference w:id="31"/>
      </w:r>
      <w:r w:rsidRPr="00596594">
        <w:t xml:space="preserve">. </w:t>
      </w:r>
      <w:r w:rsidR="00E20EBC">
        <w:t>While the spectrum allocation is in</w:t>
      </w:r>
      <w:r w:rsidR="002F450E">
        <w:t>cluded</w:t>
      </w:r>
      <w:r w:rsidR="008E6685">
        <w:t xml:space="preserve"> in</w:t>
      </w:r>
      <w:r w:rsidR="002F450E">
        <w:t xml:space="preserve"> </w:t>
      </w:r>
      <w:r w:rsidR="00E20EBC">
        <w:t>the ARSP, the ACMA is yet to consider the technical feasibility and associate</w:t>
      </w:r>
      <w:r w:rsidR="00236532">
        <w:t>d</w:t>
      </w:r>
      <w:r w:rsidR="00E20EBC">
        <w:t xml:space="preserve"> technical conditions that could support operation in Australia.  </w:t>
      </w:r>
    </w:p>
    <w:p w14:paraId="3DC5E468" w14:textId="68ED7FD0" w:rsidR="00E20EBC" w:rsidRPr="00E20EBC" w:rsidRDefault="00E20EBC">
      <w:r w:rsidRPr="0027128C" w:rsidDel="007E55F4">
        <w:t>In</w:t>
      </w:r>
      <w:r w:rsidR="002F450E">
        <w:t xml:space="preserve"> </w:t>
      </w:r>
      <w:r w:rsidR="002F450E" w:rsidRPr="0027128C" w:rsidDel="007E55F4">
        <w:t>Australia</w:t>
      </w:r>
      <w:r w:rsidRPr="0027128C" w:rsidDel="007E55F4">
        <w:t xml:space="preserve">, the band is currently used by some emergency service and law enforcement organisations for mobile operations. </w:t>
      </w:r>
      <w:r w:rsidRPr="00350C72" w:rsidDel="007E55F4">
        <w:t>Defence</w:t>
      </w:r>
      <w:r w:rsidRPr="0027128C" w:rsidDel="007E55F4">
        <w:t xml:space="preserve"> also uses these frequencies in support of key capabilities. The ACMA consulted with local stakeholders on this potential allocation in the lead-up to </w:t>
      </w:r>
      <w:r w:rsidRPr="00727DD8" w:rsidDel="007E55F4">
        <w:t>WRC</w:t>
      </w:r>
      <w:r w:rsidDel="007E55F4">
        <w:t>-</w:t>
      </w:r>
      <w:r w:rsidRPr="00727DD8" w:rsidDel="007E55F4">
        <w:t>15</w:t>
      </w:r>
      <w:r w:rsidRPr="0027128C" w:rsidDel="007E55F4">
        <w:t>. Stakeholder views were varied, with opposition to the allocation from Defence</w:t>
      </w:r>
      <w:r w:rsidDel="007E55F4">
        <w:t>,</w:t>
      </w:r>
      <w:r w:rsidRPr="0027128C" w:rsidDel="007E55F4">
        <w:t xml:space="preserve"> due to the potential for interference to </w:t>
      </w:r>
      <w:r w:rsidDel="007E55F4">
        <w:t>its</w:t>
      </w:r>
      <w:r w:rsidRPr="0027128C" w:rsidDel="007E55F4">
        <w:t xml:space="preserve"> systems</w:t>
      </w:r>
      <w:r w:rsidR="00483DC5">
        <w:t>.</w:t>
      </w:r>
    </w:p>
    <w:p w14:paraId="2D70AD70" w14:textId="7332B8F6" w:rsidR="00D42D90" w:rsidRDefault="00D42D90" w:rsidP="00E97880">
      <w:pPr>
        <w:pStyle w:val="BodySubHeader"/>
      </w:pPr>
      <w:r>
        <w:t xml:space="preserve">Activities planned for 2019–20 </w:t>
      </w:r>
    </w:p>
    <w:p w14:paraId="6731DE49" w14:textId="70ADCD9C" w:rsidR="001D3F8B" w:rsidRDefault="00E20EBC" w:rsidP="00D7755E">
      <w:r w:rsidRPr="007058B2">
        <w:t>With a ra</w:t>
      </w:r>
      <w:r>
        <w:t>nge of existing uses currently support</w:t>
      </w:r>
      <w:r w:rsidR="006728B9">
        <w:t>ed</w:t>
      </w:r>
      <w:r>
        <w:t xml:space="preserve"> in the band, the ACMA intends to </w:t>
      </w:r>
      <w:r w:rsidR="00D42D90">
        <w:t xml:space="preserve">publish </w:t>
      </w:r>
      <w:r>
        <w:t>a discussion paper</w:t>
      </w:r>
      <w:r w:rsidR="00D42D90">
        <w:t xml:space="preserve"> in Q</w:t>
      </w:r>
      <w:r w:rsidR="005874BA">
        <w:t>3</w:t>
      </w:r>
      <w:r w:rsidR="00D42D90">
        <w:t xml:space="preserve"> 2019–20</w:t>
      </w:r>
      <w:r>
        <w:t xml:space="preserve"> seeking industry views o</w:t>
      </w:r>
      <w:r w:rsidR="0008463B">
        <w:t>n</w:t>
      </w:r>
      <w:r>
        <w:t xml:space="preserve"> implementation issues, </w:t>
      </w:r>
      <w:bookmarkStart w:id="283" w:name="_Hlk2680328"/>
      <w:r>
        <w:t xml:space="preserve">including appropriate technical conditions and </w:t>
      </w:r>
      <w:r w:rsidR="00932BC3">
        <w:t xml:space="preserve">in </w:t>
      </w:r>
      <w:r>
        <w:t xml:space="preserve">which part of the band </w:t>
      </w:r>
      <w:r w:rsidR="00F11130">
        <w:t xml:space="preserve">the </w:t>
      </w:r>
      <w:r w:rsidR="002F450E">
        <w:t>amateur</w:t>
      </w:r>
      <w:r>
        <w:t xml:space="preserve"> </w:t>
      </w:r>
      <w:r w:rsidR="00F11130">
        <w:t xml:space="preserve">service </w:t>
      </w:r>
      <w:r w:rsidR="00932BC3">
        <w:t xml:space="preserve">could be </w:t>
      </w:r>
      <w:r w:rsidR="002F450E">
        <w:t>s</w:t>
      </w:r>
      <w:r>
        <w:t>upported</w:t>
      </w:r>
      <w:bookmarkEnd w:id="283"/>
      <w:r>
        <w:t xml:space="preserve">. </w:t>
      </w:r>
    </w:p>
    <w:p w14:paraId="6B271CEA" w14:textId="77777777" w:rsidR="00785F7B" w:rsidRPr="00727DD8" w:rsidRDefault="00785F7B">
      <w:pPr>
        <w:pStyle w:val="Heading3"/>
      </w:pPr>
      <w:bookmarkStart w:id="284" w:name="_Toc510795085"/>
      <w:bookmarkStart w:id="285" w:name="_Toc511716288"/>
      <w:bookmarkStart w:id="286" w:name="_Toc511719099"/>
      <w:bookmarkStart w:id="287" w:name="_Toc522794094"/>
      <w:bookmarkStart w:id="288" w:name="_Toc5025700"/>
      <w:r w:rsidRPr="00727DD8">
        <w:t>Ongoing review of spectrum planning, assignment and coordination requirements</w:t>
      </w:r>
      <w:bookmarkEnd w:id="284"/>
      <w:bookmarkEnd w:id="285"/>
      <w:bookmarkEnd w:id="286"/>
      <w:bookmarkEnd w:id="287"/>
      <w:bookmarkEnd w:id="288"/>
    </w:p>
    <w:p w14:paraId="4FFA0FF5" w14:textId="77777777" w:rsidR="005B5690" w:rsidRDefault="005B5690">
      <w:r w:rsidRPr="0082548C">
        <w:t>The ACMA</w:t>
      </w:r>
      <w:r>
        <w:t xml:space="preserve"> has an ongoing program of</w:t>
      </w:r>
      <w:r w:rsidRPr="0082548C">
        <w:t xml:space="preserve"> review</w:t>
      </w:r>
      <w:r>
        <w:t xml:space="preserve"> of </w:t>
      </w:r>
      <w:r w:rsidRPr="0027128C">
        <w:t xml:space="preserve">the </w:t>
      </w:r>
      <w:hyperlink r:id="rId55" w:history="1">
        <w:r w:rsidRPr="0027128C">
          <w:rPr>
            <w:rStyle w:val="Hyperlink"/>
          </w:rPr>
          <w:t>spectrum planning</w:t>
        </w:r>
      </w:hyperlink>
      <w:r w:rsidRPr="0027128C">
        <w:t xml:space="preserve"> technical framework</w:t>
      </w:r>
      <w:r>
        <w:t xml:space="preserve"> to </w:t>
      </w:r>
      <w:r w:rsidRPr="00A835D9">
        <w:t xml:space="preserve">ensure </w:t>
      </w:r>
      <w:r>
        <w:t>its</w:t>
      </w:r>
      <w:r w:rsidRPr="00A835D9">
        <w:t xml:space="preserve"> currency </w:t>
      </w:r>
      <w:r>
        <w:t xml:space="preserve">and consistency </w:t>
      </w:r>
      <w:r w:rsidRPr="00A835D9">
        <w:t xml:space="preserve">with current technologies and operational practices. </w:t>
      </w:r>
    </w:p>
    <w:p w14:paraId="237414D9" w14:textId="0E62C5E2" w:rsidR="005B5690" w:rsidRDefault="005B5690">
      <w:r w:rsidRPr="0027128C">
        <w:t xml:space="preserve">This </w:t>
      </w:r>
      <w:r>
        <w:t xml:space="preserve">work </w:t>
      </w:r>
      <w:r w:rsidRPr="0027128C">
        <w:t xml:space="preserve">is primarily focused on frequency coordination </w:t>
      </w:r>
      <w:r>
        <w:t>requirements</w:t>
      </w:r>
      <w:r w:rsidRPr="0027128C">
        <w:t xml:space="preserve"> </w:t>
      </w:r>
      <w:r>
        <w:t xml:space="preserve">for apparatus-licensed services. This material is </w:t>
      </w:r>
      <w:r w:rsidRPr="0082548C">
        <w:t>predominately recorded</w:t>
      </w:r>
      <w:r>
        <w:t xml:space="preserve"> in Radiocommunications Assignment and Licensing Instructions</w:t>
      </w:r>
      <w:r w:rsidR="00483DC5">
        <w:t xml:space="preserve"> (RALIs)</w:t>
      </w:r>
      <w:r>
        <w:t>. C</w:t>
      </w:r>
      <w:r w:rsidRPr="0027128C">
        <w:t>onsideration of spectrum</w:t>
      </w:r>
      <w:r>
        <w:t>-licensing technical frameworks and ensuring the c</w:t>
      </w:r>
      <w:r w:rsidRPr="0027128C">
        <w:t>ontinuing appropriateness of spectrum embargoes</w:t>
      </w:r>
      <w:r>
        <w:t xml:space="preserve"> are additional elements of this work program.  </w:t>
      </w:r>
    </w:p>
    <w:p w14:paraId="4549889C" w14:textId="7E4E32C2" w:rsidR="005B5690" w:rsidRDefault="005B5690">
      <w:r>
        <w:t xml:space="preserve">In September 2018 following industry consultation the ACMA released its </w:t>
      </w:r>
      <w:hyperlink r:id="rId56" w:history="1">
        <w:r w:rsidRPr="002F450E">
          <w:rPr>
            <w:rStyle w:val="Hyperlink"/>
          </w:rPr>
          <w:t>Frequency coordination requirements review work program</w:t>
        </w:r>
      </w:hyperlink>
      <w:r>
        <w:t xml:space="preserve"> for 2018</w:t>
      </w:r>
      <w:r w:rsidR="001470A3">
        <w:t>–</w:t>
      </w:r>
      <w:r>
        <w:t>19.</w:t>
      </w:r>
    </w:p>
    <w:p w14:paraId="08E856C4" w14:textId="4D9C76E1" w:rsidR="00624C6C" w:rsidRDefault="005B5690">
      <w:r>
        <w:t>Th</w:t>
      </w:r>
      <w:r w:rsidR="00B65737">
        <w:t>is</w:t>
      </w:r>
      <w:r>
        <w:t xml:space="preserve"> work program outlined updates to frequency coordination rules (</w:t>
      </w:r>
      <w:r w:rsidR="00624C6C">
        <w:t xml:space="preserve">as </w:t>
      </w:r>
      <w:r>
        <w:t>recorded in</w:t>
      </w:r>
      <w:r w:rsidR="00624C6C">
        <w:t xml:space="preserve"> RALIs)</w:t>
      </w:r>
      <w:r>
        <w:t xml:space="preserve"> </w:t>
      </w:r>
      <w:r w:rsidR="00624C6C">
        <w:t xml:space="preserve">and future work the ACMA also intends to consider subject </w:t>
      </w:r>
      <w:r w:rsidR="004078EC">
        <w:t xml:space="preserve">to </w:t>
      </w:r>
      <w:r w:rsidR="00624C6C">
        <w:t>completion of other priorities</w:t>
      </w:r>
      <w:r w:rsidR="00407F95">
        <w:t>.</w:t>
      </w:r>
      <w:r w:rsidR="00624C6C">
        <w:t xml:space="preserve"> </w:t>
      </w:r>
    </w:p>
    <w:p w14:paraId="032D1579" w14:textId="3A3EB042" w:rsidR="00785F7B" w:rsidRDefault="00624C6C">
      <w:r>
        <w:t xml:space="preserve">The ACMA has been progressing this work program </w:t>
      </w:r>
      <w:r w:rsidR="005B0E99">
        <w:t>and has release</w:t>
      </w:r>
      <w:r w:rsidR="00755BCE">
        <w:t>d</w:t>
      </w:r>
      <w:r w:rsidR="005B0E99">
        <w:t xml:space="preserve"> </w:t>
      </w:r>
      <w:r w:rsidR="004313FB">
        <w:t>several</w:t>
      </w:r>
      <w:r w:rsidR="005B0E99">
        <w:t xml:space="preserve"> proposed updates for industry consultation covering:</w:t>
      </w:r>
    </w:p>
    <w:p w14:paraId="010FAAFA" w14:textId="31F5CBB2" w:rsidR="005B0E99" w:rsidRDefault="005D06D9" w:rsidP="00DE694D">
      <w:pPr>
        <w:pStyle w:val="ListBullet"/>
      </w:pPr>
      <w:hyperlink r:id="rId57" w:history="1">
        <w:r w:rsidR="001F25DE">
          <w:rPr>
            <w:rStyle w:val="Hyperlink"/>
          </w:rPr>
          <w:t>l</w:t>
        </w:r>
        <w:r w:rsidR="005B0E99" w:rsidRPr="005B0E99">
          <w:rPr>
            <w:rStyle w:val="Hyperlink"/>
          </w:rPr>
          <w:t>and mobile services: new small service area models</w:t>
        </w:r>
      </w:hyperlink>
      <w:r w:rsidR="005B0E99">
        <w:t xml:space="preserve"> </w:t>
      </w:r>
      <w:r w:rsidR="005B0E99" w:rsidRPr="005B0E99">
        <w:t>(</w:t>
      </w:r>
      <w:r w:rsidR="005B0E99">
        <w:t>September 2018)</w:t>
      </w:r>
    </w:p>
    <w:p w14:paraId="1FFF641F" w14:textId="01C30BB5" w:rsidR="005B0E99" w:rsidRDefault="005D06D9" w:rsidP="00DE694D">
      <w:pPr>
        <w:pStyle w:val="ListBullet"/>
      </w:pPr>
      <w:hyperlink r:id="rId58" w:history="1">
        <w:r w:rsidR="001F25DE">
          <w:rPr>
            <w:rStyle w:val="Hyperlink"/>
          </w:rPr>
          <w:t>p</w:t>
        </w:r>
        <w:r w:rsidR="005B0E99">
          <w:rPr>
            <w:rStyle w:val="Hyperlink"/>
          </w:rPr>
          <w:t>roposed updates to earth station protection zones coordination requirements</w:t>
        </w:r>
      </w:hyperlink>
      <w:r w:rsidR="005B0E99">
        <w:t xml:space="preserve"> (December 2018)</w:t>
      </w:r>
    </w:p>
    <w:p w14:paraId="51C484C7" w14:textId="32A4C724" w:rsidR="007E1478" w:rsidRDefault="005D06D9" w:rsidP="00DE694D">
      <w:pPr>
        <w:pStyle w:val="ListBullet"/>
      </w:pPr>
      <w:hyperlink r:id="rId59" w:history="1">
        <w:r w:rsidR="001F25DE">
          <w:rPr>
            <w:rStyle w:val="Hyperlink"/>
          </w:rPr>
          <w:t>m</w:t>
        </w:r>
        <w:r w:rsidR="007E1478" w:rsidRPr="00F223BA">
          <w:rPr>
            <w:rStyle w:val="Hyperlink"/>
          </w:rPr>
          <w:t>inor updates to se</w:t>
        </w:r>
        <w:r w:rsidR="004F1F06">
          <w:rPr>
            <w:rStyle w:val="Hyperlink"/>
          </w:rPr>
          <w:t>ver</w:t>
        </w:r>
        <w:r w:rsidR="007E1478" w:rsidRPr="00F223BA">
          <w:rPr>
            <w:rStyle w:val="Hyperlink"/>
          </w:rPr>
          <w:t>al RALIs</w:t>
        </w:r>
      </w:hyperlink>
      <w:r w:rsidR="007E1478">
        <w:t xml:space="preserve"> (December 2018) </w:t>
      </w:r>
      <w:r w:rsidR="00F223BA">
        <w:t>to</w:t>
      </w:r>
      <w:r w:rsidR="004313FB">
        <w:t>:</w:t>
      </w:r>
      <w:r w:rsidR="00F223BA">
        <w:t xml:space="preserve"> </w:t>
      </w:r>
    </w:p>
    <w:p w14:paraId="3752E837" w14:textId="0828C87D" w:rsidR="00F223BA" w:rsidRDefault="004313FB" w:rsidP="00DE694D">
      <w:pPr>
        <w:pStyle w:val="ListBullet2"/>
        <w:tabs>
          <w:tab w:val="clear" w:pos="295"/>
          <w:tab w:val="num" w:pos="579"/>
        </w:tabs>
        <w:ind w:left="579"/>
      </w:pPr>
      <w:r>
        <w:t>s</w:t>
      </w:r>
      <w:r w:rsidR="00F223BA">
        <w:t xml:space="preserve">upport PTS </w:t>
      </w:r>
      <w:r w:rsidR="00F223BA" w:rsidRPr="00D14B42">
        <w:t>operation in underground environments</w:t>
      </w:r>
      <w:r w:rsidR="00F223BA">
        <w:t xml:space="preserve"> in the 1800 MHz and 2 GHz </w:t>
      </w:r>
      <w:r w:rsidR="007B7B81">
        <w:t>(</w:t>
      </w:r>
      <w:r w:rsidR="007B7B81" w:rsidRPr="007B7B81">
        <w:t>1920</w:t>
      </w:r>
      <w:r w:rsidR="00243870">
        <w:t>–</w:t>
      </w:r>
      <w:r w:rsidR="007B7B81" w:rsidRPr="007B7B81">
        <w:t>1980 MHz and 2110</w:t>
      </w:r>
      <w:r w:rsidR="00243870">
        <w:t>–</w:t>
      </w:r>
      <w:r w:rsidR="007B7B81" w:rsidRPr="007B7B81">
        <w:t>2170 MHz</w:t>
      </w:r>
      <w:r w:rsidR="007B7B81">
        <w:t>)</w:t>
      </w:r>
      <w:r w:rsidR="007B7B81" w:rsidRPr="007B7B81">
        <w:t xml:space="preserve"> </w:t>
      </w:r>
      <w:r w:rsidR="00F223BA">
        <w:t>bands outside of spectrum licensing areas</w:t>
      </w:r>
    </w:p>
    <w:p w14:paraId="408A4ED3" w14:textId="3A5A16F4" w:rsidR="00F223BA" w:rsidRDefault="004313FB" w:rsidP="00DE694D">
      <w:pPr>
        <w:pStyle w:val="ListBullet2"/>
        <w:tabs>
          <w:tab w:val="clear" w:pos="295"/>
          <w:tab w:val="num" w:pos="579"/>
        </w:tabs>
        <w:ind w:left="579"/>
      </w:pPr>
      <w:bookmarkStart w:id="289" w:name="_Hlk2680632"/>
      <w:r>
        <w:t>u</w:t>
      </w:r>
      <w:r w:rsidR="00F223BA" w:rsidRPr="00F223BA">
        <w:t xml:space="preserve">pdate coordination zones </w:t>
      </w:r>
      <w:r w:rsidR="00F223BA">
        <w:t xml:space="preserve">and protection requirements for space research services at </w:t>
      </w:r>
      <w:r w:rsidR="00F223BA" w:rsidRPr="00F223BA">
        <w:t>New Norcia and Tidbinbilla</w:t>
      </w:r>
      <w:r w:rsidR="002C253A">
        <w:t xml:space="preserve"> RALI</w:t>
      </w:r>
      <w:r w:rsidR="00F223BA" w:rsidRPr="00F223BA">
        <w:t xml:space="preserve"> MS 38 </w:t>
      </w:r>
      <w:bookmarkEnd w:id="289"/>
      <w:r w:rsidR="00F223BA">
        <w:t>with e</w:t>
      </w:r>
      <w:r w:rsidR="00F223BA" w:rsidRPr="00596594">
        <w:t xml:space="preserve">arth </w:t>
      </w:r>
      <w:r w:rsidR="00F223BA">
        <w:t>s</w:t>
      </w:r>
      <w:r w:rsidR="00F223BA" w:rsidRPr="00596594">
        <w:t xml:space="preserve">tation </w:t>
      </w:r>
      <w:r w:rsidR="00F223BA">
        <w:t>t</w:t>
      </w:r>
      <w:r w:rsidR="00F223BA" w:rsidRPr="00596594">
        <w:t xml:space="preserve">ransmitters in the </w:t>
      </w:r>
      <w:r w:rsidR="00F223BA">
        <w:t>f</w:t>
      </w:r>
      <w:r w:rsidR="00F223BA" w:rsidRPr="00596594">
        <w:t>ixed-</w:t>
      </w:r>
      <w:r w:rsidR="00F223BA">
        <w:t>s</w:t>
      </w:r>
      <w:r w:rsidR="00F223BA" w:rsidRPr="00596594">
        <w:t xml:space="preserve">atellite </w:t>
      </w:r>
      <w:r w:rsidR="00F223BA">
        <w:t>s</w:t>
      </w:r>
      <w:r w:rsidR="00F223BA" w:rsidRPr="00596594">
        <w:t xml:space="preserve">ervice in the 27.5–30 GHz </w:t>
      </w:r>
      <w:r w:rsidR="00F223BA">
        <w:t>band</w:t>
      </w:r>
    </w:p>
    <w:p w14:paraId="0246A307" w14:textId="3361D4F9" w:rsidR="00F223BA" w:rsidRPr="00D14B42" w:rsidRDefault="004313FB" w:rsidP="00AC3D96">
      <w:pPr>
        <w:pStyle w:val="ListBullet2"/>
        <w:tabs>
          <w:tab w:val="clear" w:pos="295"/>
          <w:tab w:val="num" w:pos="579"/>
        </w:tabs>
        <w:spacing w:after="240"/>
        <w:ind w:left="579"/>
      </w:pPr>
      <w:r>
        <w:t>i</w:t>
      </w:r>
      <w:r w:rsidR="00F223BA" w:rsidRPr="00F223BA">
        <w:t xml:space="preserve">nclude additional radar sites </w:t>
      </w:r>
      <w:r w:rsidR="00F223BA">
        <w:t xml:space="preserve">for coordination between </w:t>
      </w:r>
      <w:r w:rsidR="00F223BA" w:rsidRPr="00FC4D30">
        <w:t xml:space="preserve">2.5 GHz </w:t>
      </w:r>
      <w:r w:rsidR="00F223BA">
        <w:t>b</w:t>
      </w:r>
      <w:r w:rsidR="00F223BA" w:rsidRPr="00FC4D30">
        <w:t xml:space="preserve">and </w:t>
      </w:r>
      <w:r w:rsidR="00F223BA">
        <w:t>s</w:t>
      </w:r>
      <w:r w:rsidR="00F223BA" w:rsidRPr="00FC4D30">
        <w:t>pectrum</w:t>
      </w:r>
      <w:r w:rsidR="00D1527A">
        <w:t>-</w:t>
      </w:r>
      <w:r w:rsidR="00F223BA">
        <w:t>l</w:t>
      </w:r>
      <w:r w:rsidR="00F223BA" w:rsidRPr="00FC4D30">
        <w:t xml:space="preserve">icensed </w:t>
      </w:r>
      <w:r w:rsidR="00F223BA">
        <w:t>t</w:t>
      </w:r>
      <w:r w:rsidR="00F223BA" w:rsidRPr="00FC4D30">
        <w:t xml:space="preserve">ransmitters with </w:t>
      </w:r>
      <w:r w:rsidR="00F223BA">
        <w:t>r</w:t>
      </w:r>
      <w:r w:rsidR="00F223BA" w:rsidRPr="00FC4D30">
        <w:t xml:space="preserve">adiodetermination </w:t>
      </w:r>
      <w:r w:rsidR="00F223BA">
        <w:t>s</w:t>
      </w:r>
      <w:r w:rsidR="00F223BA" w:rsidRPr="00FC4D30">
        <w:t xml:space="preserve">tations operated by the </w:t>
      </w:r>
      <w:r w:rsidR="001D0A2E">
        <w:t>D</w:t>
      </w:r>
      <w:r w:rsidR="00F223BA" w:rsidRPr="00FC4D30">
        <w:t>epartment of Defence in the 2700</w:t>
      </w:r>
      <w:r w:rsidR="00243870">
        <w:t>–</w:t>
      </w:r>
      <w:r w:rsidR="00F223BA" w:rsidRPr="00FC4D30">
        <w:t>2900 MHz band</w:t>
      </w:r>
      <w:r>
        <w:t>.</w:t>
      </w:r>
    </w:p>
    <w:p w14:paraId="299D127F" w14:textId="1F475C50" w:rsidR="007E1478" w:rsidRDefault="007E1478">
      <w:r w:rsidRPr="00D7755E">
        <w:t>The ACMA is also considering a broader review of the spectrum planning framework</w:t>
      </w:r>
      <w:r w:rsidR="007A23B5" w:rsidRPr="00D7755E">
        <w:t xml:space="preserve">. </w:t>
      </w:r>
      <w:r w:rsidR="00FC7423" w:rsidRPr="00DE694D">
        <w:rPr>
          <w:bCs/>
        </w:rPr>
        <w:t>The framework is complex, made up of a large array of interlinking technical and policy documents. The content and interrelationships can be difficult to understand and interpret, even for experienced practitioners, with information on any one service or part of the spectrum contained over multiple documents. A number of broad areas for review have become apparent, including improving the transparency and clarity of the framework overall</w:t>
      </w:r>
      <w:r w:rsidR="00FC7423">
        <w:rPr>
          <w:b/>
          <w:bCs/>
          <w:color w:val="843C0C"/>
        </w:rPr>
        <w:t>.</w:t>
      </w:r>
    </w:p>
    <w:p w14:paraId="796282AE" w14:textId="7A326585" w:rsidR="00785F7B" w:rsidRPr="0027128C" w:rsidRDefault="00785F7B">
      <w:pPr>
        <w:pStyle w:val="BodySubHeader"/>
      </w:pPr>
      <w:r w:rsidRPr="0027128C">
        <w:t xml:space="preserve">Activities planned for </w:t>
      </w:r>
      <w:r w:rsidR="00041CA4" w:rsidRPr="0027128C">
        <w:t>201</w:t>
      </w:r>
      <w:r w:rsidR="00041CA4">
        <w:t>9</w:t>
      </w:r>
      <w:r w:rsidR="00A42082">
        <w:t>–</w:t>
      </w:r>
      <w:r w:rsidR="00041CA4">
        <w:t>20</w:t>
      </w:r>
      <w:r w:rsidRPr="0027128C">
        <w:t xml:space="preserve"> </w:t>
      </w:r>
    </w:p>
    <w:p w14:paraId="0A2147D2" w14:textId="7479805B" w:rsidR="00407F95" w:rsidRDefault="00A42082">
      <w:r>
        <w:t xml:space="preserve">The ACMA </w:t>
      </w:r>
      <w:r w:rsidR="00407F95">
        <w:t>intends to complete the identif</w:t>
      </w:r>
      <w:r w:rsidR="007A23B5">
        <w:t>ied</w:t>
      </w:r>
      <w:r w:rsidR="00407F95">
        <w:t xml:space="preserve"> updates</w:t>
      </w:r>
      <w:r w:rsidR="00407F95" w:rsidDel="00AE31E2">
        <w:t xml:space="preserve"> </w:t>
      </w:r>
      <w:r w:rsidR="00AE31E2">
        <w:t xml:space="preserve">in the frequency coordination review work program </w:t>
      </w:r>
      <w:r w:rsidR="00407F95">
        <w:t xml:space="preserve">and then subject to other priorities progress the future work identified in the </w:t>
      </w:r>
      <w:r w:rsidR="00AE31E2">
        <w:t xml:space="preserve">review </w:t>
      </w:r>
      <w:r w:rsidR="00407F95">
        <w:t>work program.</w:t>
      </w:r>
      <w:r w:rsidR="00AE31E2">
        <w:t xml:space="preserve"> Work on the b</w:t>
      </w:r>
      <w:r w:rsidR="00295BE3">
        <w:t>r</w:t>
      </w:r>
      <w:r w:rsidR="00AE31E2">
        <w:t>oader review of the spectrum planning framework</w:t>
      </w:r>
      <w:r w:rsidR="00863E78" w:rsidRPr="00DE694D">
        <w:rPr>
          <w:bCs/>
        </w:rPr>
        <w:t>, which is flagged in the spectrum management improvements section below,</w:t>
      </w:r>
      <w:r w:rsidR="00AE31E2">
        <w:t xml:space="preserve"> is subject to further consideration of timelines and priorities. </w:t>
      </w:r>
    </w:p>
    <w:p w14:paraId="48553F3A" w14:textId="5769D072" w:rsidR="00ED1CCA" w:rsidRDefault="00ED1CCA">
      <w:pPr>
        <w:pStyle w:val="Heading3"/>
        <w:keepLines/>
      </w:pPr>
      <w:bookmarkStart w:id="290" w:name="_Toc5025701"/>
      <w:r>
        <w:t>Marine VHF channel arrangements</w:t>
      </w:r>
      <w:bookmarkEnd w:id="290"/>
      <w:r>
        <w:t xml:space="preserve"> </w:t>
      </w:r>
    </w:p>
    <w:p w14:paraId="69C9FE12" w14:textId="22EC990C" w:rsidR="00ED1CCA" w:rsidRDefault="00ED1CCA">
      <w:pPr>
        <w:pStyle w:val="BodySubHeader"/>
        <w:keepNext/>
        <w:keepLines/>
      </w:pPr>
      <w:r>
        <w:t xml:space="preserve">Progress achieved </w:t>
      </w:r>
    </w:p>
    <w:p w14:paraId="69B83580" w14:textId="743E1DF0" w:rsidR="00ED1CCA" w:rsidRDefault="00ED1CCA">
      <w:r>
        <w:t>The ACMA</w:t>
      </w:r>
      <w:r w:rsidR="00AD0483">
        <w:t>,</w:t>
      </w:r>
      <w:r>
        <w:t xml:space="preserve"> with the assistance of key maritime stakeholders</w:t>
      </w:r>
      <w:r w:rsidR="00AD0483">
        <w:t>,</w:t>
      </w:r>
      <w:r>
        <w:t xml:space="preserve"> undertook a review of the current regulatory arrangements governing the operation of the VHF marine radio in Australia. The review was triggered by updates to the ITU </w:t>
      </w:r>
      <w:r w:rsidR="00262A29">
        <w:t>RR</w:t>
      </w:r>
      <w:r w:rsidR="00F25634">
        <w:t>s</w:t>
      </w:r>
      <w:r>
        <w:t xml:space="preserve"> at WRC’s 12 and 15</w:t>
      </w:r>
      <w:r w:rsidR="00AD0483">
        <w:t>.</w:t>
      </w:r>
      <w:r>
        <w:t xml:space="preserve"> </w:t>
      </w:r>
      <w:r w:rsidR="00AD0483">
        <w:t>R</w:t>
      </w:r>
      <w:r>
        <w:t>epresentations</w:t>
      </w:r>
      <w:r w:rsidR="00AD0483">
        <w:t xml:space="preserve"> were made</w:t>
      </w:r>
      <w:r>
        <w:t xml:space="preserve"> by maritime stakeholders that Australia’s regulatory arrangements could be usefully updated to reflect emerging safety-of-life technologies and systems. </w:t>
      </w:r>
    </w:p>
    <w:p w14:paraId="58F5DAA0" w14:textId="77777777" w:rsidR="00ED1CCA" w:rsidRDefault="00ED1CCA">
      <w:pPr>
        <w:spacing w:after="80"/>
        <w:rPr>
          <w:rFonts w:cs="Arial"/>
        </w:rPr>
      </w:pPr>
      <w:r>
        <w:rPr>
          <w:rFonts w:cs="Arial"/>
        </w:rPr>
        <w:t>The review aimed to:</w:t>
      </w:r>
    </w:p>
    <w:p w14:paraId="6AD123A2" w14:textId="04646FAE" w:rsidR="00ED1CCA" w:rsidRDefault="00ED1CCA" w:rsidP="00E26672">
      <w:pPr>
        <w:pStyle w:val="ListBullet"/>
      </w:pPr>
      <w:r>
        <w:t>identify and include in Australia’s regulatory arrangements any mandatory ITU provisions, and ascertain</w:t>
      </w:r>
      <w:r w:rsidDel="00AB53D6">
        <w:t xml:space="preserve"> </w:t>
      </w:r>
      <w:r>
        <w:t xml:space="preserve">how those might be best supported </w:t>
      </w:r>
      <w:r w:rsidR="004313FB">
        <w:t>considering</w:t>
      </w:r>
      <w:r>
        <w:t xml:space="preserve"> the ACMA’s functions and responsibilities</w:t>
      </w:r>
    </w:p>
    <w:p w14:paraId="7450F330" w14:textId="77777777" w:rsidR="00ED1CCA" w:rsidRDefault="00ED1CCA" w:rsidP="00E26672">
      <w:pPr>
        <w:pStyle w:val="ListBullet"/>
      </w:pPr>
      <w:r>
        <w:t>identify improvements to the integrity of the VHF maritime mobile band as it applies to all maritime stakeholders</w:t>
      </w:r>
    </w:p>
    <w:p w14:paraId="608E63A9" w14:textId="24AE5842" w:rsidR="00ED1CCA" w:rsidRDefault="00ED1CCA" w:rsidP="00D7755E">
      <w:pPr>
        <w:pStyle w:val="ListParagraph"/>
        <w:numPr>
          <w:ilvl w:val="0"/>
          <w:numId w:val="14"/>
        </w:numPr>
        <w:spacing w:after="120" w:line="240" w:lineRule="atLeast"/>
        <w:ind w:left="295" w:hanging="284"/>
      </w:pPr>
      <w:r>
        <w:t>where appropriate, update safety</w:t>
      </w:r>
      <w:r w:rsidR="00AD0483">
        <w:t>-</w:t>
      </w:r>
      <w:r>
        <w:t>of</w:t>
      </w:r>
      <w:r w:rsidR="00AD0483">
        <w:t>-</w:t>
      </w:r>
      <w:r>
        <w:t>life provisions to maintain pace with international developments</w:t>
      </w:r>
    </w:p>
    <w:p w14:paraId="51922189" w14:textId="77777777" w:rsidR="00ED1CCA" w:rsidRDefault="00ED1CCA" w:rsidP="00E26672">
      <w:pPr>
        <w:pStyle w:val="ListBullet"/>
      </w:pPr>
      <w:r>
        <w:lastRenderedPageBreak/>
        <w:t>consider the requirements of maritime stakeholders for use of the VHF maritime mobile band</w:t>
      </w:r>
    </w:p>
    <w:p w14:paraId="6E1D681F" w14:textId="77777777" w:rsidR="00ED1CCA" w:rsidRDefault="00ED1CCA" w:rsidP="00E26672">
      <w:pPr>
        <w:pStyle w:val="ListBullet"/>
      </w:pPr>
      <w:r>
        <w:t xml:space="preserve">identify regulatory improvements that would not unduly increase regulatory burden or excessively increase costs on maritime stakeholders </w:t>
      </w:r>
    </w:p>
    <w:p w14:paraId="793067EB" w14:textId="4F7C91ED" w:rsidR="00ED1CCA" w:rsidRPr="00DF4827" w:rsidRDefault="00ED1CCA">
      <w:pPr>
        <w:pStyle w:val="ListBullet"/>
      </w:pPr>
      <w:r w:rsidRPr="00DF4827">
        <w:t>promote the overall efficiency of the regulatory framework that supports the operation of maritime radio by stakeholders</w:t>
      </w:r>
    </w:p>
    <w:p w14:paraId="7BE69BD9" w14:textId="5B9026AA" w:rsidR="00ED1CCA" w:rsidRDefault="00ED1CCA" w:rsidP="00DE694D">
      <w:pPr>
        <w:pStyle w:val="ListBulletLast"/>
      </w:pPr>
      <w:bookmarkStart w:id="291" w:name="_Hlk2681081"/>
      <w:r>
        <w:t xml:space="preserve">consider the current regulatory environment, including the </w:t>
      </w:r>
      <w:r w:rsidRPr="00DF4827">
        <w:t>relevant legislative instruments of which the ACMA has oversight</w:t>
      </w:r>
      <w:r>
        <w:t xml:space="preserve">, </w:t>
      </w:r>
      <w:bookmarkEnd w:id="291"/>
      <w:r>
        <w:t>which</w:t>
      </w:r>
      <w:r w:rsidRPr="00DF4827">
        <w:t xml:space="preserve"> </w:t>
      </w:r>
      <w:r>
        <w:t>allow</w:t>
      </w:r>
      <w:r w:rsidRPr="00422C25">
        <w:t xml:space="preserve"> </w:t>
      </w:r>
      <w:r>
        <w:t xml:space="preserve">for </w:t>
      </w:r>
      <w:r w:rsidRPr="00422C25">
        <w:t xml:space="preserve">the </w:t>
      </w:r>
      <w:proofErr w:type="spellStart"/>
      <w:r w:rsidRPr="00422C25">
        <w:t>channeli</w:t>
      </w:r>
      <w:r>
        <w:t>s</w:t>
      </w:r>
      <w:r w:rsidRPr="00422C25">
        <w:t>ation</w:t>
      </w:r>
      <w:proofErr w:type="spellEnd"/>
      <w:r w:rsidRPr="00422C25">
        <w:t>, use and technical requirements</w:t>
      </w:r>
      <w:r>
        <w:t xml:space="preserve"> of the VHF maritime mobile band</w:t>
      </w:r>
      <w:r w:rsidRPr="00422C25">
        <w:t xml:space="preserve"> in Australia.</w:t>
      </w:r>
    </w:p>
    <w:p w14:paraId="442820EC" w14:textId="05132B5E" w:rsidR="00ED1CCA" w:rsidRDefault="00ED1CCA" w:rsidP="00E26672">
      <w:pPr>
        <w:pStyle w:val="ListBullet"/>
        <w:numPr>
          <w:ilvl w:val="0"/>
          <w:numId w:val="0"/>
        </w:numPr>
      </w:pPr>
      <w:r>
        <w:t xml:space="preserve">At the end of 2018, the ACMA released a consultation paper </w:t>
      </w:r>
      <w:r w:rsidR="00A666B6">
        <w:t>with options on how the current regulatory framework</w:t>
      </w:r>
      <w:r w:rsidR="00AD0483">
        <w:t>,</w:t>
      </w:r>
      <w:r w:rsidR="00A666B6">
        <w:t xml:space="preserve"> in the short</w:t>
      </w:r>
      <w:r w:rsidR="00AD0483">
        <w:t>-</w:t>
      </w:r>
      <w:r w:rsidR="00A666B6">
        <w:t>to</w:t>
      </w:r>
      <w:r w:rsidR="00AD0483">
        <w:t>-</w:t>
      </w:r>
      <w:r w:rsidR="00A666B6">
        <w:t>medium term</w:t>
      </w:r>
      <w:r w:rsidR="00AD0483">
        <w:t>,</w:t>
      </w:r>
      <w:r w:rsidR="00A666B6">
        <w:t xml:space="preserve"> can improve safety-of-life arrangements, while also providing benefits to the Australian maritime community. The approach is designed to satisfy our regulatory requirements, as well as provide an opportunity for maritime stakeholders to guide the ACMA on how arrangements can be further improved. The paper provided two proposals for consideration:</w:t>
      </w:r>
    </w:p>
    <w:p w14:paraId="516DAFBE" w14:textId="0E0F7C32" w:rsidR="00A666B6" w:rsidRDefault="00A666B6" w:rsidP="00E26672">
      <w:pPr>
        <w:pStyle w:val="ListBullet"/>
      </w:pPr>
      <w:r>
        <w:t>Proposal 1</w:t>
      </w:r>
      <w:r w:rsidR="00255402">
        <w:t>—</w:t>
      </w:r>
      <w:r w:rsidR="004313FB">
        <w:t>o</w:t>
      </w:r>
      <w:r>
        <w:t>utlined a set of changes to the Australian regulatory framework and provided a draft instrument identifying those key changes</w:t>
      </w:r>
    </w:p>
    <w:p w14:paraId="03972DCA" w14:textId="031C5552" w:rsidR="00A666B6" w:rsidRDefault="00A666B6" w:rsidP="00DE694D">
      <w:pPr>
        <w:pStyle w:val="ListBulletLast"/>
      </w:pPr>
      <w:r>
        <w:t>Proposal 2</w:t>
      </w:r>
      <w:r w:rsidR="00255402">
        <w:t>—</w:t>
      </w:r>
      <w:r w:rsidR="004313FB">
        <w:t>r</w:t>
      </w:r>
      <w:r>
        <w:t>aised a series of questions form maritime stakeholders, answers to which will inform the ACMA’s consideration of any additional changes to the regulatory framework.</w:t>
      </w:r>
    </w:p>
    <w:p w14:paraId="75FB8A9B" w14:textId="74DC0D28" w:rsidR="00A666B6" w:rsidRPr="0027128C" w:rsidRDefault="00A666B6">
      <w:pPr>
        <w:pStyle w:val="BodySubHeader"/>
      </w:pPr>
      <w:r w:rsidRPr="0027128C">
        <w:t>Activities planned for 201</w:t>
      </w:r>
      <w:r>
        <w:t>9–20</w:t>
      </w:r>
      <w:r w:rsidRPr="0027128C">
        <w:t xml:space="preserve"> </w:t>
      </w:r>
    </w:p>
    <w:p w14:paraId="51ACD00E" w14:textId="1A309DB7" w:rsidR="00A666B6" w:rsidRPr="00ED1CCA" w:rsidRDefault="00AD0483" w:rsidP="00DE694D">
      <w:bookmarkStart w:id="292" w:name="_Hlk2681497"/>
      <w:r>
        <w:t>The c</w:t>
      </w:r>
      <w:r w:rsidR="00A666B6">
        <w:t>onsultation ended on 1 February</w:t>
      </w:r>
      <w:r>
        <w:t xml:space="preserve"> 2019</w:t>
      </w:r>
      <w:r w:rsidR="00A666B6">
        <w:t xml:space="preserve"> and the ACMA </w:t>
      </w:r>
      <w:r w:rsidR="00517E82">
        <w:t>will</w:t>
      </w:r>
      <w:r w:rsidR="003E6D58">
        <w:t xml:space="preserve"> </w:t>
      </w:r>
      <w:r w:rsidR="00273580">
        <w:t>consider</w:t>
      </w:r>
      <w:r w:rsidR="00A666B6">
        <w:t xml:space="preserve"> submissions with </w:t>
      </w:r>
      <w:r w:rsidR="00273580">
        <w:t xml:space="preserve">a </w:t>
      </w:r>
      <w:r w:rsidR="00F24C8A">
        <w:t>v</w:t>
      </w:r>
      <w:r w:rsidR="00A666B6">
        <w:t xml:space="preserve">iew to implementing changes to the VHF maritime mobile band in 2019. A further review and consultation </w:t>
      </w:r>
      <w:r w:rsidR="00F25634">
        <w:t xml:space="preserve">will </w:t>
      </w:r>
      <w:r w:rsidR="00A666B6">
        <w:t>be required</w:t>
      </w:r>
      <w:r w:rsidR="00F25634">
        <w:t xml:space="preserve"> to consider what future changes should be made, this includes considering the outcomes of </w:t>
      </w:r>
      <w:r w:rsidR="00E937D1">
        <w:t>WRC-19</w:t>
      </w:r>
      <w:r w:rsidR="00A666B6">
        <w:t>.</w:t>
      </w:r>
    </w:p>
    <w:p w14:paraId="17540A68" w14:textId="6467544F" w:rsidR="00215AD1" w:rsidRPr="00E26672" w:rsidRDefault="00215AD1" w:rsidP="008713AA">
      <w:pPr>
        <w:pStyle w:val="Heading3"/>
      </w:pPr>
      <w:bookmarkStart w:id="293" w:name="_Toc5025702"/>
      <w:bookmarkEnd w:id="292"/>
      <w:r w:rsidRPr="008713AA">
        <w:t>Review of spectrum licen</w:t>
      </w:r>
      <w:r w:rsidR="00493062" w:rsidRPr="008713AA">
        <w:t>c</w:t>
      </w:r>
      <w:r w:rsidRPr="00E26672">
        <w:t>e technical frameworks</w:t>
      </w:r>
      <w:bookmarkEnd w:id="293"/>
    </w:p>
    <w:p w14:paraId="7EBE2A3C" w14:textId="77777777" w:rsidR="00215AD1" w:rsidRDefault="00215AD1" w:rsidP="00D7755E">
      <w:r>
        <w:rPr>
          <w:rFonts w:cs="Arial"/>
        </w:rPr>
        <w:t xml:space="preserve">Reviewing the arrangements in bands that are already licensed for wireless broadband is important to ensure existing allocations are efficient and can cater for new technology developments such as 5G. </w:t>
      </w:r>
      <w:r>
        <w:t>The</w:t>
      </w:r>
      <w:r w:rsidRPr="009962F3">
        <w:t xml:space="preserve"> </w:t>
      </w:r>
      <w:r>
        <w:t>update of the technical framework for the 2.3 GHz band has already been raised in this context.</w:t>
      </w:r>
    </w:p>
    <w:p w14:paraId="60673A01" w14:textId="77777777" w:rsidR="00215AD1" w:rsidRPr="0027128C" w:rsidRDefault="00215AD1" w:rsidP="00215AD1">
      <w:pPr>
        <w:pStyle w:val="BodySubHeader"/>
      </w:pPr>
      <w:r w:rsidRPr="0027128C">
        <w:t>Activities planned for 201</w:t>
      </w:r>
      <w:r>
        <w:t>9–20</w:t>
      </w:r>
      <w:r w:rsidRPr="0027128C">
        <w:t xml:space="preserve"> </w:t>
      </w:r>
    </w:p>
    <w:p w14:paraId="161CC147" w14:textId="14B7D3DB" w:rsidR="00215AD1" w:rsidRDefault="00215AD1" w:rsidP="00D7755E">
      <w:r>
        <w:t xml:space="preserve">The </w:t>
      </w:r>
      <w:r w:rsidRPr="009962F3">
        <w:t xml:space="preserve">ACMA </w:t>
      </w:r>
      <w:r>
        <w:t>intends to commence a discussion with industry in Q1 2019</w:t>
      </w:r>
      <w:r w:rsidR="00493062">
        <w:t>–</w:t>
      </w:r>
      <w:r>
        <w:t>20 on the scope of a program of work to determine the bands that may need to be examined.</w:t>
      </w:r>
    </w:p>
    <w:tbl>
      <w:tblPr>
        <w:tblStyle w:val="TableGrid"/>
        <w:tblW w:w="0" w:type="auto"/>
        <w:tblLook w:val="04A0" w:firstRow="1" w:lastRow="0" w:firstColumn="1" w:lastColumn="0" w:noHBand="0" w:noVBand="1"/>
      </w:tblPr>
      <w:tblGrid>
        <w:gridCol w:w="7661"/>
      </w:tblGrid>
      <w:tr w:rsidR="00DA4557" w14:paraId="5D2330DD" w14:textId="77777777" w:rsidTr="00DE694D">
        <w:tc>
          <w:tcPr>
            <w:tcW w:w="7661" w:type="dxa"/>
            <w:shd w:val="clear" w:color="auto" w:fill="F2F2F2" w:themeFill="background1" w:themeFillShade="F2"/>
          </w:tcPr>
          <w:p w14:paraId="5A2F00B5" w14:textId="25B4CF31" w:rsidR="00DA4557" w:rsidRDefault="00DA4557" w:rsidP="00DE694D">
            <w:pPr>
              <w:spacing w:before="120"/>
              <w:rPr>
                <w:b/>
              </w:rPr>
            </w:pPr>
            <w:r>
              <w:rPr>
                <w:b/>
              </w:rPr>
              <w:t>Consultation question</w:t>
            </w:r>
          </w:p>
          <w:p w14:paraId="19AB5687" w14:textId="247D4BE1" w:rsidR="00DA4557" w:rsidRPr="00155D31" w:rsidRDefault="00DA4557" w:rsidP="00DE694D">
            <w:pPr>
              <w:pStyle w:val="ListParagraph"/>
              <w:numPr>
                <w:ilvl w:val="0"/>
                <w:numId w:val="60"/>
              </w:numPr>
              <w:spacing w:before="120" w:after="360"/>
            </w:pPr>
            <w:r w:rsidRPr="00DE694D">
              <w:t>Do you have any feedback on optimising established planning frameworks?</w:t>
            </w:r>
          </w:p>
        </w:tc>
      </w:tr>
    </w:tbl>
    <w:p w14:paraId="18D6A93C" w14:textId="77777777" w:rsidR="006E29B3" w:rsidRPr="00ED1CCA" w:rsidRDefault="006E29B3">
      <w:pPr>
        <w:pStyle w:val="ListBullet"/>
        <w:numPr>
          <w:ilvl w:val="0"/>
          <w:numId w:val="0"/>
        </w:numPr>
      </w:pPr>
    </w:p>
    <w:p w14:paraId="52D28BA5" w14:textId="25316DA3" w:rsidR="003F4B80" w:rsidRPr="005D055C" w:rsidRDefault="003F4B80" w:rsidP="00775B4A">
      <w:pPr>
        <w:pStyle w:val="Heading1"/>
      </w:pPr>
      <w:bookmarkStart w:id="294" w:name="_The_forward_allocation"/>
      <w:bookmarkStart w:id="295" w:name="_Toc510104961"/>
      <w:bookmarkStart w:id="296" w:name="_Toc510105758"/>
      <w:bookmarkStart w:id="297" w:name="_Toc510795090"/>
      <w:bookmarkStart w:id="298" w:name="_Toc511716291"/>
      <w:bookmarkStart w:id="299" w:name="_Toc511719102"/>
      <w:bookmarkStart w:id="300" w:name="_Toc522794095"/>
      <w:bookmarkStart w:id="301" w:name="_Toc5025703"/>
      <w:bookmarkEnd w:id="294"/>
      <w:r w:rsidRPr="00775B4A">
        <w:lastRenderedPageBreak/>
        <w:t>The</w:t>
      </w:r>
      <w:r w:rsidRPr="005D055C">
        <w:t xml:space="preserve"> forward allocation work plan</w:t>
      </w:r>
      <w:bookmarkEnd w:id="295"/>
      <w:bookmarkEnd w:id="296"/>
      <w:bookmarkEnd w:id="297"/>
      <w:bookmarkEnd w:id="298"/>
      <w:bookmarkEnd w:id="299"/>
      <w:bookmarkEnd w:id="300"/>
      <w:bookmarkEnd w:id="301"/>
    </w:p>
    <w:p w14:paraId="72441613" w14:textId="77777777" w:rsidR="003F4B80" w:rsidRPr="005759E7" w:rsidRDefault="003F4B80">
      <w:pPr>
        <w:pStyle w:val="Heading2"/>
        <w:rPr>
          <w:rFonts w:eastAsiaTheme="majorEastAsia"/>
        </w:rPr>
      </w:pPr>
      <w:bookmarkStart w:id="302" w:name="_Toc510104962"/>
      <w:bookmarkStart w:id="303" w:name="_Toc510105759"/>
      <w:bookmarkStart w:id="304" w:name="_Toc510795091"/>
      <w:bookmarkStart w:id="305" w:name="_Toc511716292"/>
      <w:bookmarkStart w:id="306" w:name="_Toc511719103"/>
      <w:bookmarkStart w:id="307" w:name="_Toc522794096"/>
      <w:bookmarkStart w:id="308" w:name="_Toc5025704"/>
      <w:r w:rsidRPr="005759E7">
        <w:rPr>
          <w:rFonts w:eastAsiaTheme="majorEastAsia"/>
        </w:rPr>
        <w:t xml:space="preserve">Purpose of the </w:t>
      </w:r>
      <w:r w:rsidR="00327EA2">
        <w:rPr>
          <w:rFonts w:eastAsiaTheme="majorEastAsia"/>
        </w:rPr>
        <w:t xml:space="preserve">forward </w:t>
      </w:r>
      <w:r w:rsidRPr="005759E7">
        <w:rPr>
          <w:rFonts w:eastAsiaTheme="majorEastAsia"/>
        </w:rPr>
        <w:t xml:space="preserve">allocation </w:t>
      </w:r>
      <w:bookmarkEnd w:id="302"/>
      <w:bookmarkEnd w:id="303"/>
      <w:bookmarkEnd w:id="304"/>
      <w:r w:rsidR="00BA6010" w:rsidRPr="005759E7">
        <w:rPr>
          <w:rFonts w:eastAsiaTheme="majorEastAsia"/>
        </w:rPr>
        <w:t>work plan</w:t>
      </w:r>
      <w:bookmarkEnd w:id="305"/>
      <w:bookmarkEnd w:id="306"/>
      <w:bookmarkEnd w:id="307"/>
      <w:bookmarkEnd w:id="308"/>
      <w:r w:rsidRPr="005759E7">
        <w:rPr>
          <w:rFonts w:eastAsiaTheme="majorEastAsia"/>
        </w:rPr>
        <w:t xml:space="preserve"> </w:t>
      </w:r>
    </w:p>
    <w:p w14:paraId="390FCEA3" w14:textId="6CC2A453" w:rsidR="003F4B80" w:rsidRPr="00EC58F7" w:rsidRDefault="003F4B80">
      <w:pPr>
        <w:spacing w:after="80"/>
        <w:rPr>
          <w:rFonts w:cs="Arial"/>
        </w:rPr>
      </w:pPr>
      <w:r>
        <w:t>T</w:t>
      </w:r>
      <w:r w:rsidRPr="009F505F">
        <w:t xml:space="preserve">imely access to spectrum is of increasing importance to an innovative and dynamic </w:t>
      </w:r>
      <w:r w:rsidR="003D4996">
        <w:t>economy</w:t>
      </w:r>
      <w:r w:rsidRPr="009F505F">
        <w:t xml:space="preserve">. </w:t>
      </w:r>
      <w:r w:rsidRPr="00EC58F7">
        <w:rPr>
          <w:rFonts w:cs="Arial"/>
        </w:rPr>
        <w:t>For incumbent and prospective spectrum users, th</w:t>
      </w:r>
      <w:r w:rsidR="00D433F2">
        <w:rPr>
          <w:rFonts w:cs="Arial"/>
        </w:rPr>
        <w:t>is forward</w:t>
      </w:r>
      <w:r w:rsidRPr="00EC58F7">
        <w:rPr>
          <w:rFonts w:cs="Arial"/>
        </w:rPr>
        <w:t xml:space="preserve"> allocation work </w:t>
      </w:r>
      <w:r w:rsidR="0088477E">
        <w:rPr>
          <w:rFonts w:cs="Arial"/>
        </w:rPr>
        <w:t>plan</w:t>
      </w:r>
      <w:r w:rsidR="0088477E" w:rsidRPr="00EC58F7">
        <w:rPr>
          <w:rFonts w:cs="Arial"/>
        </w:rPr>
        <w:t xml:space="preserve"> </w:t>
      </w:r>
      <w:r w:rsidRPr="00EC58F7">
        <w:rPr>
          <w:rFonts w:cs="Arial"/>
        </w:rPr>
        <w:t>provide</w:t>
      </w:r>
      <w:r w:rsidR="00280702">
        <w:rPr>
          <w:rFonts w:cs="Arial"/>
        </w:rPr>
        <w:t>s</w:t>
      </w:r>
      <w:r w:rsidRPr="00EC58F7">
        <w:rPr>
          <w:rFonts w:cs="Arial"/>
        </w:rPr>
        <w:t xml:space="preserve"> information for stakeholders </w:t>
      </w:r>
      <w:r w:rsidR="0072754E">
        <w:rPr>
          <w:rFonts w:cs="Arial"/>
        </w:rPr>
        <w:t>about</w:t>
      </w:r>
      <w:r w:rsidR="0072754E" w:rsidRPr="00EC58F7">
        <w:rPr>
          <w:rFonts w:cs="Arial"/>
        </w:rPr>
        <w:t xml:space="preserve"> </w:t>
      </w:r>
      <w:r w:rsidRPr="00EC58F7">
        <w:rPr>
          <w:rFonts w:cs="Arial"/>
        </w:rPr>
        <w:t>the planning status and possible timing</w:t>
      </w:r>
      <w:r w:rsidR="003A1815">
        <w:rPr>
          <w:rFonts w:cs="Arial"/>
        </w:rPr>
        <w:t xml:space="preserve"> and sequencing</w:t>
      </w:r>
      <w:r w:rsidRPr="00EC58F7">
        <w:rPr>
          <w:rFonts w:cs="Arial"/>
        </w:rPr>
        <w:t xml:space="preserve"> of </w:t>
      </w:r>
      <w:r w:rsidR="00682BE8">
        <w:rPr>
          <w:rFonts w:cs="Arial"/>
        </w:rPr>
        <w:t>major spectrum allocations</w:t>
      </w:r>
      <w:r w:rsidR="00280702">
        <w:rPr>
          <w:rFonts w:cs="Arial"/>
        </w:rPr>
        <w:t>,</w:t>
      </w:r>
      <w:r>
        <w:rPr>
          <w:rFonts w:cs="Arial"/>
        </w:rPr>
        <w:t xml:space="preserve"> to better support</w:t>
      </w:r>
      <w:r w:rsidRPr="00EC58F7">
        <w:rPr>
          <w:rFonts w:cs="Arial"/>
        </w:rPr>
        <w:t>:</w:t>
      </w:r>
    </w:p>
    <w:p w14:paraId="2E77273F" w14:textId="77777777" w:rsidR="003F4B80" w:rsidRPr="00280702" w:rsidRDefault="003F4B80" w:rsidP="00DE694D">
      <w:pPr>
        <w:pStyle w:val="ListBullet"/>
      </w:pPr>
      <w:r w:rsidRPr="00EC58F7">
        <w:rPr>
          <w:rFonts w:eastAsiaTheme="minorEastAsia"/>
        </w:rPr>
        <w:t xml:space="preserve">strategic </w:t>
      </w:r>
      <w:r w:rsidRPr="00280702">
        <w:rPr>
          <w:rFonts w:eastAsiaTheme="minorEastAsia"/>
        </w:rPr>
        <w:t xml:space="preserve">network planning by spectrum users </w:t>
      </w:r>
    </w:p>
    <w:p w14:paraId="2C29622C" w14:textId="77777777" w:rsidR="003F4B80" w:rsidRPr="00EC58F7" w:rsidRDefault="003F4B80" w:rsidP="00DE694D">
      <w:pPr>
        <w:pStyle w:val="ListBullet"/>
      </w:pPr>
      <w:r w:rsidRPr="00280702">
        <w:rPr>
          <w:rFonts w:eastAsiaTheme="minorEastAsia"/>
        </w:rPr>
        <w:t>technology deployment</w:t>
      </w:r>
      <w:r w:rsidRPr="00EC58F7">
        <w:rPr>
          <w:rFonts w:eastAsiaTheme="minorEastAsia"/>
        </w:rPr>
        <w:t xml:space="preserve"> planning</w:t>
      </w:r>
    </w:p>
    <w:p w14:paraId="4AA7F3FF" w14:textId="03A1A43C" w:rsidR="003F4B80" w:rsidRPr="002E3C54" w:rsidRDefault="003F4B80" w:rsidP="00DE694D">
      <w:pPr>
        <w:pStyle w:val="ListBulletLast"/>
        <w:rPr>
          <w:rFonts w:eastAsiaTheme="minorEastAsia"/>
        </w:rPr>
      </w:pPr>
      <w:r w:rsidRPr="00EC58F7">
        <w:rPr>
          <w:rFonts w:eastAsiaTheme="minorEastAsia"/>
        </w:rPr>
        <w:t>capital-raising.</w:t>
      </w:r>
    </w:p>
    <w:p w14:paraId="28485874" w14:textId="695BB2DA" w:rsidR="003F4B80" w:rsidRPr="008459DF" w:rsidRDefault="001D0A2E">
      <w:r>
        <w:t>Under current law, s</w:t>
      </w:r>
      <w:r w:rsidR="003F4B80" w:rsidRPr="008459DF">
        <w:t>pecific allocation</w:t>
      </w:r>
      <w:r w:rsidR="00D23F2E">
        <w:t xml:space="preserve"> processe</w:t>
      </w:r>
      <w:r w:rsidR="003F4B80" w:rsidRPr="008459DF">
        <w:t>s depend on ACMA and</w:t>
      </w:r>
      <w:r w:rsidR="00C61075">
        <w:t xml:space="preserve">, in some cases, </w:t>
      </w:r>
      <w:r w:rsidR="00AC3D96">
        <w:t>m</w:t>
      </w:r>
      <w:r w:rsidR="003F4B80" w:rsidRPr="008459DF">
        <w:t>inisterial decisions made during the planning stage, and reflect other relevant government policy considerations about planning priorities. Information from incumbent and prospective spectrum users about the demand for access to specific bands and the timing of any possible allocation will also provide important input to allocation decisions.</w:t>
      </w:r>
    </w:p>
    <w:p w14:paraId="7A76134F" w14:textId="01C14295" w:rsidR="003F4B80" w:rsidRPr="008459DF" w:rsidRDefault="003F4B80">
      <w:r w:rsidRPr="008459DF">
        <w:t>There is no certainty that any band will move to</w:t>
      </w:r>
      <w:r w:rsidR="001D0A2E">
        <w:t xml:space="preserve"> changed</w:t>
      </w:r>
      <w:r w:rsidRPr="008459DF">
        <w:t xml:space="preserve"> allocation </w:t>
      </w:r>
      <w:r w:rsidR="001D0A2E">
        <w:t xml:space="preserve">arrangements </w:t>
      </w:r>
      <w:r w:rsidRPr="008459DF">
        <w:t>until a formal decision has been made. The ACMA emphasises that the information presented here does not in any way pre-empt such formal decisions.</w:t>
      </w:r>
      <w:r w:rsidR="00447762">
        <w:t xml:space="preserve"> </w:t>
      </w:r>
    </w:p>
    <w:p w14:paraId="1ECFAE3E" w14:textId="60B330B0" w:rsidR="003F4B80" w:rsidRPr="008459DF" w:rsidRDefault="003F4B80">
      <w:r w:rsidRPr="008459DF">
        <w:t>Even once a formal decision has been made to move towards a</w:t>
      </w:r>
      <w:r w:rsidR="001D0A2E">
        <w:t xml:space="preserve"> changed</w:t>
      </w:r>
      <w:r w:rsidRPr="008459DF">
        <w:t xml:space="preserve"> allocation</w:t>
      </w:r>
      <w:r w:rsidR="001D0A2E">
        <w:t xml:space="preserve"> arrangement</w:t>
      </w:r>
      <w:r w:rsidRPr="008459DF">
        <w:t xml:space="preserve">, the specific design of each </w:t>
      </w:r>
      <w:r w:rsidR="001D0A2E">
        <w:t xml:space="preserve">arrangement </w:t>
      </w:r>
      <w:r w:rsidR="001D0A2E" w:rsidRPr="00DE694D">
        <w:t xml:space="preserve">is dependent on a range of planning decisions yet to be made. These considerations include, </w:t>
      </w:r>
      <w:r w:rsidRPr="008459DF">
        <w:t>for example, allocation timing, methodology</w:t>
      </w:r>
      <w:r w:rsidR="001D0A2E">
        <w:t xml:space="preserve"> </w:t>
      </w:r>
      <w:r w:rsidR="001D0A2E" w:rsidRPr="00DE694D">
        <w:t>(such as whether it involves an auction or other price-based allocation or conversion of existing apparatus licences to spectrum licences, and whether it involves the issue of apparatus or spectrum licences, or a combination)</w:t>
      </w:r>
      <w:r w:rsidRPr="008459DF">
        <w:t xml:space="preserve"> and lot configuration. The ACMA </w:t>
      </w:r>
      <w:r w:rsidR="003A1815">
        <w:t>will</w:t>
      </w:r>
      <w:r w:rsidRPr="008459DF">
        <w:t xml:space="preserve"> take account of feedback from industry about likely demand and their priorities for access to particular spectrum bands. </w:t>
      </w:r>
    </w:p>
    <w:p w14:paraId="11067ED7" w14:textId="6970AEB3" w:rsidR="00A61888" w:rsidRDefault="00A61888" w:rsidP="00633E1E">
      <w:r>
        <w:t xml:space="preserve">The </w:t>
      </w:r>
      <w:r w:rsidR="00C61075">
        <w:t>ACMA has completed a number of allocation and re-issue processes in recent years, providing significant predictability regarding spectrum availability in a number of key bands including 700 MHz, 1800 MHz, 2 GHz</w:t>
      </w:r>
      <w:r w:rsidR="003D632C">
        <w:t xml:space="preserve"> (</w:t>
      </w:r>
      <w:r w:rsidR="00633E1E">
        <w:t>1920</w:t>
      </w:r>
      <w:r w:rsidR="00243870">
        <w:t>–</w:t>
      </w:r>
      <w:r w:rsidR="00633E1E">
        <w:t>1980 and 2110</w:t>
      </w:r>
      <w:r w:rsidR="00243870">
        <w:t>–</w:t>
      </w:r>
      <w:r w:rsidR="00633E1E">
        <w:t>2170 MHz)</w:t>
      </w:r>
      <w:r w:rsidR="00C61075">
        <w:t>, 2.3 GHz</w:t>
      </w:r>
      <w:r w:rsidR="00D23F2E">
        <w:t xml:space="preserve">, </w:t>
      </w:r>
      <w:r w:rsidR="00C61075">
        <w:t>3.4 GHz</w:t>
      </w:r>
      <w:r w:rsidR="00D23F2E">
        <w:t xml:space="preserve"> and 3.6 GHz</w:t>
      </w:r>
      <w:r w:rsidR="00C61075">
        <w:t xml:space="preserve">. This has set the stage </w:t>
      </w:r>
      <w:r>
        <w:t xml:space="preserve">not only </w:t>
      </w:r>
      <w:r w:rsidR="00C61075">
        <w:t xml:space="preserve">for </w:t>
      </w:r>
      <w:r>
        <w:t>improved services and greater choice for consumers</w:t>
      </w:r>
      <w:r w:rsidR="00CD20C4">
        <w:t>, i</w:t>
      </w:r>
      <w:r>
        <w:t>t also increases the opportunities for licensees to undertak</w:t>
      </w:r>
      <w:r w:rsidR="001C2180">
        <w:t>e</w:t>
      </w:r>
      <w:r>
        <w:t xml:space="preserve"> trading and contribute to defragmentation in some bands, allowing more efficient use of spectrum.</w:t>
      </w:r>
    </w:p>
    <w:p w14:paraId="4A46E956" w14:textId="53BE94EB" w:rsidR="00CA46C1" w:rsidRDefault="008F041B">
      <w:pPr>
        <w:keepNext/>
        <w:keepLines/>
        <w:sectPr w:rsidR="00CA46C1" w:rsidSect="00E97880">
          <w:headerReference w:type="even" r:id="rId60"/>
          <w:headerReference w:type="default" r:id="rId61"/>
          <w:footerReference w:type="even" r:id="rId62"/>
          <w:footerReference w:type="default" r:id="rId63"/>
          <w:pgSz w:w="11906" w:h="16838" w:code="9"/>
          <w:pgMar w:top="1945" w:right="3101" w:bottom="1134" w:left="1134" w:header="709" w:footer="119" w:gutter="0"/>
          <w:pgNumType w:start="1"/>
          <w:cols w:space="708"/>
          <w:docGrid w:linePitch="360"/>
        </w:sectPr>
      </w:pPr>
      <w:r>
        <w:t xml:space="preserve">Following the proposed </w:t>
      </w:r>
      <w:r w:rsidR="003F4B80" w:rsidRPr="008459DF">
        <w:t>series of timing and sequencing options for allocations planned over the next few years</w:t>
      </w:r>
      <w:r>
        <w:t xml:space="preserve"> that was published in the FYSO 2018</w:t>
      </w:r>
      <w:r w:rsidR="00243870">
        <w:t>–</w:t>
      </w:r>
      <w:r>
        <w:t xml:space="preserve">22, we have updated the forward allocation </w:t>
      </w:r>
      <w:r w:rsidR="0088477E">
        <w:t xml:space="preserve">plan </w:t>
      </w:r>
      <w:r>
        <w:t xml:space="preserve">and again seek stakeholder feedback on the identification of bands for allocation, and the timing and sequencing of those </w:t>
      </w:r>
      <w:r w:rsidR="008C0480">
        <w:t>allocations</w:t>
      </w:r>
      <w:r w:rsidR="003F4B80" w:rsidRPr="007678D0" w:rsidDel="00586644">
        <w:t>.</w:t>
      </w:r>
    </w:p>
    <w:p w14:paraId="5BFEF011" w14:textId="77777777" w:rsidR="003F4B80" w:rsidRPr="005759E7" w:rsidRDefault="003F4B80">
      <w:pPr>
        <w:pStyle w:val="Heading2"/>
      </w:pPr>
      <w:bookmarkStart w:id="309" w:name="_Toc510104964"/>
      <w:bookmarkStart w:id="310" w:name="_Toc510105761"/>
      <w:bookmarkStart w:id="311" w:name="_Toc510795093"/>
      <w:bookmarkStart w:id="312" w:name="_Toc511716294"/>
      <w:bookmarkStart w:id="313" w:name="_Toc511719105"/>
      <w:bookmarkStart w:id="314" w:name="_Toc522794098"/>
      <w:bookmarkStart w:id="315" w:name="_Toc5025705"/>
      <w:r w:rsidRPr="005759E7">
        <w:lastRenderedPageBreak/>
        <w:t>What we</w:t>
      </w:r>
      <w:r w:rsidR="009D54DB">
        <w:t>’</w:t>
      </w:r>
      <w:r w:rsidRPr="005759E7">
        <w:t>re proposing</w:t>
      </w:r>
      <w:bookmarkEnd w:id="309"/>
      <w:bookmarkEnd w:id="310"/>
      <w:bookmarkEnd w:id="311"/>
      <w:bookmarkEnd w:id="312"/>
      <w:bookmarkEnd w:id="313"/>
      <w:bookmarkEnd w:id="314"/>
      <w:bookmarkEnd w:id="315"/>
    </w:p>
    <w:p w14:paraId="3EB60000" w14:textId="69C6C8E2" w:rsidR="005C4341" w:rsidRDefault="009A3403">
      <w:r>
        <w:t>In December 2018</w:t>
      </w:r>
      <w:r w:rsidR="00AD45CD">
        <w:t>,</w:t>
      </w:r>
      <w:r>
        <w:t xml:space="preserve"> the ACMA </w:t>
      </w:r>
      <w:r w:rsidR="008C0480">
        <w:t xml:space="preserve">oversaw the successful </w:t>
      </w:r>
      <w:r>
        <w:t>allocat</w:t>
      </w:r>
      <w:r w:rsidR="008C0480">
        <w:t>ion of</w:t>
      </w:r>
      <w:r>
        <w:t xml:space="preserve"> 125 MHz of spectrum in </w:t>
      </w:r>
      <w:r w:rsidRPr="00414F57">
        <w:t>the 3.</w:t>
      </w:r>
      <w:r w:rsidR="002210D9" w:rsidRPr="00414F57">
        <w:t>6</w:t>
      </w:r>
      <w:r w:rsidR="002210D9">
        <w:t> </w:t>
      </w:r>
      <w:r w:rsidRPr="00414F57">
        <w:t>GHz band</w:t>
      </w:r>
      <w:r>
        <w:t xml:space="preserve"> (3</w:t>
      </w:r>
      <w:r w:rsidR="00705AC6">
        <w:t xml:space="preserve"> </w:t>
      </w:r>
      <w:r>
        <w:t>575</w:t>
      </w:r>
      <w:r w:rsidR="00243870">
        <w:t>–</w:t>
      </w:r>
      <w:r>
        <w:t>3</w:t>
      </w:r>
      <w:r w:rsidR="00705AC6">
        <w:t xml:space="preserve"> </w:t>
      </w:r>
      <w:r>
        <w:t>700 MHz), in metropolitan and regional areas.</w:t>
      </w:r>
    </w:p>
    <w:p w14:paraId="672AD33E" w14:textId="29731DE5" w:rsidR="003F4B80" w:rsidRDefault="005234FD">
      <w:r>
        <w:t>T</w:t>
      </w:r>
      <w:r w:rsidR="003F4B80">
        <w:t xml:space="preserve">he remaining </w:t>
      </w:r>
      <w:r w:rsidR="003F4B80" w:rsidRPr="009F505F">
        <w:t xml:space="preserve">set of spectrum bands </w:t>
      </w:r>
      <w:r w:rsidR="002026C0">
        <w:t xml:space="preserve">under consideration for potential </w:t>
      </w:r>
      <w:r w:rsidR="003F4B80" w:rsidRPr="009F505F">
        <w:t>future allocation</w:t>
      </w:r>
      <w:r w:rsidR="003F4B80">
        <w:t xml:space="preserve"> is outlined in Table</w:t>
      </w:r>
      <w:r w:rsidR="00D71281">
        <w:t xml:space="preserve"> </w:t>
      </w:r>
      <w:r w:rsidR="00196553">
        <w:t>1</w:t>
      </w:r>
      <w:r w:rsidR="00D71281">
        <w:t>0</w:t>
      </w:r>
      <w:r w:rsidR="004047DA">
        <w:t>.</w:t>
      </w:r>
      <w:r w:rsidR="003F4B80" w:rsidRPr="009F505F">
        <w:t xml:space="preserve"> </w:t>
      </w:r>
    </w:p>
    <w:p w14:paraId="70F6EA28" w14:textId="5FD3B34C" w:rsidR="00585FB9" w:rsidRPr="002210D9" w:rsidRDefault="00585FB9" w:rsidP="008713AA">
      <w:pPr>
        <w:pStyle w:val="ACMATableHeader"/>
      </w:pPr>
      <w:r w:rsidRPr="008713AA">
        <w:t>Spectrum bands under consideration</w:t>
      </w:r>
      <w:r w:rsidR="0093278E" w:rsidRPr="00E26672">
        <w:t xml:space="preserve"> for </w:t>
      </w:r>
      <w:r w:rsidR="00A13E17" w:rsidRPr="00E26672">
        <w:t>potential future</w:t>
      </w:r>
      <w:r w:rsidR="0093278E" w:rsidRPr="00E26672">
        <w:t xml:space="preserve"> allocations</w:t>
      </w:r>
    </w:p>
    <w:tbl>
      <w:tblPr>
        <w:tblW w:w="5000" w:type="pct"/>
        <w:tblCellMar>
          <w:top w:w="57" w:type="dxa"/>
          <w:left w:w="57" w:type="dxa"/>
          <w:bottom w:w="57" w:type="dxa"/>
          <w:right w:w="57" w:type="dxa"/>
        </w:tblCellMar>
        <w:tblLook w:val="04A0" w:firstRow="1" w:lastRow="0" w:firstColumn="1" w:lastColumn="0" w:noHBand="0" w:noVBand="1"/>
        <w:tblCaption w:val="Spectrum bands currently being considered for allocation"/>
        <w:tblDescription w:val="Table includes information about multi-band residual lots, 3.6 GHz band, 850 MHz band, 900 MHz band, mmWave band and 1.5 GHz band."/>
      </w:tblPr>
      <w:tblGrid>
        <w:gridCol w:w="1272"/>
        <w:gridCol w:w="1685"/>
        <w:gridCol w:w="1581"/>
        <w:gridCol w:w="3123"/>
      </w:tblGrid>
      <w:tr w:rsidR="00585FB9" w14:paraId="44DE40DA" w14:textId="77777777" w:rsidTr="00DE694D">
        <w:trPr>
          <w:tblHeader/>
        </w:trPr>
        <w:tc>
          <w:tcPr>
            <w:tcW w:w="830"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4B81EB4E" w14:textId="77777777" w:rsidR="00585FB9" w:rsidRPr="005A4D59" w:rsidRDefault="00585FB9" w:rsidP="00B747E1">
            <w:pPr>
              <w:pStyle w:val="TableHeading"/>
            </w:pPr>
            <w:r w:rsidRPr="005A4D59">
              <w:t>Band name</w:t>
            </w:r>
          </w:p>
        </w:tc>
        <w:tc>
          <w:tcPr>
            <w:tcW w:w="1100"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2CE308" w14:textId="77777777" w:rsidR="00585FB9" w:rsidRPr="005A4D59" w:rsidRDefault="00585FB9" w:rsidP="00B747E1">
            <w:pPr>
              <w:pStyle w:val="TableHeading"/>
            </w:pPr>
            <w:r w:rsidRPr="005A4D59">
              <w:t>Spectrum parameters</w:t>
            </w:r>
          </w:p>
        </w:tc>
        <w:tc>
          <w:tcPr>
            <w:tcW w:w="1032"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1F0E7FA0" w14:textId="77777777" w:rsidR="00585FB9" w:rsidRPr="005A4D59" w:rsidRDefault="00585FB9" w:rsidP="00B747E1">
            <w:pPr>
              <w:pStyle w:val="TableHeading"/>
            </w:pPr>
            <w:r w:rsidRPr="005A4D59">
              <w:t>Current use</w:t>
            </w:r>
          </w:p>
        </w:tc>
        <w:tc>
          <w:tcPr>
            <w:tcW w:w="2038"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0A42EF2D" w14:textId="77777777" w:rsidR="00585FB9" w:rsidRPr="005A4D59" w:rsidRDefault="00585FB9" w:rsidP="00B747E1">
            <w:pPr>
              <w:pStyle w:val="TableHeading"/>
            </w:pPr>
            <w:r w:rsidRPr="005A4D59">
              <w:t>Comments</w:t>
            </w:r>
          </w:p>
        </w:tc>
      </w:tr>
      <w:tr w:rsidR="00445F0B" w14:paraId="36EAC64E"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Pr>
          <w:p w14:paraId="1D6ACB2E" w14:textId="4AD5394B" w:rsidR="00445F0B" w:rsidRPr="00DE694D" w:rsidRDefault="00445F0B" w:rsidP="00445F0B">
            <w:pPr>
              <w:spacing w:after="0"/>
              <w:rPr>
                <w:szCs w:val="20"/>
              </w:rPr>
            </w:pPr>
            <w:r w:rsidRPr="00DE694D">
              <w:rPr>
                <w:szCs w:val="20"/>
              </w:rPr>
              <w:t xml:space="preserve">850 MHz </w:t>
            </w:r>
            <w:r w:rsidR="00545114" w:rsidRPr="00DE694D">
              <w:rPr>
                <w:szCs w:val="20"/>
              </w:rPr>
              <w:t xml:space="preserve">expansion </w:t>
            </w:r>
            <w:r w:rsidRPr="00DE694D">
              <w:rPr>
                <w:szCs w:val="20"/>
              </w:rPr>
              <w:t>band</w:t>
            </w:r>
          </w:p>
        </w:tc>
        <w:tc>
          <w:tcPr>
            <w:tcW w:w="1100" w:type="pct"/>
            <w:tcBorders>
              <w:top w:val="single" w:sz="4" w:space="0" w:color="auto"/>
              <w:left w:val="single" w:sz="4" w:space="0" w:color="auto"/>
              <w:bottom w:val="single" w:sz="4" w:space="0" w:color="auto"/>
              <w:right w:val="single" w:sz="4" w:space="0" w:color="auto"/>
            </w:tcBorders>
            <w:shd w:val="clear" w:color="auto" w:fill="FFFFFF" w:themeFill="background1"/>
          </w:tcPr>
          <w:p w14:paraId="25017157" w14:textId="77777777" w:rsidR="00445F0B" w:rsidRPr="00EF20E4" w:rsidRDefault="00445F0B" w:rsidP="00445F0B">
            <w:pPr>
              <w:spacing w:after="0"/>
              <w:rPr>
                <w:szCs w:val="20"/>
              </w:rPr>
            </w:pPr>
            <w:r w:rsidRPr="00EF20E4">
              <w:rPr>
                <w:szCs w:val="20"/>
              </w:rPr>
              <w:t xml:space="preserve">809–824 MHz and </w:t>
            </w:r>
            <w:r w:rsidR="00FA7A83">
              <w:rPr>
                <w:szCs w:val="20"/>
              </w:rPr>
              <w:br/>
            </w:r>
            <w:r w:rsidRPr="00EF20E4">
              <w:rPr>
                <w:szCs w:val="20"/>
              </w:rPr>
              <w:t>855–870 MHz</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tcPr>
          <w:p w14:paraId="4365D0FA" w14:textId="1BFA91C9" w:rsidR="00445F0B" w:rsidRPr="00EF20E4" w:rsidRDefault="00445F0B" w:rsidP="00445F0B">
            <w:pPr>
              <w:spacing w:after="0"/>
              <w:rPr>
                <w:szCs w:val="20"/>
              </w:rPr>
            </w:pPr>
            <w:r w:rsidRPr="00EF20E4">
              <w:rPr>
                <w:szCs w:val="20"/>
              </w:rPr>
              <w:t>Fixed links</w:t>
            </w:r>
            <w:r w:rsidR="005428EA">
              <w:rPr>
                <w:szCs w:val="20"/>
              </w:rPr>
              <w:t xml:space="preserve"> point-to-point</w:t>
            </w:r>
            <w:r w:rsidRPr="00EF20E4">
              <w:rPr>
                <w:szCs w:val="20"/>
              </w:rPr>
              <w:t>, point-to-multipoint, land mobile</w:t>
            </w:r>
          </w:p>
        </w:tc>
        <w:tc>
          <w:tcPr>
            <w:tcW w:w="2038" w:type="pct"/>
            <w:tcBorders>
              <w:top w:val="single" w:sz="4" w:space="0" w:color="auto"/>
              <w:left w:val="single" w:sz="4" w:space="0" w:color="auto"/>
              <w:bottom w:val="single" w:sz="4" w:space="0" w:color="auto"/>
              <w:right w:val="single" w:sz="4" w:space="0" w:color="auto"/>
            </w:tcBorders>
            <w:shd w:val="clear" w:color="auto" w:fill="FFFFFF" w:themeFill="background1"/>
          </w:tcPr>
          <w:p w14:paraId="340ECD67" w14:textId="783AC115" w:rsidR="00445F0B" w:rsidRPr="00EF20E4" w:rsidRDefault="00445F0B" w:rsidP="00445F0B">
            <w:pPr>
              <w:spacing w:after="40"/>
              <w:rPr>
                <w:szCs w:val="20"/>
              </w:rPr>
            </w:pPr>
            <w:r w:rsidRPr="00EF20E4">
              <w:rPr>
                <w:szCs w:val="20"/>
              </w:rPr>
              <w:t xml:space="preserve">Decision to re-farm </w:t>
            </w:r>
            <w:r w:rsidR="002616CF">
              <w:rPr>
                <w:szCs w:val="20"/>
              </w:rPr>
              <w:t xml:space="preserve">optimised for </w:t>
            </w:r>
            <w:r w:rsidR="0072787A">
              <w:rPr>
                <w:szCs w:val="20"/>
              </w:rPr>
              <w:t>wireless</w:t>
            </w:r>
            <w:r w:rsidR="002616CF">
              <w:rPr>
                <w:szCs w:val="20"/>
              </w:rPr>
              <w:t xml:space="preserve"> broadband was </w:t>
            </w:r>
            <w:r w:rsidRPr="00EF20E4">
              <w:rPr>
                <w:szCs w:val="20"/>
              </w:rPr>
              <w:t xml:space="preserve">made </w:t>
            </w:r>
            <w:r w:rsidR="00C107F5">
              <w:rPr>
                <w:szCs w:val="20"/>
              </w:rPr>
              <w:t>in November 2015. C</w:t>
            </w:r>
            <w:r w:rsidRPr="00EF20E4">
              <w:rPr>
                <w:szCs w:val="20"/>
              </w:rPr>
              <w:t xml:space="preserve">learance process </w:t>
            </w:r>
            <w:r w:rsidR="00C107F5">
              <w:rPr>
                <w:szCs w:val="20"/>
              </w:rPr>
              <w:t xml:space="preserve">extends </w:t>
            </w:r>
            <w:r w:rsidRPr="00EF20E4">
              <w:rPr>
                <w:szCs w:val="20"/>
              </w:rPr>
              <w:t>to 2024.</w:t>
            </w:r>
          </w:p>
        </w:tc>
      </w:tr>
      <w:tr w:rsidR="00585FB9" w14:paraId="41402908"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auto"/>
          </w:tcPr>
          <w:p w14:paraId="67C668AA" w14:textId="01B3AA0F" w:rsidR="00585FB9" w:rsidRPr="00DE694D" w:rsidRDefault="00585FB9" w:rsidP="00585FB9">
            <w:pPr>
              <w:spacing w:after="0"/>
              <w:rPr>
                <w:szCs w:val="20"/>
              </w:rPr>
            </w:pPr>
            <w:r w:rsidRPr="00DE694D">
              <w:rPr>
                <w:szCs w:val="20"/>
              </w:rPr>
              <w:t>900 MHz band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41AA22CA" w14:textId="77777777" w:rsidR="00585FB9" w:rsidRPr="00EF20E4" w:rsidRDefault="00585FB9" w:rsidP="00585FB9">
            <w:pPr>
              <w:spacing w:after="0"/>
              <w:rPr>
                <w:szCs w:val="20"/>
              </w:rPr>
            </w:pPr>
            <w:r w:rsidRPr="00EF20E4">
              <w:rPr>
                <w:szCs w:val="20"/>
              </w:rPr>
              <w:t xml:space="preserve">890–915 MHz and </w:t>
            </w:r>
            <w:r w:rsidR="00FA7A83">
              <w:rPr>
                <w:szCs w:val="20"/>
              </w:rPr>
              <w:br/>
            </w:r>
            <w:r w:rsidRPr="00EF20E4">
              <w:rPr>
                <w:szCs w:val="20"/>
              </w:rPr>
              <w:t>935–960 MHz</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370581D7" w14:textId="45D6E755" w:rsidR="00585FB9" w:rsidRPr="00EF20E4" w:rsidRDefault="00585FB9" w:rsidP="00585FB9">
            <w:pPr>
              <w:spacing w:after="0"/>
              <w:rPr>
                <w:szCs w:val="20"/>
              </w:rPr>
            </w:pPr>
            <w:r w:rsidRPr="00EF20E4">
              <w:rPr>
                <w:szCs w:val="20"/>
              </w:rPr>
              <w:t>3G, 4G</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2BC8610E" w14:textId="0A15645D" w:rsidR="00585FB9" w:rsidRPr="00EF20E4" w:rsidRDefault="00585FB9" w:rsidP="002460EB">
            <w:pPr>
              <w:spacing w:after="120"/>
              <w:rPr>
                <w:szCs w:val="20"/>
              </w:rPr>
            </w:pPr>
            <w:r w:rsidRPr="00EF20E4">
              <w:rPr>
                <w:szCs w:val="20"/>
              </w:rPr>
              <w:t xml:space="preserve">ACMA </w:t>
            </w:r>
            <w:r w:rsidR="00835E98" w:rsidRPr="00EF20E4">
              <w:rPr>
                <w:szCs w:val="20"/>
              </w:rPr>
              <w:t>decision on way forward</w:t>
            </w:r>
            <w:r w:rsidRPr="00EF20E4">
              <w:rPr>
                <w:szCs w:val="20"/>
              </w:rPr>
              <w:t xml:space="preserve"> </w:t>
            </w:r>
            <w:r w:rsidR="007269A3">
              <w:rPr>
                <w:szCs w:val="20"/>
              </w:rPr>
              <w:t>i</w:t>
            </w:r>
            <w:r w:rsidR="00EF4037">
              <w:rPr>
                <w:szCs w:val="20"/>
              </w:rPr>
              <w:t xml:space="preserve">n </w:t>
            </w:r>
            <w:r w:rsidR="007269A3">
              <w:rPr>
                <w:szCs w:val="20"/>
              </w:rPr>
              <w:t>October</w:t>
            </w:r>
            <w:r w:rsidR="00EF4037">
              <w:rPr>
                <w:szCs w:val="20"/>
              </w:rPr>
              <w:t xml:space="preserve"> 2017 </w:t>
            </w:r>
            <w:r w:rsidR="003240F9">
              <w:rPr>
                <w:szCs w:val="20"/>
              </w:rPr>
              <w:t xml:space="preserve">prompted </w:t>
            </w:r>
            <w:r w:rsidR="00176275">
              <w:rPr>
                <w:szCs w:val="20"/>
              </w:rPr>
              <w:t xml:space="preserve">comments </w:t>
            </w:r>
            <w:r w:rsidR="003240F9">
              <w:rPr>
                <w:szCs w:val="20"/>
              </w:rPr>
              <w:t>regarding continued operations in this band</w:t>
            </w:r>
            <w:r w:rsidR="00673940" w:rsidRPr="00EF20E4">
              <w:rPr>
                <w:szCs w:val="20"/>
              </w:rPr>
              <w:t>.</w:t>
            </w:r>
            <w:r w:rsidRPr="00EF20E4">
              <w:rPr>
                <w:szCs w:val="20"/>
              </w:rPr>
              <w:t xml:space="preserve"> </w:t>
            </w:r>
            <w:r w:rsidR="005A2C0D">
              <w:rPr>
                <w:szCs w:val="20"/>
              </w:rPr>
              <w:t>The</w:t>
            </w:r>
            <w:r w:rsidR="0094426F">
              <w:rPr>
                <w:szCs w:val="20"/>
              </w:rPr>
              <w:t xml:space="preserve"> ACMA </w:t>
            </w:r>
            <w:r w:rsidR="002C6CB2">
              <w:rPr>
                <w:szCs w:val="20"/>
              </w:rPr>
              <w:t>is</w:t>
            </w:r>
            <w:r w:rsidR="005A2C0D">
              <w:rPr>
                <w:szCs w:val="20"/>
              </w:rPr>
              <w:t xml:space="preserve"> </w:t>
            </w:r>
            <w:r w:rsidR="0094426F">
              <w:rPr>
                <w:szCs w:val="20"/>
              </w:rPr>
              <w:t>reconsidering</w:t>
            </w:r>
            <w:r w:rsidR="001D0A2E">
              <w:rPr>
                <w:szCs w:val="20"/>
              </w:rPr>
              <w:t xml:space="preserve"> configuration</w:t>
            </w:r>
            <w:r w:rsidR="0094426F">
              <w:rPr>
                <w:szCs w:val="20"/>
              </w:rPr>
              <w:t xml:space="preserve"> options in light of stakeholder feedback, </w:t>
            </w:r>
            <w:r w:rsidR="00AC4159">
              <w:rPr>
                <w:szCs w:val="20"/>
              </w:rPr>
              <w:t xml:space="preserve">with a focus on optimising the band </w:t>
            </w:r>
            <w:r w:rsidR="00A106C6">
              <w:rPr>
                <w:szCs w:val="20"/>
              </w:rPr>
              <w:t xml:space="preserve">for </w:t>
            </w:r>
            <w:r w:rsidR="00AC4159">
              <w:rPr>
                <w:szCs w:val="20"/>
              </w:rPr>
              <w:t xml:space="preserve">longer term </w:t>
            </w:r>
            <w:r w:rsidR="00485287">
              <w:rPr>
                <w:szCs w:val="20"/>
              </w:rPr>
              <w:t xml:space="preserve">uses </w:t>
            </w:r>
            <w:r w:rsidR="00AC4159">
              <w:rPr>
                <w:szCs w:val="20"/>
              </w:rPr>
              <w:t>for 5G, providing flexibility for licensees to negotiate a downshift in the 850 MHz band, and conversion to longer term licence tenure.</w:t>
            </w:r>
          </w:p>
        </w:tc>
      </w:tr>
      <w:tr w:rsidR="00BD5B2C" w14:paraId="53CA9632"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auto"/>
          </w:tcPr>
          <w:p w14:paraId="5289C32F" w14:textId="77777777" w:rsidR="00BD5B2C" w:rsidRPr="00DE694D" w:rsidRDefault="00BD5B2C" w:rsidP="006F5B0F">
            <w:pPr>
              <w:spacing w:after="0"/>
              <w:rPr>
                <w:szCs w:val="20"/>
              </w:rPr>
            </w:pPr>
            <w:r w:rsidRPr="00DE694D">
              <w:rPr>
                <w:szCs w:val="20"/>
              </w:rPr>
              <w:t>1.5 GHz band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0A11C762" w14:textId="77777777" w:rsidR="00BD5B2C" w:rsidRPr="00EF20E4" w:rsidRDefault="00BD5B2C" w:rsidP="006F5B0F">
            <w:pPr>
              <w:spacing w:after="0"/>
              <w:rPr>
                <w:szCs w:val="20"/>
              </w:rPr>
            </w:pPr>
            <w:r w:rsidRPr="00EF20E4">
              <w:rPr>
                <w:szCs w:val="20"/>
              </w:rPr>
              <w:t>1427–1518 MHz</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671A9DE4" w14:textId="056707BF" w:rsidR="00BD5B2C" w:rsidRPr="00EF20E4" w:rsidRDefault="005428EA" w:rsidP="006F5B0F">
            <w:pPr>
              <w:spacing w:after="0"/>
              <w:rPr>
                <w:szCs w:val="20"/>
              </w:rPr>
            </w:pPr>
            <w:r>
              <w:rPr>
                <w:szCs w:val="20"/>
              </w:rPr>
              <w:t>Fixed links</w:t>
            </w:r>
            <w:r w:rsidR="00BD5B2C" w:rsidRPr="00EF20E4">
              <w:rPr>
                <w:szCs w:val="20"/>
              </w:rPr>
              <w:t xml:space="preserve">, some </w:t>
            </w:r>
            <w:r w:rsidR="00744060">
              <w:rPr>
                <w:szCs w:val="20"/>
              </w:rPr>
              <w:t>point-to-</w:t>
            </w:r>
            <w:r w:rsidR="00BD5B2C" w:rsidRPr="00EF20E4">
              <w:rPr>
                <w:szCs w:val="20"/>
              </w:rPr>
              <w:t>multipoint, Defence</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032822E0" w14:textId="77777777" w:rsidR="00BD5B2C" w:rsidRPr="00EF20E4" w:rsidRDefault="00BD5B2C" w:rsidP="006F5B0F">
            <w:pPr>
              <w:spacing w:after="120"/>
              <w:rPr>
                <w:szCs w:val="20"/>
              </w:rPr>
            </w:pPr>
            <w:r w:rsidRPr="00EF20E4">
              <w:rPr>
                <w:szCs w:val="20"/>
              </w:rPr>
              <w:t xml:space="preserve">Technology standardisation progressing. </w:t>
            </w:r>
          </w:p>
          <w:p w14:paraId="35CEA632" w14:textId="7630D9B7" w:rsidR="00BD5B2C" w:rsidRPr="00EF20E4" w:rsidRDefault="00BD5B2C" w:rsidP="006F5B0F">
            <w:pPr>
              <w:spacing w:after="0"/>
              <w:rPr>
                <w:szCs w:val="20"/>
              </w:rPr>
            </w:pPr>
            <w:r w:rsidRPr="00EF20E4">
              <w:rPr>
                <w:szCs w:val="20"/>
              </w:rPr>
              <w:t>Lower level of near-term domestic interest</w:t>
            </w:r>
            <w:r>
              <w:rPr>
                <w:szCs w:val="20"/>
              </w:rPr>
              <w:t>, but available for allocation consideration, should demand change</w:t>
            </w:r>
            <w:r w:rsidRPr="00EF20E4">
              <w:rPr>
                <w:szCs w:val="20"/>
              </w:rPr>
              <w:t>.</w:t>
            </w:r>
            <w:r>
              <w:rPr>
                <w:szCs w:val="20"/>
              </w:rPr>
              <w:t xml:space="preserve"> </w:t>
            </w:r>
          </w:p>
        </w:tc>
      </w:tr>
      <w:tr w:rsidR="00BD5B2C" w14:paraId="62A08E7A"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auto"/>
          </w:tcPr>
          <w:p w14:paraId="59BC5F23" w14:textId="3C7B35A5" w:rsidR="00BD5B2C" w:rsidRPr="00DE694D" w:rsidRDefault="00BD5B2C" w:rsidP="006F5B0F">
            <w:pPr>
              <w:spacing w:after="0"/>
              <w:rPr>
                <w:szCs w:val="20"/>
              </w:rPr>
            </w:pPr>
            <w:r w:rsidRPr="00DE694D">
              <w:rPr>
                <w:szCs w:val="20"/>
              </w:rPr>
              <w:t>3.4–3.575 GHz band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2A9A9902" w14:textId="0B133C3A" w:rsidR="00BD5B2C" w:rsidRPr="00EF20E4" w:rsidRDefault="00BD5B2C" w:rsidP="006F5B0F">
            <w:pPr>
              <w:spacing w:after="0"/>
              <w:rPr>
                <w:szCs w:val="20"/>
              </w:rPr>
            </w:pPr>
            <w:r>
              <w:rPr>
                <w:szCs w:val="20"/>
              </w:rPr>
              <w:t>3400–3575 MHz</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07ECACA9" w14:textId="1F4371BC" w:rsidR="00BD5B2C" w:rsidRPr="00EF20E4" w:rsidRDefault="00BD5B2C" w:rsidP="006F5B0F">
            <w:pPr>
              <w:spacing w:after="0"/>
              <w:rPr>
                <w:szCs w:val="20"/>
              </w:rPr>
            </w:pPr>
            <w:r>
              <w:rPr>
                <w:szCs w:val="20"/>
              </w:rPr>
              <w:t>Fixed Wireless</w:t>
            </w:r>
            <w:r w:rsidR="005428EA">
              <w:rPr>
                <w:szCs w:val="20"/>
              </w:rPr>
              <w:t xml:space="preserve">, </w:t>
            </w:r>
            <w:r w:rsidR="00744060">
              <w:rPr>
                <w:szCs w:val="20"/>
              </w:rPr>
              <w:t xml:space="preserve">point-to-multipoint, </w:t>
            </w:r>
            <w:r w:rsidR="005428EA">
              <w:rPr>
                <w:szCs w:val="20"/>
              </w:rPr>
              <w:t>5G</w:t>
            </w:r>
            <w:r>
              <w:rPr>
                <w:szCs w:val="20"/>
              </w:rPr>
              <w:t xml:space="preserve"> </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1DA87516" w14:textId="7CACF325" w:rsidR="00BD5B2C" w:rsidRPr="00EF20E4" w:rsidRDefault="00BD5B2C" w:rsidP="006F5B0F">
            <w:pPr>
              <w:spacing w:after="120"/>
              <w:rPr>
                <w:szCs w:val="20"/>
              </w:rPr>
            </w:pPr>
            <w:r>
              <w:rPr>
                <w:szCs w:val="20"/>
              </w:rPr>
              <w:t>Identify options for defragmentation</w:t>
            </w:r>
            <w:r w:rsidR="008C0480">
              <w:rPr>
                <w:szCs w:val="20"/>
              </w:rPr>
              <w:t xml:space="preserve"> which could include conversion and other allocation processes</w:t>
            </w:r>
            <w:r>
              <w:rPr>
                <w:szCs w:val="20"/>
              </w:rPr>
              <w:t>.</w:t>
            </w:r>
          </w:p>
        </w:tc>
      </w:tr>
      <w:tr w:rsidR="00445F0B" w14:paraId="74DC19EB"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Pr>
          <w:p w14:paraId="5572F4AB" w14:textId="648FB453" w:rsidR="00445F0B" w:rsidRPr="00DE694D" w:rsidRDefault="00835E98" w:rsidP="00445F0B">
            <w:pPr>
              <w:spacing w:after="0"/>
              <w:rPr>
                <w:szCs w:val="20"/>
              </w:rPr>
            </w:pPr>
            <w:r w:rsidRPr="00DE694D">
              <w:rPr>
                <w:szCs w:val="20"/>
              </w:rPr>
              <w:t xml:space="preserve">26 GHz </w:t>
            </w:r>
            <w:r w:rsidR="00445F0B" w:rsidRPr="00DE694D">
              <w:rPr>
                <w:szCs w:val="20"/>
              </w:rPr>
              <w:t>band</w:t>
            </w:r>
          </w:p>
        </w:tc>
        <w:tc>
          <w:tcPr>
            <w:tcW w:w="11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211904" w14:textId="20D3C020" w:rsidR="00445F0B" w:rsidRPr="00EF20E4" w:rsidRDefault="00445F0B" w:rsidP="00445F0B">
            <w:pPr>
              <w:spacing w:after="0"/>
              <w:rPr>
                <w:szCs w:val="20"/>
              </w:rPr>
            </w:pPr>
            <w:r w:rsidRPr="00EF20E4">
              <w:rPr>
                <w:szCs w:val="20"/>
              </w:rPr>
              <w:t>24.25–27.5 GHz</w:t>
            </w:r>
          </w:p>
        </w:tc>
        <w:tc>
          <w:tcPr>
            <w:tcW w:w="1032" w:type="pct"/>
            <w:tcBorders>
              <w:top w:val="single" w:sz="4" w:space="0" w:color="auto"/>
              <w:left w:val="single" w:sz="4" w:space="0" w:color="auto"/>
              <w:bottom w:val="single" w:sz="4" w:space="0" w:color="auto"/>
              <w:right w:val="single" w:sz="4" w:space="0" w:color="auto"/>
            </w:tcBorders>
            <w:shd w:val="clear" w:color="auto" w:fill="FFFFFF" w:themeFill="background1"/>
          </w:tcPr>
          <w:p w14:paraId="2EC98093" w14:textId="2B406E75" w:rsidR="00445F0B" w:rsidRPr="00EF20E4" w:rsidRDefault="00445F0B" w:rsidP="00445F0B">
            <w:pPr>
              <w:spacing w:after="0"/>
              <w:rPr>
                <w:szCs w:val="20"/>
              </w:rPr>
            </w:pPr>
            <w:r w:rsidRPr="00EF20E4">
              <w:rPr>
                <w:szCs w:val="20"/>
              </w:rPr>
              <w:t>Space research</w:t>
            </w:r>
            <w:r w:rsidRPr="00EF20E4" w:rsidDel="005428EA">
              <w:rPr>
                <w:szCs w:val="20"/>
              </w:rPr>
              <w:t xml:space="preserve"> </w:t>
            </w:r>
            <w:r w:rsidRPr="00EF20E4">
              <w:rPr>
                <w:szCs w:val="20"/>
              </w:rPr>
              <w:t xml:space="preserve">(ESA, CSIRO, NASA), </w:t>
            </w:r>
            <w:r w:rsidR="00777B6A">
              <w:rPr>
                <w:szCs w:val="20"/>
              </w:rPr>
              <w:t>FSS</w:t>
            </w:r>
            <w:r w:rsidR="007370FE">
              <w:rPr>
                <w:szCs w:val="20"/>
              </w:rPr>
              <w:t xml:space="preserve"> (</w:t>
            </w:r>
            <w:r w:rsidRPr="00EF20E4">
              <w:rPr>
                <w:szCs w:val="20"/>
              </w:rPr>
              <w:t>NBN</w:t>
            </w:r>
            <w:r w:rsidR="00DC54D4" w:rsidRPr="00EF20E4">
              <w:rPr>
                <w:szCs w:val="20"/>
              </w:rPr>
              <w:t xml:space="preserve"> Co</w:t>
            </w:r>
            <w:r w:rsidR="007370FE">
              <w:rPr>
                <w:szCs w:val="20"/>
              </w:rPr>
              <w:t>)</w:t>
            </w:r>
          </w:p>
        </w:tc>
        <w:tc>
          <w:tcPr>
            <w:tcW w:w="2038" w:type="pct"/>
            <w:tcBorders>
              <w:top w:val="single" w:sz="4" w:space="0" w:color="auto"/>
              <w:left w:val="single" w:sz="4" w:space="0" w:color="auto"/>
              <w:bottom w:val="single" w:sz="4" w:space="0" w:color="auto"/>
              <w:right w:val="single" w:sz="4" w:space="0" w:color="auto"/>
            </w:tcBorders>
            <w:shd w:val="clear" w:color="auto" w:fill="FFFFFF" w:themeFill="background1"/>
          </w:tcPr>
          <w:p w14:paraId="0356643E" w14:textId="7BFA2E98" w:rsidR="00445F0B" w:rsidRPr="00EF20E4" w:rsidRDefault="001D0A2E" w:rsidP="001B1B7A">
            <w:pPr>
              <w:spacing w:after="120"/>
              <w:rPr>
                <w:szCs w:val="20"/>
              </w:rPr>
            </w:pPr>
            <w:r>
              <w:rPr>
                <w:szCs w:val="20"/>
              </w:rPr>
              <w:t xml:space="preserve">Identified as a potential band for </w:t>
            </w:r>
            <w:r w:rsidR="00445F0B" w:rsidRPr="00EF20E4">
              <w:rPr>
                <w:szCs w:val="20"/>
              </w:rPr>
              <w:t xml:space="preserve">5G </w:t>
            </w:r>
            <w:r>
              <w:rPr>
                <w:szCs w:val="20"/>
              </w:rPr>
              <w:t>services</w:t>
            </w:r>
            <w:r w:rsidRPr="00EF20E4">
              <w:rPr>
                <w:szCs w:val="20"/>
              </w:rPr>
              <w:t xml:space="preserve"> </w:t>
            </w:r>
          </w:p>
          <w:p w14:paraId="24505406" w14:textId="77777777" w:rsidR="00445F0B" w:rsidRPr="00EF20E4" w:rsidRDefault="00445F0B" w:rsidP="001B1B7A">
            <w:pPr>
              <w:spacing w:after="120"/>
              <w:rPr>
                <w:szCs w:val="20"/>
              </w:rPr>
            </w:pPr>
            <w:r w:rsidRPr="00EF20E4">
              <w:rPr>
                <w:szCs w:val="20"/>
              </w:rPr>
              <w:t>Strong market interest expressed in accelerating planning and allocation.</w:t>
            </w:r>
          </w:p>
          <w:p w14:paraId="38B4382E" w14:textId="0003E53A" w:rsidR="00445F0B" w:rsidRPr="00EF20E4" w:rsidRDefault="00445F0B" w:rsidP="00186911">
            <w:pPr>
              <w:spacing w:after="40"/>
              <w:rPr>
                <w:szCs w:val="20"/>
              </w:rPr>
            </w:pPr>
            <w:r w:rsidRPr="00EF20E4">
              <w:rPr>
                <w:szCs w:val="20"/>
              </w:rPr>
              <w:t>ACMA</w:t>
            </w:r>
            <w:r w:rsidRPr="00EF20E4" w:rsidDel="00186911">
              <w:rPr>
                <w:szCs w:val="20"/>
              </w:rPr>
              <w:t xml:space="preserve"> </w:t>
            </w:r>
            <w:r w:rsidRPr="00EF20E4">
              <w:rPr>
                <w:szCs w:val="20"/>
              </w:rPr>
              <w:t xml:space="preserve">focus </w:t>
            </w:r>
            <w:r w:rsidR="00A176D4">
              <w:rPr>
                <w:szCs w:val="20"/>
              </w:rPr>
              <w:t xml:space="preserve">is </w:t>
            </w:r>
            <w:r w:rsidRPr="00EF20E4">
              <w:rPr>
                <w:szCs w:val="20"/>
              </w:rPr>
              <w:t xml:space="preserve">on 26 GHz band </w:t>
            </w:r>
            <w:r w:rsidR="00561515">
              <w:rPr>
                <w:szCs w:val="20"/>
              </w:rPr>
              <w:t xml:space="preserve">planning and licensing options for an </w:t>
            </w:r>
            <w:r w:rsidRPr="00EF20E4">
              <w:rPr>
                <w:szCs w:val="20"/>
              </w:rPr>
              <w:t>a</w:t>
            </w:r>
            <w:r w:rsidR="00A176D4">
              <w:rPr>
                <w:szCs w:val="20"/>
              </w:rPr>
              <w:t>llocat</w:t>
            </w:r>
            <w:r w:rsidR="000E5DBC">
              <w:rPr>
                <w:szCs w:val="20"/>
              </w:rPr>
              <w:t>ion.</w:t>
            </w:r>
          </w:p>
        </w:tc>
      </w:tr>
      <w:tr w:rsidR="00BB4594" w14:paraId="6062CF8A" w14:textId="77777777" w:rsidTr="00DE694D">
        <w:tc>
          <w:tcPr>
            <w:tcW w:w="830" w:type="pct"/>
            <w:tcBorders>
              <w:top w:val="single" w:sz="4" w:space="0" w:color="auto"/>
              <w:left w:val="single" w:sz="4" w:space="0" w:color="auto"/>
              <w:bottom w:val="single" w:sz="4" w:space="0" w:color="auto"/>
              <w:right w:val="single" w:sz="4" w:space="0" w:color="auto"/>
            </w:tcBorders>
            <w:shd w:val="clear" w:color="auto" w:fill="auto"/>
          </w:tcPr>
          <w:p w14:paraId="60AA4F4A" w14:textId="0B7CF7CF" w:rsidR="00BB4594" w:rsidRPr="00DE694D" w:rsidRDefault="00BB4594" w:rsidP="00585FB9">
            <w:pPr>
              <w:spacing w:after="0"/>
              <w:rPr>
                <w:szCs w:val="20"/>
              </w:rPr>
            </w:pPr>
            <w:r w:rsidRPr="00DE694D">
              <w:rPr>
                <w:szCs w:val="20"/>
              </w:rPr>
              <w:t>28 GHz band</w:t>
            </w:r>
          </w:p>
        </w:tc>
        <w:tc>
          <w:tcPr>
            <w:tcW w:w="1100" w:type="pct"/>
            <w:tcBorders>
              <w:top w:val="single" w:sz="4" w:space="0" w:color="auto"/>
              <w:left w:val="single" w:sz="4" w:space="0" w:color="auto"/>
              <w:bottom w:val="single" w:sz="4" w:space="0" w:color="auto"/>
              <w:right w:val="single" w:sz="4" w:space="0" w:color="auto"/>
            </w:tcBorders>
            <w:shd w:val="clear" w:color="auto" w:fill="auto"/>
          </w:tcPr>
          <w:p w14:paraId="00B0B4A9" w14:textId="5D6913B9" w:rsidR="00BB4594" w:rsidRPr="00EF20E4" w:rsidRDefault="003A7BAF" w:rsidP="00585FB9">
            <w:pPr>
              <w:spacing w:after="0"/>
              <w:rPr>
                <w:szCs w:val="20"/>
              </w:rPr>
            </w:pPr>
            <w:r>
              <w:t>27.5–29.5 GHz</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160F64A7" w14:textId="1D6378F5" w:rsidR="00BB4594" w:rsidRPr="00EF20E4" w:rsidRDefault="00777B6A" w:rsidP="00585FB9">
            <w:pPr>
              <w:spacing w:after="0"/>
              <w:rPr>
                <w:szCs w:val="20"/>
              </w:rPr>
            </w:pPr>
            <w:r>
              <w:rPr>
                <w:szCs w:val="20"/>
              </w:rPr>
              <w:t>FSS</w:t>
            </w:r>
            <w:r w:rsidR="009059E2">
              <w:rPr>
                <w:szCs w:val="20"/>
              </w:rPr>
              <w:t xml:space="preserve">, Fixed </w:t>
            </w:r>
            <w:r w:rsidR="005428EA">
              <w:rPr>
                <w:szCs w:val="20"/>
              </w:rPr>
              <w:t>links point-to-point</w:t>
            </w:r>
            <w:r w:rsidR="009059E2">
              <w:rPr>
                <w:szCs w:val="20"/>
              </w:rPr>
              <w:t>, body scanners</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6795296B" w14:textId="2B0F79DD" w:rsidR="00BB4594" w:rsidRPr="00EF20E4" w:rsidRDefault="009059E2" w:rsidP="009059E2">
            <w:pPr>
              <w:spacing w:after="120"/>
              <w:rPr>
                <w:szCs w:val="20"/>
              </w:rPr>
            </w:pPr>
            <w:r>
              <w:rPr>
                <w:szCs w:val="20"/>
              </w:rPr>
              <w:t>Considering options for the band</w:t>
            </w:r>
            <w:r w:rsidR="001C4DDC">
              <w:rPr>
                <w:szCs w:val="20"/>
              </w:rPr>
              <w:t xml:space="preserve"> including </w:t>
            </w:r>
            <w:r w:rsidR="005428EA">
              <w:rPr>
                <w:szCs w:val="20"/>
              </w:rPr>
              <w:t>the needs of</w:t>
            </w:r>
            <w:r>
              <w:rPr>
                <w:szCs w:val="20"/>
              </w:rPr>
              <w:t xml:space="preserve"> </w:t>
            </w:r>
            <w:r w:rsidR="005428EA">
              <w:rPr>
                <w:szCs w:val="20"/>
              </w:rPr>
              <w:t xml:space="preserve">the </w:t>
            </w:r>
            <w:r w:rsidR="00777B6A">
              <w:rPr>
                <w:szCs w:val="20"/>
              </w:rPr>
              <w:t>FSS</w:t>
            </w:r>
            <w:r w:rsidRPr="009059E2">
              <w:rPr>
                <w:szCs w:val="20"/>
              </w:rPr>
              <w:t xml:space="preserve"> application</w:t>
            </w:r>
            <w:r>
              <w:rPr>
                <w:szCs w:val="20"/>
              </w:rPr>
              <w:t xml:space="preserve">s, </w:t>
            </w:r>
            <w:r w:rsidR="005428EA">
              <w:rPr>
                <w:szCs w:val="20"/>
              </w:rPr>
              <w:t xml:space="preserve">fixed links </w:t>
            </w:r>
            <w:r w:rsidRPr="009059E2">
              <w:rPr>
                <w:szCs w:val="20"/>
              </w:rPr>
              <w:t>point-to-</w:t>
            </w:r>
            <w:r w:rsidRPr="009059E2">
              <w:rPr>
                <w:szCs w:val="20"/>
              </w:rPr>
              <w:lastRenderedPageBreak/>
              <w:t>point</w:t>
            </w:r>
            <w:r w:rsidRPr="009059E2" w:rsidDel="005428EA">
              <w:rPr>
                <w:szCs w:val="20"/>
              </w:rPr>
              <w:t xml:space="preserve"> </w:t>
            </w:r>
            <w:r w:rsidR="005428EA">
              <w:rPr>
                <w:szCs w:val="20"/>
              </w:rPr>
              <w:t xml:space="preserve">and </w:t>
            </w:r>
            <w:r w:rsidRPr="009059E2">
              <w:rPr>
                <w:szCs w:val="20"/>
              </w:rPr>
              <w:t xml:space="preserve">fixed/mobile wireless broadband </w:t>
            </w:r>
            <w:r w:rsidR="005428EA">
              <w:rPr>
                <w:szCs w:val="20"/>
              </w:rPr>
              <w:t>services</w:t>
            </w:r>
            <w:r w:rsidRPr="009059E2">
              <w:rPr>
                <w:szCs w:val="20"/>
              </w:rPr>
              <w:t>.</w:t>
            </w:r>
          </w:p>
        </w:tc>
      </w:tr>
    </w:tbl>
    <w:p w14:paraId="309B326B" w14:textId="77777777" w:rsidR="00585FB9" w:rsidRDefault="00585FB9">
      <w:pPr>
        <w:pStyle w:val="ACMASpaceaftertable"/>
      </w:pPr>
    </w:p>
    <w:p w14:paraId="3FC3576A" w14:textId="1ADC1DEB" w:rsidR="00C12F50" w:rsidRDefault="003F4B80">
      <w:pPr>
        <w:pStyle w:val="Heading3"/>
      </w:pPr>
      <w:bookmarkStart w:id="316" w:name="_Toc5025706"/>
      <w:r w:rsidRPr="00D3636A">
        <w:t>850 MHz</w:t>
      </w:r>
      <w:r w:rsidR="00F640C7">
        <w:t xml:space="preserve"> expansion band</w:t>
      </w:r>
      <w:bookmarkEnd w:id="316"/>
    </w:p>
    <w:p w14:paraId="43FD41C4" w14:textId="00D8C27A" w:rsidR="005B397B" w:rsidRDefault="003F4B80">
      <w:r w:rsidRPr="00D3636A">
        <w:t>In late 2015, the ACM</w:t>
      </w:r>
      <w:r>
        <w:t>A finalised a review of the 803–</w:t>
      </w:r>
      <w:r w:rsidRPr="00D3636A">
        <w:t>960 MHz band, deciding to reallocate</w:t>
      </w:r>
      <w:r w:rsidR="002A6185">
        <w:t xml:space="preserve"> 2 x 15 MHz in</w:t>
      </w:r>
      <w:r w:rsidRPr="00D3636A">
        <w:t xml:space="preserve"> the 850 MHz expansion band for spectrum licences configured for wireless broadband. The band is being cleared progressively, and is expected to be fully cleared by 2024, although a significant portion of the band will be available for use from mid-2021</w:t>
      </w:r>
      <w:r>
        <w:t xml:space="preserve">. </w:t>
      </w:r>
    </w:p>
    <w:p w14:paraId="65D0E83F" w14:textId="47DA7FE5" w:rsidR="005B397B" w:rsidRDefault="005B397B">
      <w:r w:rsidDel="00C232CA">
        <w:t xml:space="preserve">The </w:t>
      </w:r>
      <w:r>
        <w:t xml:space="preserve">850 MHz expansion band </w:t>
      </w:r>
      <w:r w:rsidR="00C232CA">
        <w:t xml:space="preserve">has </w:t>
      </w:r>
      <w:r>
        <w:t>value as a substitute for wireless broadband licences in the 900 MHz band</w:t>
      </w:r>
      <w:r w:rsidR="00810445">
        <w:t xml:space="preserve">. The ACMA </w:t>
      </w:r>
      <w:r w:rsidR="00BB7915">
        <w:t xml:space="preserve">supports </w:t>
      </w:r>
      <w:r w:rsidR="00AF7DDA">
        <w:t xml:space="preserve">combining </w:t>
      </w:r>
      <w:r w:rsidR="00BB7915">
        <w:t>the</w:t>
      </w:r>
      <w:r>
        <w:t xml:space="preserve"> </w:t>
      </w:r>
      <w:r w:rsidR="00AF675B">
        <w:t>850 </w:t>
      </w:r>
      <w:r>
        <w:t xml:space="preserve">MHz reallocation with </w:t>
      </w:r>
      <w:r w:rsidR="00252ACF">
        <w:t xml:space="preserve">any </w:t>
      </w:r>
      <w:r>
        <w:t xml:space="preserve">reallocation of 900 MHz </w:t>
      </w:r>
      <w:r w:rsidR="004163C0">
        <w:t>if possible.</w:t>
      </w:r>
    </w:p>
    <w:p w14:paraId="01F322E8" w14:textId="0DFA8612" w:rsidR="00CE04A3" w:rsidRDefault="005B397B" w:rsidP="002E3C54">
      <w:r>
        <w:t xml:space="preserve">The addition of a 1 MHz guard band between the 850 MHz band base-transmit segment and the 890–915/935–960 MHz base-receive segment </w:t>
      </w:r>
      <w:r w:rsidR="00252ACF">
        <w:t xml:space="preserve">is necessary to </w:t>
      </w:r>
      <w:r>
        <w:t>optimise the utility of the lower segment in the 890–915/935–960 MHz band</w:t>
      </w:r>
      <w:r w:rsidR="00252ACF">
        <w:t xml:space="preserve"> for wireless broadband</w:t>
      </w:r>
      <w:r>
        <w:t xml:space="preserve">. Prior to expiration of the current spectrum licences in 2028, this can only be achieved via a voluntary (negotiated) downshift of the existing 850 MHz band spectrum licences, which are held by VHA and Telstra. The availability of the </w:t>
      </w:r>
      <w:r w:rsidR="00AF675B">
        <w:t>1 </w:t>
      </w:r>
      <w:r>
        <w:t>MHz of spectrum immediately below the 850 MHz base</w:t>
      </w:r>
      <w:r w:rsidR="00AF675B">
        <w:t>-</w:t>
      </w:r>
      <w:r>
        <w:t xml:space="preserve">transmit segment </w:t>
      </w:r>
      <w:r w:rsidR="00252ACF">
        <w:t xml:space="preserve">to accommodate the downshift </w:t>
      </w:r>
      <w:r>
        <w:t xml:space="preserve">will be critical to </w:t>
      </w:r>
      <w:r w:rsidR="00252ACF">
        <w:t>these negotiations</w:t>
      </w:r>
      <w:r>
        <w:t xml:space="preserve">. </w:t>
      </w:r>
      <w:r w:rsidR="00AF675B">
        <w:t xml:space="preserve">The </w:t>
      </w:r>
      <w:r>
        <w:t xml:space="preserve">ACMA will consider further how this spectrum might best be brought into play </w:t>
      </w:r>
      <w:r w:rsidR="001B76CC">
        <w:t>as it develops optimisation options for the 900 MHz and 850 MHz expansion band</w:t>
      </w:r>
      <w:r w:rsidR="00BC0C4A">
        <w:t>s</w:t>
      </w:r>
      <w:r w:rsidR="001B76CC">
        <w:t>.</w:t>
      </w:r>
    </w:p>
    <w:p w14:paraId="486FFFCE" w14:textId="52A7A674" w:rsidR="00B73252" w:rsidRDefault="00B73252" w:rsidP="002E3C54">
      <w:bookmarkStart w:id="317" w:name="_Hlk2859258"/>
      <w:r w:rsidRPr="00B73252">
        <w:t xml:space="preserve">The Australian Government has agreed to set aside 2 x 5 MHz of spectrum in the 850 MHz expansion band for </w:t>
      </w:r>
      <w:r w:rsidR="002A6185">
        <w:t xml:space="preserve">a </w:t>
      </w:r>
      <w:r w:rsidR="002A6185" w:rsidRPr="00B73252">
        <w:t xml:space="preserve">public safety mobile broadband (PSMB) </w:t>
      </w:r>
      <w:r w:rsidRPr="00B73252" w:rsidDel="002A6185">
        <w:t>capability</w:t>
      </w:r>
      <w:r w:rsidRPr="00B73252">
        <w:t xml:space="preserve">. </w:t>
      </w:r>
      <w:bookmarkEnd w:id="317"/>
      <w:r w:rsidRPr="00B73252">
        <w:t xml:space="preserve">At the 12 December 2018 meeting of COAG, </w:t>
      </w:r>
      <w:r w:rsidR="002A6185">
        <w:t>a</w:t>
      </w:r>
      <w:r w:rsidRPr="00B73252">
        <w:t>ll jurisdictions agreed a Strategic Roadmap that sets out a plan to design, implement and operate PSMB and to continue to work together to resolve the supporting spectrum arrangements in parallel with proof of concept trials. In December 2018, the NSW Telco Authority on behalf of all jurisdictions issued a request for proposal from the telecommunications industry, to support a proof of concept for</w:t>
      </w:r>
      <w:r w:rsidR="001D0A2E">
        <w:t xml:space="preserve"> a</w:t>
      </w:r>
      <w:r w:rsidRPr="00B73252">
        <w:t xml:space="preserve"> trial of a national PSMB capability.</w:t>
      </w:r>
      <w:r w:rsidR="00F82C7C">
        <w:t xml:space="preserve"> The ACMA is working with </w:t>
      </w:r>
      <w:proofErr w:type="spellStart"/>
      <w:r w:rsidR="00F82C7C">
        <w:t>DoCA</w:t>
      </w:r>
      <w:proofErr w:type="spellEnd"/>
      <w:r w:rsidR="00F82C7C">
        <w:t xml:space="preserve"> to provide advice on allocation options and manage the impact of this work on allocation of other parts of the 850 MHz expansion band for commercial wireless broadband services.</w:t>
      </w:r>
    </w:p>
    <w:p w14:paraId="4ED05E9C" w14:textId="77777777" w:rsidR="001F03F1" w:rsidRDefault="001F03F1" w:rsidP="001F03F1">
      <w:pPr>
        <w:pStyle w:val="Heading3"/>
      </w:pPr>
      <w:bookmarkStart w:id="318" w:name="_Toc5025707"/>
      <w:bookmarkStart w:id="319" w:name="_Toc522794099"/>
      <w:bookmarkStart w:id="320" w:name="_Toc510104965"/>
      <w:bookmarkStart w:id="321" w:name="_Toc510105762"/>
      <w:bookmarkStart w:id="322" w:name="_Toc510795094"/>
      <w:bookmarkStart w:id="323" w:name="_Toc511716295"/>
      <w:bookmarkStart w:id="324" w:name="_Toc511719106"/>
      <w:r>
        <w:t>9</w:t>
      </w:r>
      <w:r w:rsidRPr="00715B45">
        <w:t>00 MHz</w:t>
      </w:r>
      <w:bookmarkEnd w:id="318"/>
    </w:p>
    <w:p w14:paraId="2ACA763E" w14:textId="0C5D7193" w:rsidR="001F03F1" w:rsidRDefault="001F03F1" w:rsidP="001F03F1">
      <w:r w:rsidRPr="006C5C79">
        <w:t xml:space="preserve">In October 2017, the ACMA </w:t>
      </w:r>
      <w:r>
        <w:t xml:space="preserve">published its planning decision on the 900 MHz band, and </w:t>
      </w:r>
      <w:r w:rsidRPr="006C5C79">
        <w:t>consulted on</w:t>
      </w:r>
      <w:r>
        <w:t xml:space="preserve"> specific configuration arrangements for the band in </w:t>
      </w:r>
      <w:hyperlink r:id="rId64" w:history="1">
        <w:r w:rsidRPr="00964F02">
          <w:rPr>
            <w:rStyle w:val="Hyperlink"/>
            <w:i/>
          </w:rPr>
          <w:t>Reconfiguring the 890−915/935−960 MHz band: Way forward</w:t>
        </w:r>
      </w:hyperlink>
      <w:r w:rsidRPr="001E52AB">
        <w:t>. Submissions</w:t>
      </w:r>
      <w:r w:rsidRPr="001E52AB" w:rsidDel="001E3A8F">
        <w:t xml:space="preserve"> </w:t>
      </w:r>
      <w:r w:rsidRPr="001E52AB">
        <w:t xml:space="preserve">indicated that immediate interest in reallocation of this spectrum is substantially lower than for </w:t>
      </w:r>
      <w:r w:rsidR="006016D8">
        <w:t xml:space="preserve">the </w:t>
      </w:r>
      <w:r>
        <w:t>26 GHz</w:t>
      </w:r>
      <w:r w:rsidR="006016D8">
        <w:t xml:space="preserve"> band</w:t>
      </w:r>
      <w:r w:rsidRPr="001E52AB">
        <w:t xml:space="preserve">. </w:t>
      </w:r>
      <w:r>
        <w:t>S</w:t>
      </w:r>
      <w:r w:rsidRPr="001E52AB">
        <w:t xml:space="preserve">ubmitters to the 900 MHz reconfiguration consultations also raised concerns about the </w:t>
      </w:r>
      <w:r>
        <w:t xml:space="preserve">spectrum </w:t>
      </w:r>
      <w:r w:rsidRPr="001E52AB">
        <w:t xml:space="preserve">available for reallocation, </w:t>
      </w:r>
      <w:r>
        <w:t>including</w:t>
      </w:r>
      <w:r w:rsidRPr="001E52AB">
        <w:t xml:space="preserve"> </w:t>
      </w:r>
      <w:r>
        <w:t>the role of 900 MHz in</w:t>
      </w:r>
      <w:r w:rsidRPr="001E52AB">
        <w:t xml:space="preserve"> 3G regional coverage</w:t>
      </w:r>
      <w:r>
        <w:t>,</w:t>
      </w:r>
      <w:r w:rsidRPr="001E52AB">
        <w:t xml:space="preserve"> and mitigations for consumers migrating from 2G to 3G and 4G technologies.</w:t>
      </w:r>
    </w:p>
    <w:p w14:paraId="3426EDC2" w14:textId="77777777" w:rsidR="001F03F1" w:rsidRDefault="001F03F1" w:rsidP="001F03F1">
      <w:r>
        <w:t xml:space="preserve">Continued engagement from </w:t>
      </w:r>
      <w:r w:rsidRPr="00E53CF1">
        <w:t xml:space="preserve">mobile network operators </w:t>
      </w:r>
      <w:r>
        <w:t xml:space="preserve">operating in this band </w:t>
      </w:r>
      <w:r w:rsidRPr="00E53CF1">
        <w:t>indicates a range of differing approaches to resolving configuration issues in the</w:t>
      </w:r>
      <w:r>
        <w:t xml:space="preserve"> band. This requires resolution before there is any certainty on method of licensing, and the amount of spectrum that can be allocated.</w:t>
      </w:r>
    </w:p>
    <w:p w14:paraId="547BFF05" w14:textId="42FE5384" w:rsidR="001F03F1" w:rsidRPr="0083362E" w:rsidRDefault="001F03F1" w:rsidP="001F03F1">
      <w:pPr>
        <w:rPr>
          <w:rFonts w:asciiTheme="minorHAnsi" w:hAnsiTheme="minorHAnsi" w:cstheme="minorHAnsi"/>
          <w:szCs w:val="20"/>
        </w:rPr>
      </w:pPr>
      <w:r>
        <w:lastRenderedPageBreak/>
        <w:t>F</w:t>
      </w:r>
      <w:r w:rsidRPr="001E52AB">
        <w:t xml:space="preserve">or the purposes of the </w:t>
      </w:r>
      <w:r w:rsidR="00A02E95">
        <w:t xml:space="preserve">forward </w:t>
      </w:r>
      <w:r w:rsidRPr="001E52AB">
        <w:t xml:space="preserve">allocation </w:t>
      </w:r>
      <w:r>
        <w:t>work plan</w:t>
      </w:r>
      <w:r w:rsidRPr="001E52AB">
        <w:t xml:space="preserve">, </w:t>
      </w:r>
      <w:r>
        <w:t xml:space="preserve">the ACMA remains keen to consider ways to optimise holdings in the band, noting that the </w:t>
      </w:r>
      <w:r w:rsidRPr="0083362E">
        <w:rPr>
          <w:rFonts w:cstheme="minorHAnsi"/>
          <w:szCs w:val="20"/>
        </w:rPr>
        <w:t>aggregation of mobile spectrum into fewer, broader-band holdings where possible</w:t>
      </w:r>
      <w:r>
        <w:rPr>
          <w:rFonts w:cstheme="minorHAnsi"/>
          <w:szCs w:val="20"/>
        </w:rPr>
        <w:t>,</w:t>
      </w:r>
      <w:r w:rsidRPr="0083362E">
        <w:rPr>
          <w:rFonts w:cstheme="minorHAnsi"/>
          <w:szCs w:val="20"/>
        </w:rPr>
        <w:t xml:space="preserve"> will minimise </w:t>
      </w:r>
      <w:r>
        <w:rPr>
          <w:rFonts w:cstheme="minorHAnsi"/>
          <w:szCs w:val="20"/>
        </w:rPr>
        <w:t xml:space="preserve">any need for future intervention as demand for </w:t>
      </w:r>
      <w:r w:rsidRPr="0083362E">
        <w:rPr>
          <w:rFonts w:cstheme="minorHAnsi"/>
          <w:szCs w:val="20"/>
        </w:rPr>
        <w:t xml:space="preserve">sub-1 GHz 5G </w:t>
      </w:r>
      <w:r>
        <w:rPr>
          <w:rFonts w:cstheme="minorHAnsi"/>
          <w:szCs w:val="20"/>
        </w:rPr>
        <w:t xml:space="preserve">optimised spectrum </w:t>
      </w:r>
      <w:r w:rsidRPr="0083362E">
        <w:rPr>
          <w:rFonts w:cstheme="minorHAnsi"/>
          <w:szCs w:val="20"/>
        </w:rPr>
        <w:t>gains momentum.</w:t>
      </w:r>
    </w:p>
    <w:p w14:paraId="33F350F6" w14:textId="219B8CEE" w:rsidR="001F03F1" w:rsidRDefault="001F03F1" w:rsidP="001F03F1">
      <w:r>
        <w:t xml:space="preserve">Further consultation on configuration options for the 900 MHz band will </w:t>
      </w:r>
      <w:r w:rsidR="00A729C8">
        <w:t xml:space="preserve">be </w:t>
      </w:r>
      <w:r>
        <w:t>conducted in Q4 2018</w:t>
      </w:r>
      <w:r w:rsidR="00243870">
        <w:t>–</w:t>
      </w:r>
      <w:r>
        <w:t>19.</w:t>
      </w:r>
      <w:r w:rsidR="008C0480">
        <w:t xml:space="preserve"> Subject to the outcomes of this consultation process, this may be followed by consultation on a draft reallocation recommendation in Q1</w:t>
      </w:r>
      <w:r w:rsidR="001D0A2E">
        <w:t>/</w:t>
      </w:r>
      <w:r w:rsidR="008C0480">
        <w:t>2 2019</w:t>
      </w:r>
      <w:r w:rsidR="00BC0C4A">
        <w:t>–</w:t>
      </w:r>
      <w:r w:rsidR="008C0480">
        <w:t>20.</w:t>
      </w:r>
    </w:p>
    <w:p w14:paraId="1875C7A9" w14:textId="48C3733C" w:rsidR="001F03F1" w:rsidRDefault="001F03F1" w:rsidP="001F03F1">
      <w:r w:rsidRPr="0083362E">
        <w:t>As part of th</w:t>
      </w:r>
      <w:r>
        <w:t xml:space="preserve">ese </w:t>
      </w:r>
      <w:r w:rsidRPr="0083362E">
        <w:t xml:space="preserve">optimisation </w:t>
      </w:r>
      <w:r w:rsidRPr="00493B5D">
        <w:t>considerations</w:t>
      </w:r>
      <w:r>
        <w:t xml:space="preserve">, </w:t>
      </w:r>
      <w:r w:rsidRPr="0083362E">
        <w:t>the ACMA also proposes the reallocation of the 850 MHz ‘expansion band’ for wireless broadband</w:t>
      </w:r>
      <w:r>
        <w:t xml:space="preserve"> (see </w:t>
      </w:r>
      <w:r w:rsidR="00CE04A3">
        <w:t>above</w:t>
      </w:r>
      <w:r>
        <w:t>)</w:t>
      </w:r>
      <w:r w:rsidRPr="0083362E">
        <w:t>.</w:t>
      </w:r>
    </w:p>
    <w:p w14:paraId="3D39851D" w14:textId="2F9BE09E" w:rsidR="001F03F1" w:rsidRDefault="001F03F1" w:rsidP="001F03F1">
      <w:pPr>
        <w:pStyle w:val="Heading3"/>
      </w:pPr>
      <w:bookmarkStart w:id="325" w:name="_Toc5025708"/>
      <w:r>
        <w:t>1.5 GHz</w:t>
      </w:r>
      <w:bookmarkEnd w:id="325"/>
    </w:p>
    <w:p w14:paraId="596BA6B7" w14:textId="1A899DF8" w:rsidR="00002B03" w:rsidRDefault="00002B03" w:rsidP="00002B03">
      <w:pPr>
        <w:spacing w:after="120"/>
        <w:rPr>
          <w:rFonts w:cs="Arial"/>
          <w:szCs w:val="20"/>
        </w:rPr>
      </w:pPr>
      <w:r>
        <w:rPr>
          <w:rFonts w:cs="Arial"/>
          <w:szCs w:val="20"/>
        </w:rPr>
        <w:t xml:space="preserve">In June 2017, the ACMA released a </w:t>
      </w:r>
      <w:hyperlink r:id="rId65" w:history="1">
        <w:r>
          <w:rPr>
            <w:rStyle w:val="Hyperlink"/>
            <w:rFonts w:eastAsiaTheme="majorEastAsia" w:cs="Arial"/>
            <w:szCs w:val="20"/>
          </w:rPr>
          <w:t>consultation package</w:t>
        </w:r>
      </w:hyperlink>
      <w:r>
        <w:rPr>
          <w:rFonts w:cs="Arial"/>
          <w:szCs w:val="20"/>
        </w:rPr>
        <w:t xml:space="preserve"> including </w:t>
      </w:r>
      <w:r>
        <w:rPr>
          <w:rFonts w:cs="Arial"/>
          <w:i/>
          <w:szCs w:val="20"/>
        </w:rPr>
        <w:t>Future use of the 1.5 GHz and 3.6 GHz bands—Summary of and response to 3.6 GHz submissions</w:t>
      </w:r>
      <w:r>
        <w:rPr>
          <w:rFonts w:cs="Arial"/>
          <w:szCs w:val="20"/>
        </w:rPr>
        <w:t xml:space="preserve">. This detailed the ACMA’s decision to progress the 1.5 GHz band to the </w:t>
      </w:r>
      <w:r>
        <w:rPr>
          <w:rFonts w:cs="Arial"/>
          <w:i/>
          <w:szCs w:val="20"/>
        </w:rPr>
        <w:t>preliminary replanning</w:t>
      </w:r>
      <w:r>
        <w:rPr>
          <w:rFonts w:cs="Arial"/>
          <w:szCs w:val="20"/>
        </w:rPr>
        <w:t xml:space="preserve"> stage of the ACMA’s process for consideration of additional spectrum for </w:t>
      </w:r>
      <w:r w:rsidR="008C0480">
        <w:rPr>
          <w:rFonts w:cs="Arial"/>
          <w:szCs w:val="20"/>
        </w:rPr>
        <w:t>mobile broadband (</w:t>
      </w:r>
      <w:r>
        <w:rPr>
          <w:rFonts w:cs="Arial"/>
          <w:szCs w:val="20"/>
        </w:rPr>
        <w:t>MBB</w:t>
      </w:r>
      <w:r w:rsidR="008C0480">
        <w:rPr>
          <w:rFonts w:cs="Arial"/>
          <w:szCs w:val="20"/>
        </w:rPr>
        <w:t>)</w:t>
      </w:r>
      <w:r>
        <w:rPr>
          <w:rFonts w:cs="Arial"/>
          <w:szCs w:val="20"/>
        </w:rPr>
        <w:t xml:space="preserve"> services.</w:t>
      </w:r>
    </w:p>
    <w:p w14:paraId="6CF67C42" w14:textId="246945A4" w:rsidR="00EA1B63" w:rsidRDefault="000908EE" w:rsidP="00002B03">
      <w:pPr>
        <w:spacing w:after="120"/>
        <w:rPr>
          <w:rFonts w:cs="Arial"/>
          <w:szCs w:val="20"/>
        </w:rPr>
      </w:pPr>
      <w:r>
        <w:rPr>
          <w:rFonts w:eastAsiaTheme="majorEastAsia"/>
        </w:rPr>
        <w:t xml:space="preserve">Ongoing work in international spectrum harmonisation, technology standardisation and coexistence with other services will clarify the amount of spectrum that could be made available for allocation. The ACMA is yet to </w:t>
      </w:r>
      <w:r w:rsidR="00635DBD">
        <w:rPr>
          <w:rFonts w:eastAsiaTheme="majorEastAsia"/>
        </w:rPr>
        <w:t>decide</w:t>
      </w:r>
      <w:r>
        <w:rPr>
          <w:rFonts w:eastAsiaTheme="majorEastAsia"/>
        </w:rPr>
        <w:t xml:space="preserve"> on the timing of the band allocation and the quantum of spectrum that should be made available for allocation—both elements are influenced by international developments.</w:t>
      </w:r>
      <w:r w:rsidR="00EA1B63">
        <w:rPr>
          <w:rFonts w:cs="Arial"/>
          <w:szCs w:val="20"/>
        </w:rPr>
        <w:t xml:space="preserve"> </w:t>
      </w:r>
    </w:p>
    <w:p w14:paraId="4735FC95" w14:textId="5CE6326A" w:rsidR="004F3D3C" w:rsidRPr="00064057" w:rsidRDefault="006F5B0F" w:rsidP="001F03F1">
      <w:pPr>
        <w:rPr>
          <w:szCs w:val="20"/>
        </w:rPr>
      </w:pPr>
      <w:r>
        <w:t>Feedback to the FYSO 2018</w:t>
      </w:r>
      <w:r w:rsidR="00243870">
        <w:t>–</w:t>
      </w:r>
      <w:r>
        <w:t xml:space="preserve">22 indicated </w:t>
      </w:r>
      <w:r>
        <w:rPr>
          <w:szCs w:val="20"/>
        </w:rPr>
        <w:t>a lower level of near-term domestic interest, compared to other potential wireless broadband bands</w:t>
      </w:r>
      <w:r w:rsidR="000E5DBC">
        <w:rPr>
          <w:szCs w:val="20"/>
        </w:rPr>
        <w:t xml:space="preserve"> although stakeholders have subsequently indicated broader interest in the band for private LTE networks</w:t>
      </w:r>
      <w:r w:rsidR="004F3D3C">
        <w:rPr>
          <w:szCs w:val="20"/>
        </w:rPr>
        <w:t xml:space="preserve"> </w:t>
      </w:r>
      <w:r w:rsidR="004F3D3C" w:rsidRPr="004F3D3C">
        <w:rPr>
          <w:szCs w:val="20"/>
        </w:rPr>
        <w:t>Following consideration of submissions, the ACMA will issue an options paper for the 1.5 GHz band in Q3/4 2019</w:t>
      </w:r>
      <w:r w:rsidR="00243870">
        <w:rPr>
          <w:szCs w:val="20"/>
        </w:rPr>
        <w:t>–</w:t>
      </w:r>
      <w:r w:rsidR="004F3D3C" w:rsidRPr="004F3D3C">
        <w:rPr>
          <w:szCs w:val="20"/>
        </w:rPr>
        <w:t>20.</w:t>
      </w:r>
    </w:p>
    <w:p w14:paraId="70A0A7B9" w14:textId="4C486566" w:rsidR="00953D65" w:rsidRDefault="00953D65" w:rsidP="00953D65">
      <w:pPr>
        <w:pStyle w:val="Heading3"/>
        <w:rPr>
          <w:rFonts w:eastAsiaTheme="majorEastAsia"/>
        </w:rPr>
      </w:pPr>
      <w:bookmarkStart w:id="326" w:name="_Toc5025709"/>
      <w:r w:rsidRPr="002E3C54">
        <w:t xml:space="preserve">3.4–3.575 </w:t>
      </w:r>
      <w:r>
        <w:rPr>
          <w:rFonts w:eastAsiaTheme="majorEastAsia"/>
        </w:rPr>
        <w:t>GHz</w:t>
      </w:r>
      <w:bookmarkEnd w:id="326"/>
    </w:p>
    <w:p w14:paraId="76A9CDB2" w14:textId="3B2036C8" w:rsidR="008C0480" w:rsidRDefault="00953D65" w:rsidP="00953D65">
      <w:pPr>
        <w:keepNext/>
        <w:keepLines/>
      </w:pPr>
      <w:r>
        <w:t>Stakeholder engagement in the lead</w:t>
      </w:r>
      <w:r w:rsidR="00C171A0">
        <w:t>-</w:t>
      </w:r>
      <w:r>
        <w:t xml:space="preserve">up to the 3.6 GHz auction in 2018 identified optimising spectrum </w:t>
      </w:r>
      <w:r w:rsidR="00181D78">
        <w:t>and apparatus licence arrangements</w:t>
      </w:r>
      <w:r w:rsidDel="00181D78">
        <w:t xml:space="preserve"> </w:t>
      </w:r>
      <w:r>
        <w:t>in the adjacent 3.4</w:t>
      </w:r>
      <w:r w:rsidR="00635DBD">
        <w:noBreakHyphen/>
      </w:r>
      <w:r>
        <w:t>3.</w:t>
      </w:r>
      <w:r w:rsidR="00C171A0">
        <w:t>575 </w:t>
      </w:r>
      <w:r>
        <w:t xml:space="preserve">GHz band as an important priority for the ACMA. This </w:t>
      </w:r>
      <w:r w:rsidR="00181D78">
        <w:t>is</w:t>
      </w:r>
      <w:r>
        <w:t xml:space="preserve"> expected to </w:t>
      </w:r>
      <w:r w:rsidR="00181D78">
        <w:t xml:space="preserve">result in more efficient use of spectrum and a reduction in deployment costs. </w:t>
      </w:r>
    </w:p>
    <w:p w14:paraId="39A4F53D" w14:textId="679A84EB" w:rsidR="00953D65" w:rsidDel="001B76CC" w:rsidRDefault="00814452" w:rsidP="00953D65">
      <w:pPr>
        <w:keepNext/>
        <w:keepLines/>
        <w:rPr>
          <w:rFonts w:eastAsiaTheme="majorEastAsia"/>
        </w:rPr>
      </w:pPr>
      <w:r>
        <w:t>The ACMA will progress consideration of this issue</w:t>
      </w:r>
      <w:r w:rsidR="00953D65">
        <w:t xml:space="preserve"> in an options paper </w:t>
      </w:r>
      <w:r>
        <w:t xml:space="preserve">slated for release </w:t>
      </w:r>
      <w:r w:rsidR="00150635">
        <w:t>in Q4 2018</w:t>
      </w:r>
      <w:r w:rsidR="00561D76">
        <w:t>–</w:t>
      </w:r>
      <w:r w:rsidR="00150635">
        <w:t>19</w:t>
      </w:r>
      <w:r w:rsidR="00953D65">
        <w:t>.</w:t>
      </w:r>
      <w:r>
        <w:t xml:space="preserve"> This </w:t>
      </w:r>
      <w:r w:rsidR="008C0480">
        <w:t xml:space="preserve">paper </w:t>
      </w:r>
      <w:r>
        <w:t>will also investigate options for the most appropriate use of currently unused spectrum in the 3.4</w:t>
      </w:r>
      <w:r w:rsidR="00243870">
        <w:t>–</w:t>
      </w:r>
      <w:r>
        <w:t>3.575 GHz band. There is also likely to be further consideration of pricing arrangements to reflect changes in the characteristics of the spectrum holdings</w:t>
      </w:r>
      <w:r w:rsidR="008C0480">
        <w:t>, however, t</w:t>
      </w:r>
      <w:r>
        <w:t xml:space="preserve">his will be done as part of the general review on pricing. </w:t>
      </w:r>
    </w:p>
    <w:p w14:paraId="37FA7B9C" w14:textId="77777777" w:rsidR="001F03F1" w:rsidRDefault="001F03F1" w:rsidP="001F03F1">
      <w:pPr>
        <w:pStyle w:val="Heading3"/>
        <w:rPr>
          <w:rFonts w:asciiTheme="majorHAnsi" w:eastAsiaTheme="majorEastAsia" w:hAnsiTheme="majorHAnsi"/>
          <w:sz w:val="26"/>
        </w:rPr>
      </w:pPr>
      <w:bookmarkStart w:id="327" w:name="_Toc5025710"/>
      <w:r>
        <w:t>26 GHz</w:t>
      </w:r>
      <w:bookmarkEnd w:id="327"/>
    </w:p>
    <w:p w14:paraId="1F64CF97" w14:textId="6A1D0C12" w:rsidR="001F03F1" w:rsidRDefault="001F03F1" w:rsidP="001F03F1">
      <w:r>
        <w:t>The</w:t>
      </w:r>
      <w:r w:rsidRPr="004C2B18">
        <w:t xml:space="preserve"> 24.25–27.5 GHz </w:t>
      </w:r>
      <w:r>
        <w:t>band (the 26 GHz band) remains the next candidate band for allocation, following the allocation of the 3.6 GHz band</w:t>
      </w:r>
      <w:r w:rsidR="00BF0ED1">
        <w:t xml:space="preserve"> in late 2018</w:t>
      </w:r>
      <w:r w:rsidRPr="004C2B18">
        <w:t xml:space="preserve">. </w:t>
      </w:r>
    </w:p>
    <w:p w14:paraId="3CF4D4E9" w14:textId="77777777" w:rsidR="007C610F" w:rsidRDefault="001F03F1" w:rsidP="001F03F1">
      <w:r>
        <w:t xml:space="preserve">In September 2018 the ACMA released an </w:t>
      </w:r>
      <w:hyperlink r:id="rId66" w:history="1">
        <w:r w:rsidRPr="000403CD">
          <w:rPr>
            <w:rStyle w:val="Hyperlink"/>
          </w:rPr>
          <w:t>options paper</w:t>
        </w:r>
      </w:hyperlink>
      <w:r>
        <w:t xml:space="preserve"> outlining the various planning and configuration options for the 26 GHz band, and </w:t>
      </w:r>
      <w:r w:rsidRPr="00293B01">
        <w:t>seek</w:t>
      </w:r>
      <w:r w:rsidR="00DD59F3">
        <w:t>ing</w:t>
      </w:r>
      <w:r w:rsidRPr="00293B01">
        <w:t xml:space="preserve"> views on proposals that the band </w:t>
      </w:r>
      <w:r w:rsidRPr="00E53CF1">
        <w:t xml:space="preserve">proceeds to reallocation. </w:t>
      </w:r>
    </w:p>
    <w:p w14:paraId="39077D90" w14:textId="347E7F50" w:rsidR="001F03F1" w:rsidRDefault="001F03F1" w:rsidP="001F03F1">
      <w:r>
        <w:t xml:space="preserve">The ACMA </w:t>
      </w:r>
      <w:r w:rsidR="007C610F">
        <w:t>has been</w:t>
      </w:r>
      <w:r>
        <w:t xml:space="preserve"> considering submissions </w:t>
      </w:r>
      <w:r w:rsidR="007C610F">
        <w:t xml:space="preserve">to the options paper </w:t>
      </w:r>
      <w:r>
        <w:t xml:space="preserve">and </w:t>
      </w:r>
      <w:r w:rsidR="00914760">
        <w:t>has now</w:t>
      </w:r>
      <w:r w:rsidR="007C610F">
        <w:t xml:space="preserve"> releas</w:t>
      </w:r>
      <w:r w:rsidR="00914760">
        <w:t>ed</w:t>
      </w:r>
      <w:r>
        <w:t xml:space="preserve"> a paper detailing decisions and preliminary views for the introduction of wireless broadband in the 26 GHz band.</w:t>
      </w:r>
      <w:r w:rsidR="007C610F">
        <w:t xml:space="preserve"> That paper set</w:t>
      </w:r>
      <w:r w:rsidR="00074CE7">
        <w:t>s</w:t>
      </w:r>
      <w:r w:rsidR="007C610F">
        <w:t xml:space="preserve"> out a timeframe for applicable draft reallocation recommendation</w:t>
      </w:r>
      <w:r w:rsidR="00DF6416">
        <w:t xml:space="preserve"> consultation</w:t>
      </w:r>
      <w:r w:rsidR="007C610F">
        <w:t xml:space="preserve">s and development of </w:t>
      </w:r>
      <w:r w:rsidR="007C610F">
        <w:lastRenderedPageBreak/>
        <w:t>relevant spectrum licensing instruments and frameworks. It describe</w:t>
      </w:r>
      <w:r w:rsidR="00FF7BA8">
        <w:t>s</w:t>
      </w:r>
      <w:r w:rsidR="007C610F">
        <w:t xml:space="preserve"> new arrangements for apparatus and class licensing in the parts of the </w:t>
      </w:r>
      <w:proofErr w:type="spellStart"/>
      <w:r w:rsidR="007C610F">
        <w:t>the</w:t>
      </w:r>
      <w:proofErr w:type="spellEnd"/>
      <w:r w:rsidR="007C610F">
        <w:t xml:space="preserve"> band and associated timeframes.</w:t>
      </w:r>
    </w:p>
    <w:p w14:paraId="55653107" w14:textId="24334BFD" w:rsidR="00EB5146" w:rsidRDefault="00EB5146" w:rsidP="00DE694D">
      <w:pPr>
        <w:pStyle w:val="Heading3"/>
        <w:keepLines/>
        <w:rPr>
          <w:rFonts w:eastAsiaTheme="majorEastAsia"/>
        </w:rPr>
      </w:pPr>
      <w:bookmarkStart w:id="328" w:name="_Toc5025711"/>
      <w:r>
        <w:t xml:space="preserve">28 </w:t>
      </w:r>
      <w:r w:rsidRPr="00D3636A">
        <w:rPr>
          <w:rFonts w:eastAsiaTheme="majorEastAsia"/>
        </w:rPr>
        <w:t>GHz</w:t>
      </w:r>
      <w:bookmarkEnd w:id="328"/>
    </w:p>
    <w:p w14:paraId="74018BD7" w14:textId="00869F0A" w:rsidR="00D14434" w:rsidRPr="00D14434" w:rsidRDefault="00D14434" w:rsidP="00DE694D">
      <w:pPr>
        <w:keepNext/>
        <w:keepLines/>
        <w:rPr>
          <w:rFonts w:eastAsiaTheme="majorEastAsia"/>
        </w:rPr>
      </w:pPr>
      <w:r w:rsidRPr="00D14434">
        <w:rPr>
          <w:rFonts w:eastAsiaTheme="majorEastAsia"/>
        </w:rPr>
        <w:t xml:space="preserve">The ACMA has previously </w:t>
      </w:r>
      <w:r w:rsidR="00014090">
        <w:rPr>
          <w:rFonts w:eastAsiaTheme="majorEastAsia"/>
        </w:rPr>
        <w:t xml:space="preserve">committed to </w:t>
      </w:r>
      <w:r w:rsidRPr="00D14434">
        <w:rPr>
          <w:rFonts w:eastAsiaTheme="majorEastAsia"/>
        </w:rPr>
        <w:t>investigat</w:t>
      </w:r>
      <w:r w:rsidR="00014090">
        <w:rPr>
          <w:rFonts w:eastAsiaTheme="majorEastAsia"/>
        </w:rPr>
        <w:t>ing</w:t>
      </w:r>
      <w:r w:rsidRPr="00D14434">
        <w:rPr>
          <w:rFonts w:eastAsiaTheme="majorEastAsia"/>
        </w:rPr>
        <w:t xml:space="preserve"> the possibility of establishing new apparatus-licensed point-to-multipoint arrangements for wireless broadband in part of the band.</w:t>
      </w:r>
      <w:r w:rsidR="003335E7">
        <w:rPr>
          <w:rStyle w:val="FootnoteReference"/>
        </w:rPr>
        <w:footnoteReference w:id="32"/>
      </w:r>
      <w:r w:rsidRPr="00D14434">
        <w:rPr>
          <w:rFonts w:eastAsiaTheme="majorEastAsia"/>
        </w:rPr>
        <w:t xml:space="preserve"> </w:t>
      </w:r>
      <w:r w:rsidR="00014090">
        <w:rPr>
          <w:rFonts w:eastAsiaTheme="majorEastAsia"/>
        </w:rPr>
        <w:t>In September 2018 the ACMA released a discussion paper commencing a review of</w:t>
      </w:r>
      <w:r w:rsidRPr="00D14434">
        <w:rPr>
          <w:rFonts w:eastAsiaTheme="majorEastAsia"/>
        </w:rPr>
        <w:t xml:space="preserve"> all potential uses of the entire band</w:t>
      </w:r>
      <w:r w:rsidR="00014090">
        <w:rPr>
          <w:rFonts w:eastAsiaTheme="majorEastAsia"/>
        </w:rPr>
        <w:t>.</w:t>
      </w:r>
      <w:r w:rsidRPr="00D14434">
        <w:rPr>
          <w:rFonts w:eastAsiaTheme="majorEastAsia"/>
        </w:rPr>
        <w:t xml:space="preserve"> </w:t>
      </w:r>
    </w:p>
    <w:p w14:paraId="1FBC373D" w14:textId="05C6DC61" w:rsidR="00D14434" w:rsidRPr="00D14434" w:rsidRDefault="00D14434" w:rsidP="00D14434">
      <w:pPr>
        <w:rPr>
          <w:rFonts w:eastAsiaTheme="majorEastAsia"/>
        </w:rPr>
      </w:pPr>
      <w:r w:rsidRPr="00D14434">
        <w:rPr>
          <w:rFonts w:eastAsiaTheme="majorEastAsia"/>
        </w:rPr>
        <w:t>Currently, the 28 GHz band is used by the FSS for both apparatus-licensed, coordinated gateway earth stations and, in part of the band, for ubiquitously deployed, uncoordinated, class-licensed earth stations (in some cases for moving terminals). Both FSS uses of the band are expected to continue and require ongoing regulatory support. The ACMA has also been asked to develop arrangements supporting additional class-licensed spectrum suitable for ubiquitous earth station deployments.</w:t>
      </w:r>
      <w:r w:rsidR="00E875FC">
        <w:rPr>
          <w:rFonts w:eastAsiaTheme="majorEastAsia"/>
        </w:rPr>
        <w:t xml:space="preserve"> </w:t>
      </w:r>
      <w:r w:rsidRPr="00D14434">
        <w:rPr>
          <w:rFonts w:eastAsiaTheme="majorEastAsia"/>
        </w:rPr>
        <w:t xml:space="preserve">In addition to FSS uses, part of the 28 GHz band is also currently planned for fixed point-to-point links. </w:t>
      </w:r>
    </w:p>
    <w:p w14:paraId="129FD855" w14:textId="739A6AF5" w:rsidR="00D14434" w:rsidRDefault="00E875FC" w:rsidP="00D14434">
      <w:pPr>
        <w:rPr>
          <w:rFonts w:eastAsiaTheme="majorEastAsia"/>
        </w:rPr>
      </w:pPr>
      <w:r>
        <w:rPr>
          <w:rFonts w:eastAsiaTheme="majorEastAsia"/>
        </w:rPr>
        <w:t>T</w:t>
      </w:r>
      <w:r w:rsidR="00D14434" w:rsidRPr="00D14434">
        <w:rPr>
          <w:rFonts w:eastAsiaTheme="majorEastAsia"/>
        </w:rPr>
        <w:t xml:space="preserve">here is interest in the </w:t>
      </w:r>
      <w:r w:rsidR="00E463B3">
        <w:rPr>
          <w:rFonts w:eastAsiaTheme="majorEastAsia"/>
        </w:rPr>
        <w:t>US</w:t>
      </w:r>
      <w:r w:rsidR="00D14434" w:rsidRPr="00D14434">
        <w:rPr>
          <w:rFonts w:eastAsiaTheme="majorEastAsia"/>
        </w:rPr>
        <w:t xml:space="preserve"> and other major markets in using some or all of the band for wide area wireless broadband supporting both fixed and mobile applications. This international interest is part of broader momentum in support of millimetre wave (</w:t>
      </w:r>
      <w:proofErr w:type="spellStart"/>
      <w:r w:rsidR="00D14434" w:rsidRPr="00D14434">
        <w:rPr>
          <w:rFonts w:eastAsiaTheme="majorEastAsia"/>
        </w:rPr>
        <w:t>mmWave</w:t>
      </w:r>
      <w:proofErr w:type="spellEnd"/>
      <w:r w:rsidR="00D14434" w:rsidRPr="00D14434">
        <w:rPr>
          <w:rFonts w:eastAsiaTheme="majorEastAsia"/>
        </w:rPr>
        <w:t>) bands for 5th generation (5G) wireless broadband services.</w:t>
      </w:r>
      <w:r>
        <w:rPr>
          <w:rFonts w:eastAsiaTheme="majorEastAsia"/>
        </w:rPr>
        <w:t xml:space="preserve"> </w:t>
      </w:r>
      <w:r w:rsidR="00E24427">
        <w:rPr>
          <w:rFonts w:eastAsiaTheme="majorEastAsia"/>
        </w:rPr>
        <w:t xml:space="preserve">This is expected to create a viable equipment ecosystem for both wide-area wireless broadband services as well as localised fixed and mobile wireless broadband services (typically deployed by WISPs, miners and other FWA operators). Consequently, the ACMA is considering planning options in the 28 GHz band for both uses. </w:t>
      </w:r>
    </w:p>
    <w:p w14:paraId="5B7C7B87" w14:textId="773D802B" w:rsidR="00953D65" w:rsidRDefault="00360774" w:rsidP="002E3C54">
      <w:r w:rsidRPr="00AB1A67">
        <w:t xml:space="preserve">The ACMA </w:t>
      </w:r>
      <w:r w:rsidR="002A24EE">
        <w:t>released</w:t>
      </w:r>
      <w:r w:rsidRPr="00AB1A67">
        <w:t xml:space="preserve"> an options paper on band planning arrangements in Q</w:t>
      </w:r>
      <w:r>
        <w:t>4</w:t>
      </w:r>
      <w:r w:rsidRPr="003F5663">
        <w:t xml:space="preserve"> 2018</w:t>
      </w:r>
      <w:r w:rsidR="00243870">
        <w:t>–</w:t>
      </w:r>
      <w:r w:rsidRPr="003F5663">
        <w:t>19</w:t>
      </w:r>
      <w:r w:rsidRPr="00EF0E76">
        <w:t>.</w:t>
      </w:r>
    </w:p>
    <w:p w14:paraId="5F7DE958" w14:textId="77777777" w:rsidR="00561BBD" w:rsidRDefault="003F4B80">
      <w:pPr>
        <w:pStyle w:val="Heading2"/>
        <w:rPr>
          <w:rFonts w:eastAsiaTheme="majorEastAsia"/>
        </w:rPr>
      </w:pPr>
      <w:bookmarkStart w:id="330" w:name="_Toc5025712"/>
      <w:r w:rsidRPr="005759E7">
        <w:rPr>
          <w:rFonts w:eastAsiaTheme="majorEastAsia"/>
        </w:rPr>
        <w:t xml:space="preserve">Allocation </w:t>
      </w:r>
      <w:r w:rsidR="00561BBD">
        <w:rPr>
          <w:rFonts w:eastAsiaTheme="majorEastAsia"/>
        </w:rPr>
        <w:t>priorities and sequencing</w:t>
      </w:r>
      <w:bookmarkEnd w:id="319"/>
      <w:bookmarkEnd w:id="330"/>
    </w:p>
    <w:bookmarkEnd w:id="320"/>
    <w:bookmarkEnd w:id="321"/>
    <w:bookmarkEnd w:id="322"/>
    <w:bookmarkEnd w:id="323"/>
    <w:bookmarkEnd w:id="324"/>
    <w:p w14:paraId="10826337" w14:textId="478FEEB1" w:rsidR="008E3660" w:rsidRDefault="008E3660">
      <w:r>
        <w:t xml:space="preserve">Following publication of the forward allocation </w:t>
      </w:r>
      <w:r w:rsidR="0088477E">
        <w:t xml:space="preserve">plan </w:t>
      </w:r>
      <w:r>
        <w:t xml:space="preserve">in the </w:t>
      </w:r>
      <w:r w:rsidR="00243870">
        <w:t xml:space="preserve">FYSO </w:t>
      </w:r>
      <w:r>
        <w:t>2018</w:t>
      </w:r>
      <w:r w:rsidR="004E64E0">
        <w:t>–</w:t>
      </w:r>
      <w:r>
        <w:t xml:space="preserve">22, the ACMA has further considered </w:t>
      </w:r>
      <w:r w:rsidR="00B90D53">
        <w:t>the interest in each of the identified bands.</w:t>
      </w:r>
      <w:r w:rsidR="00697F31">
        <w:t xml:space="preserve"> Progress on the 26 GHz</w:t>
      </w:r>
      <w:r w:rsidR="00766C33">
        <w:t xml:space="preserve"> and </w:t>
      </w:r>
      <w:r w:rsidR="00697F31">
        <w:t>850/900</w:t>
      </w:r>
      <w:r w:rsidR="000B3167">
        <w:t xml:space="preserve"> MHz</w:t>
      </w:r>
      <w:r w:rsidR="00697F31">
        <w:t xml:space="preserve"> </w:t>
      </w:r>
      <w:r w:rsidR="00766C33">
        <w:t>bands is on track</w:t>
      </w:r>
      <w:r w:rsidR="00E750AD">
        <w:t xml:space="preserve">. Consideration of the </w:t>
      </w:r>
      <w:r w:rsidR="00697F31">
        <w:t xml:space="preserve">1.5 GHz bands </w:t>
      </w:r>
      <w:r w:rsidR="00E750AD">
        <w:t>also continues</w:t>
      </w:r>
      <w:r w:rsidR="00697F31">
        <w:t>.</w:t>
      </w:r>
    </w:p>
    <w:p w14:paraId="242D469F" w14:textId="76233864" w:rsidR="00085F83" w:rsidRPr="00960783" w:rsidRDefault="00085F83">
      <w:pPr>
        <w:rPr>
          <w:rStyle w:val="ListBulletChar"/>
        </w:rPr>
      </w:pPr>
      <w:r>
        <w:t>There is optionality on timing</w:t>
      </w:r>
      <w:r w:rsidR="00E36754">
        <w:t>—</w:t>
      </w:r>
      <w:r>
        <w:t>in particular, whether</w:t>
      </w:r>
      <w:r w:rsidR="00D01D55">
        <w:t xml:space="preserve"> the 3.4</w:t>
      </w:r>
      <w:r w:rsidR="00E36754">
        <w:t>–</w:t>
      </w:r>
      <w:r w:rsidR="00D01D55">
        <w:t>3.575 GHz optimisation</w:t>
      </w:r>
      <w:r w:rsidR="008A01A0">
        <w:t xml:space="preserve"> and </w:t>
      </w:r>
      <w:r w:rsidR="00D01D55">
        <w:t>defragmentation work</w:t>
      </w:r>
      <w:r>
        <w:t xml:space="preserve"> ideally should proceed ahead of the 26 GHz planning and allocation considerations, or </w:t>
      </w:r>
      <w:r w:rsidR="00E46F7B">
        <w:t xml:space="preserve">whether it </w:t>
      </w:r>
      <w:r w:rsidR="00710B9D">
        <w:t xml:space="preserve">should be delayed until after 26 GHz processes have been completed. </w:t>
      </w:r>
      <w:r>
        <w:t>The ACMA</w:t>
      </w:r>
      <w:r w:rsidR="00575C13">
        <w:t xml:space="preserve"> </w:t>
      </w:r>
      <w:r w:rsidR="00985817">
        <w:t xml:space="preserve">has considered </w:t>
      </w:r>
      <w:r>
        <w:t>further views on the relative prioritisation of this optimisation work</w:t>
      </w:r>
      <w:r w:rsidR="00575C13">
        <w:t xml:space="preserve"> in response to its </w:t>
      </w:r>
      <w:r w:rsidR="00A46777">
        <w:t>26 GHz band options</w:t>
      </w:r>
      <w:r w:rsidR="00575C13">
        <w:t xml:space="preserve"> paper</w:t>
      </w:r>
      <w:r w:rsidR="00A46777">
        <w:t xml:space="preserve"> released in September 2018.</w:t>
      </w:r>
      <w:r w:rsidR="00E6355E" w:rsidRPr="00E6355E">
        <w:rPr>
          <w:b/>
        </w:rPr>
        <w:t xml:space="preserve"> </w:t>
      </w:r>
      <w:r w:rsidR="00A46777" w:rsidRPr="00596594">
        <w:t xml:space="preserve">Submissions indicated </w:t>
      </w:r>
      <w:r w:rsidR="00800647">
        <w:t>contrasting views as to whether 26 GHz reallocation or 3.4</w:t>
      </w:r>
      <w:r w:rsidR="004E64E0">
        <w:t>–</w:t>
      </w:r>
      <w:r w:rsidR="00800647">
        <w:t>3.575 GHz optimisation/defragmentation work should be the priority.</w:t>
      </w:r>
    </w:p>
    <w:p w14:paraId="44E6091F" w14:textId="42465F2B" w:rsidR="007678D0" w:rsidRDefault="003F4B80">
      <w:r w:rsidRPr="00E53CF1">
        <w:t xml:space="preserve">The </w:t>
      </w:r>
      <w:r w:rsidRPr="00E53CF1">
        <w:rPr>
          <w:i/>
        </w:rPr>
        <w:t>Radiocommunications Act 1992</w:t>
      </w:r>
      <w:r w:rsidRPr="00E53CF1">
        <w:t xml:space="preserve"> establishes</w:t>
      </w:r>
      <w:r w:rsidRPr="009F505F">
        <w:t xml:space="preserve"> a set of mandatory processes for allocatin</w:t>
      </w:r>
      <w:r>
        <w:t>g</w:t>
      </w:r>
      <w:r w:rsidRPr="009F505F">
        <w:t xml:space="preserve"> spectrum. In the ACMA’s experience,</w:t>
      </w:r>
      <w:r w:rsidR="001D0A2E">
        <w:t xml:space="preserve"> under current law</w:t>
      </w:r>
      <w:r w:rsidRPr="009F505F">
        <w:t xml:space="preserve"> this process </w:t>
      </w:r>
      <w:r w:rsidR="00BE4890" w:rsidRPr="009F505F">
        <w:t xml:space="preserve">takes </w:t>
      </w:r>
      <w:r w:rsidR="003304B3">
        <w:t xml:space="preserve">a minimum of </w:t>
      </w:r>
      <w:r w:rsidR="00BE4890" w:rsidRPr="009F505F">
        <w:t>approximately 12.5</w:t>
      </w:r>
      <w:r w:rsidR="00BE4890">
        <w:t> </w:t>
      </w:r>
      <w:r w:rsidR="00BE4890" w:rsidRPr="009F505F">
        <w:t>months</w:t>
      </w:r>
      <w:r w:rsidR="00BE4890">
        <w:t xml:space="preserve"> </w:t>
      </w:r>
      <w:r w:rsidRPr="009F505F">
        <w:t>from confirmation of the planning decision to the commencement of an auction</w:t>
      </w:r>
      <w:r w:rsidR="00B6601F">
        <w:t xml:space="preserve">, if there is </w:t>
      </w:r>
      <w:r w:rsidR="00BF76BC">
        <w:t>certainty</w:t>
      </w:r>
      <w:r w:rsidR="00B6601F">
        <w:t xml:space="preserve"> about </w:t>
      </w:r>
      <w:r w:rsidR="00A802B9">
        <w:t>all aspects of the allocation process</w:t>
      </w:r>
      <w:r w:rsidR="00B6601F">
        <w:t>. This process will take longer</w:t>
      </w:r>
      <w:r w:rsidR="00A802B9">
        <w:t xml:space="preserve"> where there is uncertainty, for example</w:t>
      </w:r>
      <w:r w:rsidR="00B6601F">
        <w:t xml:space="preserve"> if there is optionality around how the spectrum can be configured because further consultation and engagement with potential bidders will be necessary and </w:t>
      </w:r>
      <w:r w:rsidR="00B6601F">
        <w:lastRenderedPageBreak/>
        <w:t xml:space="preserve">important. The process can also be expected to be longer if there is a need to acquire </w:t>
      </w:r>
      <w:r w:rsidR="003304B3">
        <w:t>new auction tools.</w:t>
      </w:r>
      <w:r w:rsidRPr="009F505F">
        <w:t xml:space="preserve"> </w:t>
      </w:r>
    </w:p>
    <w:p w14:paraId="2B6B836F" w14:textId="77777777" w:rsidR="0075215F" w:rsidRDefault="0075215F" w:rsidP="00DE694D">
      <w:pPr>
        <w:pStyle w:val="Heading3"/>
        <w:keepLines/>
      </w:pPr>
      <w:bookmarkStart w:id="331" w:name="_Toc522794100"/>
      <w:bookmarkStart w:id="332" w:name="_Toc5025713"/>
      <w:r>
        <w:t>Timing considerations</w:t>
      </w:r>
      <w:bookmarkEnd w:id="331"/>
      <w:bookmarkEnd w:id="332"/>
    </w:p>
    <w:p w14:paraId="09D41B65" w14:textId="2DCB8959" w:rsidR="00431E8B" w:rsidRDefault="008161DE" w:rsidP="00DE694D">
      <w:pPr>
        <w:keepNext/>
        <w:keepLines/>
      </w:pPr>
      <w:r>
        <w:t xml:space="preserve">The optionality that continues to exist </w:t>
      </w:r>
      <w:r w:rsidR="00F33E86">
        <w:t xml:space="preserve">about the forward allocation </w:t>
      </w:r>
      <w:r w:rsidR="0088477E">
        <w:t xml:space="preserve">plan </w:t>
      </w:r>
      <w:r>
        <w:t>is mainly about the timing of potential allocations</w:t>
      </w:r>
      <w:r w:rsidR="00FB14AF">
        <w:t xml:space="preserve">, but </w:t>
      </w:r>
      <w:r w:rsidR="005B4F0F">
        <w:t xml:space="preserve">there </w:t>
      </w:r>
      <w:r w:rsidR="00FB14AF">
        <w:t xml:space="preserve">also </w:t>
      </w:r>
      <w:r w:rsidR="00636724">
        <w:t xml:space="preserve">remains some optionality around </w:t>
      </w:r>
      <w:r w:rsidR="007B792C">
        <w:t xml:space="preserve">running an allocation, for example, of 850/900 MHz and 26 GHz </w:t>
      </w:r>
      <w:r w:rsidR="00F15C88">
        <w:t>concurrently</w:t>
      </w:r>
      <w:r w:rsidR="007B792C">
        <w:t>.</w:t>
      </w:r>
      <w:r w:rsidR="00636724">
        <w:t xml:space="preserve"> </w:t>
      </w:r>
    </w:p>
    <w:p w14:paraId="569DF3D8" w14:textId="7460F65E" w:rsidR="008161DE" w:rsidRDefault="00636724">
      <w:r w:rsidDel="004F1842">
        <w:t xml:space="preserve">The ACMA </w:t>
      </w:r>
      <w:r w:rsidR="004F1842">
        <w:t>recognises</w:t>
      </w:r>
      <w:r w:rsidDel="004F1842">
        <w:t xml:space="preserve"> that </w:t>
      </w:r>
      <w:r w:rsidR="004F1842">
        <w:t>w</w:t>
      </w:r>
      <w:r w:rsidR="005B4F0F">
        <w:t xml:space="preserve">hile there may be timing, administrative </w:t>
      </w:r>
      <w:r w:rsidR="00806B2F">
        <w:t xml:space="preserve">and potentially efficiency benefits of </w:t>
      </w:r>
      <w:r w:rsidR="007B792C">
        <w:t xml:space="preserve">running an allocation of multiple bands </w:t>
      </w:r>
      <w:r w:rsidR="00F15C88">
        <w:t>concurrently</w:t>
      </w:r>
      <w:r w:rsidR="00E36754">
        <w:t>,</w:t>
      </w:r>
      <w:r w:rsidR="007B792C">
        <w:t xml:space="preserve"> </w:t>
      </w:r>
      <w:r w:rsidR="00806B2F">
        <w:t xml:space="preserve">there </w:t>
      </w:r>
      <w:r w:rsidR="004F1842">
        <w:t xml:space="preserve">may </w:t>
      </w:r>
      <w:r w:rsidR="00806B2F">
        <w:t xml:space="preserve">also </w:t>
      </w:r>
      <w:r w:rsidR="004F1842">
        <w:t xml:space="preserve">be </w:t>
      </w:r>
      <w:r w:rsidR="00937D6F">
        <w:t xml:space="preserve">an </w:t>
      </w:r>
      <w:r w:rsidR="00806B2F">
        <w:t>additional burden on</w:t>
      </w:r>
      <w:r w:rsidR="00937D6F">
        <w:t xml:space="preserve"> auction participants</w:t>
      </w:r>
      <w:r w:rsidR="00806B2F" w:rsidDel="00937D6F">
        <w:t xml:space="preserve"> </w:t>
      </w:r>
      <w:r w:rsidR="00806B2F">
        <w:t>associated with capital funding</w:t>
      </w:r>
      <w:r w:rsidR="00FF2943">
        <w:t>, as well as potential auction complexity considerations</w:t>
      </w:r>
      <w:r w:rsidR="00806B2F">
        <w:t>.</w:t>
      </w:r>
      <w:r w:rsidR="00F15C88">
        <w:t xml:space="preserve"> The ACMA will continue to consider the feasibility of a concurrent auction of the combined 850/900 MHz band with the 26 GHz band, depending on the timing of both processes.</w:t>
      </w:r>
    </w:p>
    <w:p w14:paraId="461F5BCB" w14:textId="46D86896" w:rsidR="00F33E86" w:rsidRDefault="00F33E86">
      <w:r>
        <w:t xml:space="preserve">This year’s forward allocation </w:t>
      </w:r>
      <w:r w:rsidR="0088477E">
        <w:t xml:space="preserve">plan </w:t>
      </w:r>
      <w:r>
        <w:t>reflects the addition of two new allocation processes: the optimisation of the 3.4</w:t>
      </w:r>
      <w:r w:rsidR="00243870">
        <w:t>–</w:t>
      </w:r>
      <w:r>
        <w:t>3.575 GHz band (which may lead to allocation activities such as licence conversion and/or an auction of some spectrum), and consideration of the 28 GHz band</w:t>
      </w:r>
      <w:r w:rsidR="00F15C88">
        <w:t xml:space="preserve"> (which may lead to changed allocations arrangements in that band)</w:t>
      </w:r>
      <w:r>
        <w:t>.</w:t>
      </w:r>
    </w:p>
    <w:p w14:paraId="1B74B48E" w14:textId="5C0D2930" w:rsidR="001C0D0E" w:rsidRDefault="001E530C">
      <w:r>
        <w:t>W</w:t>
      </w:r>
      <w:r w:rsidR="008161DE">
        <w:t xml:space="preserve">e have opted </w:t>
      </w:r>
      <w:r>
        <w:t xml:space="preserve">to present </w:t>
      </w:r>
      <w:r w:rsidR="008161DE">
        <w:t xml:space="preserve">ranges of time to better reflect the contingent nature of </w:t>
      </w:r>
      <w:r>
        <w:t xml:space="preserve">decisions on </w:t>
      </w:r>
      <w:r w:rsidR="008161DE">
        <w:t xml:space="preserve">planning frameworks and relevant frequency assignments that </w:t>
      </w:r>
      <w:r>
        <w:t>are informed by progress in international harmonisation activity</w:t>
      </w:r>
      <w:r w:rsidR="000A52BA">
        <w:t xml:space="preserve">. This also accommodates </w:t>
      </w:r>
      <w:r>
        <w:t xml:space="preserve">future changes in domestic market demand for particular bands of spectrum </w:t>
      </w:r>
      <w:r w:rsidR="000A52BA">
        <w:t xml:space="preserve">in response to </w:t>
      </w:r>
      <w:r w:rsidR="00EC2F66">
        <w:t xml:space="preserve">future </w:t>
      </w:r>
      <w:r>
        <w:t>auction outcomes.</w:t>
      </w:r>
    </w:p>
    <w:p w14:paraId="7FF20601" w14:textId="02DD3FF7" w:rsidR="00F15C88" w:rsidRDefault="00F15C88">
      <w:r>
        <w:t>Table 11 below outlines the ACMA’s current timing expectations in relation to future allocations, under current law.</w:t>
      </w:r>
    </w:p>
    <w:p w14:paraId="3FC4FD15" w14:textId="4FAFE08E" w:rsidR="004F1842" w:rsidRDefault="004F1842">
      <w:r>
        <w:t>As with the draft FYSO</w:t>
      </w:r>
      <w:r w:rsidR="004E64E0">
        <w:t xml:space="preserve"> 2018–22</w:t>
      </w:r>
      <w:r>
        <w:t>, the ACMA seeks feedback from stakeholders on our proposed timing of these potential allocations.</w:t>
      </w:r>
    </w:p>
    <w:p w14:paraId="673F76A9" w14:textId="0EDC5BD6" w:rsidR="003F4B80" w:rsidRDefault="00EC2F66">
      <w:pPr>
        <w:pStyle w:val="ACMATableHeader"/>
      </w:pPr>
      <w:r>
        <w:t xml:space="preserve">Potential timing of </w:t>
      </w:r>
      <w:r w:rsidR="004959E5" w:rsidRPr="00493B5D">
        <w:t>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Caption w:val="Scenario 2—3.6 GHz prioritised, with mmWave next"/>
        <w:tblDescription w:val="Shows planning decision and auction timeframes."/>
      </w:tblPr>
      <w:tblGrid>
        <w:gridCol w:w="1075"/>
        <w:gridCol w:w="1604"/>
        <w:gridCol w:w="1726"/>
        <w:gridCol w:w="1794"/>
        <w:gridCol w:w="1462"/>
      </w:tblGrid>
      <w:tr w:rsidR="0009395C" w14:paraId="54C5905E" w14:textId="77777777" w:rsidTr="00DE694D">
        <w:trPr>
          <w:tblHeader/>
        </w:trPr>
        <w:tc>
          <w:tcPr>
            <w:tcW w:w="1121" w:type="dxa"/>
            <w:shd w:val="clear" w:color="auto" w:fill="404040" w:themeFill="text1" w:themeFillTint="BF"/>
          </w:tcPr>
          <w:p w14:paraId="08B831C0" w14:textId="77777777" w:rsidR="0001077C" w:rsidRPr="0001077C" w:rsidRDefault="00575163" w:rsidP="00B747E1">
            <w:pPr>
              <w:pStyle w:val="TableHeading"/>
            </w:pPr>
            <w:bookmarkStart w:id="333" w:name="_Hlk522785298"/>
            <w:r>
              <w:t>Band</w:t>
            </w:r>
          </w:p>
          <w:p w14:paraId="1D594BFF" w14:textId="77777777" w:rsidR="003F4B80" w:rsidRPr="0001077C" w:rsidRDefault="003F4B80" w:rsidP="0001077C">
            <w:pPr>
              <w:tabs>
                <w:tab w:val="left" w:pos="538"/>
              </w:tabs>
              <w:rPr>
                <w:color w:val="FFFFFF" w:themeColor="background1"/>
              </w:rPr>
            </w:pPr>
          </w:p>
        </w:tc>
        <w:tc>
          <w:tcPr>
            <w:tcW w:w="1393" w:type="dxa"/>
            <w:shd w:val="clear" w:color="auto" w:fill="404040" w:themeFill="text1" w:themeFillTint="BF"/>
          </w:tcPr>
          <w:p w14:paraId="05C546CA" w14:textId="33AB2872" w:rsidR="003F4B80" w:rsidRPr="00445F0B" w:rsidRDefault="003F4B80" w:rsidP="00B747E1">
            <w:pPr>
              <w:pStyle w:val="TableHeading"/>
            </w:pPr>
            <w:r w:rsidRPr="00445F0B">
              <w:t xml:space="preserve">ACMA </w:t>
            </w:r>
            <w:r w:rsidR="00966DE2">
              <w:t>next steps</w:t>
            </w:r>
          </w:p>
        </w:tc>
        <w:tc>
          <w:tcPr>
            <w:tcW w:w="1726" w:type="dxa"/>
            <w:shd w:val="clear" w:color="auto" w:fill="404040" w:themeFill="text1" w:themeFillTint="BF"/>
          </w:tcPr>
          <w:p w14:paraId="7C395BFE" w14:textId="3BECD301" w:rsidR="003F4B80" w:rsidRPr="00445F0B" w:rsidRDefault="0009395C" w:rsidP="00B747E1">
            <w:pPr>
              <w:pStyle w:val="TableHeading"/>
            </w:pPr>
            <w:r>
              <w:t xml:space="preserve">ACMA recommendation to </w:t>
            </w:r>
            <w:r w:rsidR="00561D76">
              <w:t>m</w:t>
            </w:r>
            <w:r w:rsidR="003F4B80" w:rsidRPr="00445F0B">
              <w:t>in</w:t>
            </w:r>
            <w:r w:rsidR="00715BB9" w:rsidRPr="00445F0B">
              <w:t>ister</w:t>
            </w:r>
            <w:r w:rsidR="003F4B80" w:rsidRPr="00445F0B">
              <w:t xml:space="preserve"> </w:t>
            </w:r>
            <w:r w:rsidR="00715BB9" w:rsidRPr="00445F0B">
              <w:t>where applicable</w:t>
            </w:r>
          </w:p>
        </w:tc>
        <w:tc>
          <w:tcPr>
            <w:tcW w:w="1881" w:type="dxa"/>
            <w:shd w:val="clear" w:color="auto" w:fill="404040" w:themeFill="text1" w:themeFillTint="BF"/>
          </w:tcPr>
          <w:p w14:paraId="3F8B0A59" w14:textId="64B3E846" w:rsidR="003F4B80" w:rsidRPr="00445F0B" w:rsidRDefault="00B37A05" w:rsidP="00B747E1">
            <w:pPr>
              <w:pStyle w:val="TableHeading"/>
            </w:pPr>
            <w:r>
              <w:t>Proposed a</w:t>
            </w:r>
            <w:r w:rsidR="00BE2203">
              <w:t xml:space="preserve">llocation </w:t>
            </w:r>
            <w:r>
              <w:t>timi</w:t>
            </w:r>
            <w:r w:rsidR="00567FAB">
              <w:t>n</w:t>
            </w:r>
            <w:r>
              <w:t>g</w:t>
            </w:r>
          </w:p>
        </w:tc>
        <w:tc>
          <w:tcPr>
            <w:tcW w:w="1540" w:type="dxa"/>
            <w:shd w:val="clear" w:color="auto" w:fill="404040" w:themeFill="text1" w:themeFillTint="BF"/>
          </w:tcPr>
          <w:p w14:paraId="5418C189" w14:textId="77777777" w:rsidR="003F4B80" w:rsidRPr="00445F0B" w:rsidRDefault="003F4B80" w:rsidP="00B747E1">
            <w:pPr>
              <w:pStyle w:val="TableHeading"/>
            </w:pPr>
            <w:r w:rsidRPr="00445F0B">
              <w:t>Notes</w:t>
            </w:r>
          </w:p>
        </w:tc>
      </w:tr>
      <w:tr w:rsidR="0009395C" w14:paraId="3229A9D0" w14:textId="77777777" w:rsidTr="00DE694D">
        <w:tc>
          <w:tcPr>
            <w:tcW w:w="1121" w:type="dxa"/>
            <w:shd w:val="clear" w:color="auto" w:fill="FFFFFF" w:themeFill="background1"/>
          </w:tcPr>
          <w:p w14:paraId="09720721" w14:textId="77777777" w:rsidR="00283D92" w:rsidRPr="00DE694D" w:rsidRDefault="00283D92" w:rsidP="00DE694D">
            <w:pPr>
              <w:pStyle w:val="TableBody"/>
            </w:pPr>
            <w:r w:rsidRPr="00DE694D">
              <w:t>26 GHz</w:t>
            </w:r>
          </w:p>
        </w:tc>
        <w:tc>
          <w:tcPr>
            <w:tcW w:w="1393" w:type="dxa"/>
            <w:shd w:val="clear" w:color="auto" w:fill="FFFFFF" w:themeFill="background1"/>
          </w:tcPr>
          <w:p w14:paraId="3E6D7756" w14:textId="77777777" w:rsidR="00283D92" w:rsidRDefault="00290235">
            <w:pPr>
              <w:pStyle w:val="TableBody"/>
            </w:pPr>
            <w:r w:rsidRPr="00283D92">
              <w:t>Q</w:t>
            </w:r>
            <w:r>
              <w:t xml:space="preserve">4 </w:t>
            </w:r>
            <w:r w:rsidR="0001077C">
              <w:br/>
            </w:r>
            <w:r w:rsidR="00283D92" w:rsidRPr="00283D92">
              <w:t>2018–19</w:t>
            </w:r>
            <w:r w:rsidR="009C76CD">
              <w:t xml:space="preserve"> (</w:t>
            </w:r>
            <w:r w:rsidR="00AC437D">
              <w:t xml:space="preserve">planning </w:t>
            </w:r>
            <w:r w:rsidR="009C76CD">
              <w:t>decision)</w:t>
            </w:r>
          </w:p>
          <w:p w14:paraId="63A10B29" w14:textId="77777777" w:rsidR="00AC437D" w:rsidRDefault="00AC437D">
            <w:pPr>
              <w:pStyle w:val="TableBody"/>
              <w:rPr>
                <w:highlight w:val="cyan"/>
              </w:rPr>
            </w:pPr>
          </w:p>
          <w:p w14:paraId="768840F2" w14:textId="13F31129" w:rsidR="00AC437D" w:rsidRPr="00780282" w:rsidRDefault="00AC437D" w:rsidP="00DE694D">
            <w:pPr>
              <w:pStyle w:val="TableBody"/>
              <w:rPr>
                <w:highlight w:val="cyan"/>
              </w:rPr>
            </w:pPr>
            <w:r w:rsidRPr="00DE694D">
              <w:t>Q4 2018</w:t>
            </w:r>
            <w:r w:rsidR="00BC0C4A">
              <w:t>–</w:t>
            </w:r>
            <w:r w:rsidRPr="00DE694D">
              <w:t xml:space="preserve">19 (consultation on draft recommendation to </w:t>
            </w:r>
            <w:r w:rsidR="00561D76">
              <w:t>m</w:t>
            </w:r>
            <w:r w:rsidRPr="00DE694D">
              <w:t>inister</w:t>
            </w:r>
          </w:p>
        </w:tc>
        <w:tc>
          <w:tcPr>
            <w:tcW w:w="1726" w:type="dxa"/>
            <w:shd w:val="clear" w:color="auto" w:fill="FFFFFF" w:themeFill="background1"/>
          </w:tcPr>
          <w:p w14:paraId="64307A73" w14:textId="77777777" w:rsidR="00283D92" w:rsidRPr="00780282" w:rsidRDefault="00290235" w:rsidP="00DE694D">
            <w:pPr>
              <w:pStyle w:val="TableBody"/>
              <w:rPr>
                <w:highlight w:val="cyan"/>
              </w:rPr>
            </w:pPr>
            <w:r w:rsidRPr="00283D92">
              <w:t>Q</w:t>
            </w:r>
            <w:r>
              <w:t>1</w:t>
            </w:r>
            <w:r w:rsidRPr="00283D92">
              <w:t xml:space="preserve"> </w:t>
            </w:r>
            <w:r w:rsidR="0001077C">
              <w:br/>
            </w:r>
            <w:r w:rsidRPr="00283D92">
              <w:t>201</w:t>
            </w:r>
            <w:r>
              <w:t>9</w:t>
            </w:r>
            <w:r w:rsidR="009D0090">
              <w:t>–</w:t>
            </w:r>
            <w:r>
              <w:t>20</w:t>
            </w:r>
            <w:r w:rsidRPr="00283D92">
              <w:t xml:space="preserve"> </w:t>
            </w:r>
          </w:p>
        </w:tc>
        <w:tc>
          <w:tcPr>
            <w:tcW w:w="1881" w:type="dxa"/>
            <w:shd w:val="clear" w:color="auto" w:fill="FFFFFF" w:themeFill="background1"/>
          </w:tcPr>
          <w:p w14:paraId="32D67568" w14:textId="415979E3" w:rsidR="00283D92" w:rsidRDefault="00421FAA" w:rsidP="00DE694D">
            <w:pPr>
              <w:pStyle w:val="TableBody"/>
            </w:pPr>
            <w:r>
              <w:t xml:space="preserve">Auction: </w:t>
            </w:r>
            <w:r w:rsidR="000A52BA" w:rsidDel="00290235">
              <w:t>Q1</w:t>
            </w:r>
            <w:r w:rsidR="00EB67FF">
              <w:t>/</w:t>
            </w:r>
            <w:r w:rsidR="00290235">
              <w:t>2</w:t>
            </w:r>
            <w:r w:rsidR="00666C3A">
              <w:t xml:space="preserve"> </w:t>
            </w:r>
            <w:r w:rsidR="0001077C">
              <w:br/>
            </w:r>
            <w:r w:rsidR="000A52BA">
              <w:t>2020</w:t>
            </w:r>
            <w:r w:rsidR="00B84DB2">
              <w:t>–</w:t>
            </w:r>
            <w:r w:rsidR="000A52BA">
              <w:t>21</w:t>
            </w:r>
          </w:p>
        </w:tc>
        <w:tc>
          <w:tcPr>
            <w:tcW w:w="1540" w:type="dxa"/>
            <w:shd w:val="clear" w:color="auto" w:fill="FFFFFF" w:themeFill="background1"/>
          </w:tcPr>
          <w:p w14:paraId="6862D246" w14:textId="6EE5FC00" w:rsidR="00283D92" w:rsidRPr="005759E7" w:rsidRDefault="00F15C88" w:rsidP="00DE694D">
            <w:pPr>
              <w:pStyle w:val="TableBody"/>
            </w:pPr>
            <w:r>
              <w:t xml:space="preserve">Consider whether concurrent </w:t>
            </w:r>
            <w:r w:rsidR="00113F70">
              <w:t>with 850/900</w:t>
            </w:r>
            <w:r w:rsidR="006E161E">
              <w:t xml:space="preserve"> MHz</w:t>
            </w:r>
            <w:r w:rsidR="00113F70">
              <w:t xml:space="preserve"> </w:t>
            </w:r>
            <w:r w:rsidR="004567ED">
              <w:t>allocation</w:t>
            </w:r>
          </w:p>
        </w:tc>
      </w:tr>
      <w:tr w:rsidR="0009395C" w14:paraId="79054976" w14:textId="77777777" w:rsidTr="00DE694D">
        <w:tc>
          <w:tcPr>
            <w:tcW w:w="1121" w:type="dxa"/>
            <w:shd w:val="clear" w:color="auto" w:fill="FFFFFF" w:themeFill="background1"/>
          </w:tcPr>
          <w:p w14:paraId="03645700" w14:textId="77777777" w:rsidR="00283D92" w:rsidRPr="00DE694D" w:rsidRDefault="00283D92" w:rsidP="00DE694D">
            <w:pPr>
              <w:pStyle w:val="TableBody"/>
            </w:pPr>
            <w:r w:rsidRPr="00DE694D">
              <w:t>850/900 MHz</w:t>
            </w:r>
          </w:p>
        </w:tc>
        <w:tc>
          <w:tcPr>
            <w:tcW w:w="1393" w:type="dxa"/>
            <w:shd w:val="clear" w:color="auto" w:fill="FFFFFF" w:themeFill="background1"/>
          </w:tcPr>
          <w:p w14:paraId="3A973241" w14:textId="3EE53335" w:rsidR="0009395C" w:rsidRDefault="0009395C" w:rsidP="00DE694D">
            <w:pPr>
              <w:pStyle w:val="TableBody"/>
            </w:pPr>
            <w:r>
              <w:t>Q2 2017</w:t>
            </w:r>
            <w:r w:rsidR="00243870">
              <w:t>–</w:t>
            </w:r>
            <w:r>
              <w:t>18 (planning decision</w:t>
            </w:r>
            <w:r w:rsidR="009C76CD">
              <w:t xml:space="preserve"> on 900 MHz</w:t>
            </w:r>
            <w:r w:rsidR="00BC0C4A">
              <w:t>—</w:t>
            </w:r>
            <w:r w:rsidR="00D13BC8">
              <w:t>complete</w:t>
            </w:r>
            <w:r>
              <w:t>)</w:t>
            </w:r>
          </w:p>
          <w:p w14:paraId="7740D17C" w14:textId="77777777" w:rsidR="0009395C" w:rsidRDefault="0009395C" w:rsidP="00DE694D">
            <w:pPr>
              <w:pStyle w:val="TableBody"/>
            </w:pPr>
          </w:p>
          <w:p w14:paraId="3B6A4496" w14:textId="45452074" w:rsidR="00283D92" w:rsidRDefault="00283D92" w:rsidP="00DE694D">
            <w:pPr>
              <w:pStyle w:val="TableBody"/>
            </w:pPr>
            <w:r>
              <w:t>Q</w:t>
            </w:r>
            <w:r w:rsidR="0009395C">
              <w:t>4</w:t>
            </w:r>
            <w:r w:rsidR="0001077C">
              <w:br/>
            </w:r>
            <w:r>
              <w:t>2018–19</w:t>
            </w:r>
            <w:r w:rsidR="0009395C">
              <w:t xml:space="preserve"> </w:t>
            </w:r>
            <w:r w:rsidR="0009395C">
              <w:lastRenderedPageBreak/>
              <w:t>(configuration options 900 M</w:t>
            </w:r>
            <w:r w:rsidR="00AD0BC6">
              <w:t>H</w:t>
            </w:r>
            <w:r w:rsidR="0009395C">
              <w:t>z)</w:t>
            </w:r>
          </w:p>
        </w:tc>
        <w:tc>
          <w:tcPr>
            <w:tcW w:w="1726" w:type="dxa"/>
            <w:shd w:val="clear" w:color="auto" w:fill="FFFFFF" w:themeFill="background1"/>
          </w:tcPr>
          <w:p w14:paraId="5D7752AA" w14:textId="1AE039C5" w:rsidR="00673277" w:rsidRDefault="00673277" w:rsidP="00DE694D">
            <w:pPr>
              <w:pStyle w:val="TableBody"/>
            </w:pPr>
            <w:r>
              <w:lastRenderedPageBreak/>
              <w:t>Q1</w:t>
            </w:r>
            <w:r w:rsidR="00EB67FF">
              <w:t>/</w:t>
            </w:r>
            <w:r>
              <w:t>2</w:t>
            </w:r>
          </w:p>
          <w:p w14:paraId="76D6010F" w14:textId="403747F1" w:rsidR="00283D92" w:rsidRDefault="00673277" w:rsidP="00DE694D">
            <w:pPr>
              <w:pStyle w:val="TableBody"/>
            </w:pPr>
            <w:r>
              <w:t>2019</w:t>
            </w:r>
            <w:r w:rsidR="004E64E0">
              <w:t>–</w:t>
            </w:r>
            <w:r>
              <w:t>20</w:t>
            </w:r>
          </w:p>
        </w:tc>
        <w:tc>
          <w:tcPr>
            <w:tcW w:w="1881" w:type="dxa"/>
            <w:shd w:val="clear" w:color="auto" w:fill="FFFFFF" w:themeFill="background1"/>
          </w:tcPr>
          <w:p w14:paraId="0AF3A319" w14:textId="64E2AA95" w:rsidR="00283D92" w:rsidRDefault="00421FAA" w:rsidP="00DE694D">
            <w:pPr>
              <w:pStyle w:val="TableBody"/>
            </w:pPr>
            <w:r>
              <w:t>A</w:t>
            </w:r>
            <w:r w:rsidR="00B37A05">
              <w:t>llocation</w:t>
            </w:r>
            <w:r>
              <w:t xml:space="preserve">: </w:t>
            </w:r>
            <w:r w:rsidR="000A52BA">
              <w:t>Q</w:t>
            </w:r>
            <w:r w:rsidR="001C0D0E">
              <w:t>1</w:t>
            </w:r>
            <w:r w:rsidR="00EB67FF">
              <w:t>/</w:t>
            </w:r>
            <w:r w:rsidR="001C0D0E">
              <w:t xml:space="preserve">2 </w:t>
            </w:r>
            <w:r w:rsidR="0001077C">
              <w:br/>
            </w:r>
            <w:r w:rsidR="007B792C">
              <w:t>2020</w:t>
            </w:r>
            <w:r w:rsidR="00B84DB2">
              <w:t>–</w:t>
            </w:r>
            <w:r w:rsidR="007B792C">
              <w:t>21</w:t>
            </w:r>
          </w:p>
        </w:tc>
        <w:tc>
          <w:tcPr>
            <w:tcW w:w="1540" w:type="dxa"/>
            <w:shd w:val="clear" w:color="auto" w:fill="FFFFFF" w:themeFill="background1"/>
          </w:tcPr>
          <w:p w14:paraId="3FC4B94B" w14:textId="2B652B06" w:rsidR="00283D92" w:rsidRPr="00455D60" w:rsidRDefault="00F15C88" w:rsidP="00DE694D">
            <w:pPr>
              <w:pStyle w:val="TableBody"/>
            </w:pPr>
            <w:r>
              <w:t>Consider whether concurrent</w:t>
            </w:r>
            <w:r w:rsidR="00113F70">
              <w:t xml:space="preserve"> with 26 GHz auction</w:t>
            </w:r>
          </w:p>
        </w:tc>
      </w:tr>
      <w:tr w:rsidR="0009395C" w14:paraId="0D61E85C" w14:textId="77777777" w:rsidTr="00DE694D">
        <w:tc>
          <w:tcPr>
            <w:tcW w:w="1121" w:type="dxa"/>
            <w:shd w:val="clear" w:color="auto" w:fill="FFFFFF" w:themeFill="background1"/>
          </w:tcPr>
          <w:p w14:paraId="5AE01E30" w14:textId="77777777" w:rsidR="00B30DBE" w:rsidRPr="00DE694D" w:rsidRDefault="00B30DBE" w:rsidP="00DE694D">
            <w:pPr>
              <w:pStyle w:val="TableBody"/>
            </w:pPr>
            <w:r w:rsidRPr="00DE694D" w:rsidDel="00D205F9">
              <w:t>1.5 GHz</w:t>
            </w:r>
          </w:p>
        </w:tc>
        <w:tc>
          <w:tcPr>
            <w:tcW w:w="1393" w:type="dxa"/>
            <w:shd w:val="clear" w:color="auto" w:fill="FFFFFF" w:themeFill="background1"/>
          </w:tcPr>
          <w:p w14:paraId="46B9C0F8" w14:textId="23CFCCE2" w:rsidR="00EB67FF" w:rsidRDefault="005047B5" w:rsidP="00DE694D">
            <w:pPr>
              <w:pStyle w:val="TableBody"/>
            </w:pPr>
            <w:r>
              <w:t>Q</w:t>
            </w:r>
            <w:r w:rsidR="004F3D3C">
              <w:t>3/</w:t>
            </w:r>
            <w:r>
              <w:t>4 20</w:t>
            </w:r>
            <w:r w:rsidR="004F3D3C">
              <w:t>19</w:t>
            </w:r>
            <w:r w:rsidR="004E64E0">
              <w:t>–</w:t>
            </w:r>
            <w:r w:rsidR="004F3D3C">
              <w:t>20</w:t>
            </w:r>
            <w:r w:rsidR="00EB67FF">
              <w:t xml:space="preserve"> (options paper</w:t>
            </w:r>
            <w:r w:rsidR="00383AD8">
              <w:t>)</w:t>
            </w:r>
          </w:p>
          <w:p w14:paraId="513AB275" w14:textId="77777777" w:rsidR="00EB67FF" w:rsidRDefault="00EB67FF" w:rsidP="00DE694D">
            <w:pPr>
              <w:pStyle w:val="TableBody"/>
            </w:pPr>
          </w:p>
          <w:p w14:paraId="62F30E0C" w14:textId="0D6AE145" w:rsidR="00B30DBE" w:rsidRPr="001B420E" w:rsidRDefault="00EB67FF" w:rsidP="00DE694D">
            <w:pPr>
              <w:pStyle w:val="TableBody"/>
            </w:pPr>
            <w:r>
              <w:t>Q1/2 2020</w:t>
            </w:r>
            <w:r w:rsidR="004E64E0">
              <w:t>–</w:t>
            </w:r>
            <w:r>
              <w:t>21 (</w:t>
            </w:r>
            <w:r w:rsidR="005A0BC5">
              <w:t xml:space="preserve">planning </w:t>
            </w:r>
            <w:r>
              <w:t>decision)</w:t>
            </w:r>
          </w:p>
        </w:tc>
        <w:tc>
          <w:tcPr>
            <w:tcW w:w="1726" w:type="dxa"/>
            <w:shd w:val="clear" w:color="auto" w:fill="FFFFFF" w:themeFill="background1"/>
          </w:tcPr>
          <w:p w14:paraId="216ED0CE" w14:textId="533A7295" w:rsidR="00B30DBE" w:rsidRPr="001B420E" w:rsidRDefault="00B30DBE" w:rsidP="00DE694D">
            <w:pPr>
              <w:pStyle w:val="TableBody"/>
            </w:pPr>
            <w:r w:rsidRPr="001B420E">
              <w:t>Q</w:t>
            </w:r>
            <w:r>
              <w:t>3</w:t>
            </w:r>
            <w:r w:rsidR="00EB67FF">
              <w:t>/</w:t>
            </w:r>
            <w:r>
              <w:t>4</w:t>
            </w:r>
            <w:r w:rsidRPr="001B420E">
              <w:t xml:space="preserve"> </w:t>
            </w:r>
            <w:r w:rsidR="0001077C">
              <w:br/>
            </w:r>
            <w:r w:rsidRPr="001B420E">
              <w:t>20</w:t>
            </w:r>
            <w:r w:rsidR="004F3D3C">
              <w:t>20</w:t>
            </w:r>
            <w:r w:rsidRPr="001B420E">
              <w:t>–</w:t>
            </w:r>
            <w:r w:rsidRPr="001B420E" w:rsidDel="00D205F9">
              <w:t>2</w:t>
            </w:r>
            <w:r w:rsidR="004F3D3C">
              <w:t>1</w:t>
            </w:r>
          </w:p>
        </w:tc>
        <w:tc>
          <w:tcPr>
            <w:tcW w:w="1881" w:type="dxa"/>
            <w:shd w:val="clear" w:color="auto" w:fill="FFFFFF" w:themeFill="background1"/>
          </w:tcPr>
          <w:p w14:paraId="334D3EA3" w14:textId="05440D5D" w:rsidR="00B30DBE" w:rsidRPr="001B420E" w:rsidRDefault="00421FAA" w:rsidP="00DE694D">
            <w:pPr>
              <w:pStyle w:val="TableBody"/>
            </w:pPr>
            <w:r>
              <w:t>A</w:t>
            </w:r>
            <w:r w:rsidR="00B37A05">
              <w:t>llocation</w:t>
            </w:r>
            <w:r>
              <w:t xml:space="preserve"> </w:t>
            </w:r>
            <w:r w:rsidR="00B30DBE" w:rsidRPr="001B420E" w:rsidDel="00D205F9">
              <w:t>Q</w:t>
            </w:r>
            <w:r w:rsidR="00B30DBE" w:rsidDel="00D205F9">
              <w:t>3</w:t>
            </w:r>
            <w:r w:rsidR="00EB67FF">
              <w:t>/</w:t>
            </w:r>
            <w:r w:rsidR="00B30DBE" w:rsidRPr="001B420E" w:rsidDel="00D205F9">
              <w:t xml:space="preserve">4 </w:t>
            </w:r>
            <w:r w:rsidR="0001077C">
              <w:br/>
            </w:r>
            <w:r w:rsidR="00B30DBE" w:rsidRPr="001B420E" w:rsidDel="00D205F9">
              <w:t>202</w:t>
            </w:r>
            <w:r w:rsidR="004F3D3C">
              <w:t>1</w:t>
            </w:r>
            <w:r w:rsidR="00B30DBE" w:rsidRPr="001B420E" w:rsidDel="00D205F9">
              <w:t>–2</w:t>
            </w:r>
            <w:r w:rsidR="004F3D3C">
              <w:t>2</w:t>
            </w:r>
          </w:p>
        </w:tc>
        <w:tc>
          <w:tcPr>
            <w:tcW w:w="1540" w:type="dxa"/>
            <w:shd w:val="clear" w:color="auto" w:fill="FFFFFF" w:themeFill="background1"/>
          </w:tcPr>
          <w:p w14:paraId="3568B7DA" w14:textId="11253663" w:rsidR="00B30DBE" w:rsidRPr="001B420E" w:rsidRDefault="00B30DBE" w:rsidP="00DE694D">
            <w:pPr>
              <w:pStyle w:val="TableBody"/>
            </w:pPr>
          </w:p>
        </w:tc>
      </w:tr>
      <w:tr w:rsidR="00C02759" w14:paraId="5AF7B771" w14:textId="77777777" w:rsidTr="00DE694D">
        <w:tc>
          <w:tcPr>
            <w:tcW w:w="1121" w:type="dxa"/>
            <w:shd w:val="clear" w:color="auto" w:fill="FFFFFF" w:themeFill="background1"/>
          </w:tcPr>
          <w:p w14:paraId="1C76E7D0" w14:textId="1EE26D25" w:rsidR="00C02759" w:rsidRPr="00DE694D" w:rsidDel="00D205F9" w:rsidRDefault="00C02759" w:rsidP="00DE694D">
            <w:pPr>
              <w:pStyle w:val="TableBody"/>
            </w:pPr>
            <w:r w:rsidRPr="00DE694D">
              <w:rPr>
                <w:szCs w:val="20"/>
              </w:rPr>
              <w:t>3.4</w:t>
            </w:r>
            <w:r w:rsidR="00243870" w:rsidRPr="00DE694D">
              <w:rPr>
                <w:szCs w:val="20"/>
              </w:rPr>
              <w:t>–</w:t>
            </w:r>
            <w:r w:rsidRPr="00DE694D">
              <w:rPr>
                <w:szCs w:val="20"/>
              </w:rPr>
              <w:t>3.575 GHz band</w:t>
            </w:r>
          </w:p>
        </w:tc>
        <w:tc>
          <w:tcPr>
            <w:tcW w:w="1393" w:type="dxa"/>
            <w:shd w:val="clear" w:color="auto" w:fill="FFFFFF" w:themeFill="background1"/>
          </w:tcPr>
          <w:p w14:paraId="18A7CBFD" w14:textId="77777777" w:rsidR="00C02759" w:rsidRDefault="00C02759" w:rsidP="00DE694D">
            <w:pPr>
              <w:pStyle w:val="TableBody"/>
            </w:pPr>
            <w:r>
              <w:t>Q4 2018–19 (options paper)</w:t>
            </w:r>
          </w:p>
          <w:p w14:paraId="78496FF0" w14:textId="77777777" w:rsidR="00C02759" w:rsidRDefault="00C02759" w:rsidP="00DE694D">
            <w:pPr>
              <w:pStyle w:val="TableBody"/>
            </w:pPr>
          </w:p>
          <w:p w14:paraId="345851E2" w14:textId="77777777" w:rsidR="00C02759" w:rsidRPr="001B420E" w:rsidRDefault="00C02759" w:rsidP="00DE694D">
            <w:pPr>
              <w:pStyle w:val="TableBody"/>
            </w:pPr>
          </w:p>
        </w:tc>
        <w:tc>
          <w:tcPr>
            <w:tcW w:w="1726" w:type="dxa"/>
            <w:shd w:val="clear" w:color="auto" w:fill="FFFFFF" w:themeFill="background1"/>
          </w:tcPr>
          <w:p w14:paraId="3B4A2325" w14:textId="77777777" w:rsidR="00C02759" w:rsidRPr="001B420E" w:rsidRDefault="00C02759" w:rsidP="00DE694D">
            <w:pPr>
              <w:pStyle w:val="TableBody"/>
            </w:pPr>
          </w:p>
        </w:tc>
        <w:tc>
          <w:tcPr>
            <w:tcW w:w="1881" w:type="dxa"/>
            <w:shd w:val="clear" w:color="auto" w:fill="FFFFFF" w:themeFill="background1"/>
          </w:tcPr>
          <w:p w14:paraId="26330654" w14:textId="2825FE5E" w:rsidR="00C02759" w:rsidRPr="001B420E" w:rsidDel="00D205F9" w:rsidRDefault="00C02759" w:rsidP="00DE694D">
            <w:pPr>
              <w:pStyle w:val="TableBody"/>
            </w:pPr>
            <w:r>
              <w:t>Allocation processes: Timing to be determined following outcome of consultation</w:t>
            </w:r>
          </w:p>
        </w:tc>
        <w:tc>
          <w:tcPr>
            <w:tcW w:w="1540" w:type="dxa"/>
            <w:shd w:val="clear" w:color="auto" w:fill="FFFFFF" w:themeFill="background1"/>
          </w:tcPr>
          <w:p w14:paraId="0E868DB9" w14:textId="77777777" w:rsidR="00C02759" w:rsidRPr="001B420E" w:rsidDel="00D205F9" w:rsidRDefault="00C02759" w:rsidP="00DE694D">
            <w:pPr>
              <w:pStyle w:val="TableBody"/>
            </w:pPr>
          </w:p>
        </w:tc>
      </w:tr>
      <w:tr w:rsidR="0009395C" w14:paraId="3010F72F" w14:textId="77777777" w:rsidTr="00DE694D">
        <w:tc>
          <w:tcPr>
            <w:tcW w:w="1121" w:type="dxa"/>
            <w:shd w:val="clear" w:color="auto" w:fill="FFFFFF" w:themeFill="background1"/>
          </w:tcPr>
          <w:p w14:paraId="2C70895B" w14:textId="4B6795FE" w:rsidR="004F0107" w:rsidRPr="00DE694D" w:rsidDel="00D205F9" w:rsidRDefault="004F0107" w:rsidP="00DE694D">
            <w:pPr>
              <w:pStyle w:val="TableBody"/>
            </w:pPr>
            <w:bookmarkStart w:id="334" w:name="_Toc510104966"/>
            <w:bookmarkStart w:id="335" w:name="_Toc510105763"/>
            <w:bookmarkStart w:id="336" w:name="_Toc510795095"/>
            <w:bookmarkStart w:id="337" w:name="_Toc511716296"/>
            <w:bookmarkStart w:id="338" w:name="_Toc511719107"/>
            <w:bookmarkEnd w:id="333"/>
            <w:r w:rsidRPr="00DE694D">
              <w:rPr>
                <w:szCs w:val="20"/>
              </w:rPr>
              <w:t>28 GHz band</w:t>
            </w:r>
          </w:p>
        </w:tc>
        <w:tc>
          <w:tcPr>
            <w:tcW w:w="1393" w:type="dxa"/>
            <w:shd w:val="clear" w:color="auto" w:fill="FFFFFF" w:themeFill="background1"/>
          </w:tcPr>
          <w:p w14:paraId="337CF0A8" w14:textId="6F81ECBF" w:rsidR="00760D15" w:rsidRDefault="00760D15" w:rsidP="00DE694D">
            <w:pPr>
              <w:pStyle w:val="TableBody"/>
            </w:pPr>
            <w:r>
              <w:t>Q4 2018</w:t>
            </w:r>
            <w:r w:rsidR="00243870">
              <w:t>–</w:t>
            </w:r>
            <w:r>
              <w:t>19 (options paper)</w:t>
            </w:r>
          </w:p>
          <w:p w14:paraId="5B2920EA" w14:textId="77777777" w:rsidR="00760D15" w:rsidRDefault="00760D15" w:rsidP="00DE694D">
            <w:pPr>
              <w:pStyle w:val="TableBody"/>
            </w:pPr>
          </w:p>
          <w:p w14:paraId="745245B7" w14:textId="53E9BC2D" w:rsidR="004F0107" w:rsidRPr="001B420E" w:rsidRDefault="00760D15" w:rsidP="00DE694D">
            <w:pPr>
              <w:pStyle w:val="TableBody"/>
            </w:pPr>
            <w:r w:rsidRPr="001B420E">
              <w:t>Q</w:t>
            </w:r>
            <w:r w:rsidR="00D861D9">
              <w:t>1</w:t>
            </w:r>
            <w:r w:rsidRPr="001B420E">
              <w:t xml:space="preserve"> </w:t>
            </w:r>
            <w:r>
              <w:br/>
            </w:r>
            <w:r w:rsidRPr="001B420E">
              <w:t>2019–</w:t>
            </w:r>
            <w:r w:rsidRPr="001B420E" w:rsidDel="00D205F9">
              <w:t>20</w:t>
            </w:r>
            <w:r>
              <w:t xml:space="preserve"> (</w:t>
            </w:r>
            <w:r w:rsidR="005A0BC5">
              <w:t xml:space="preserve">planning </w:t>
            </w:r>
            <w:r>
              <w:t>decision)</w:t>
            </w:r>
          </w:p>
        </w:tc>
        <w:tc>
          <w:tcPr>
            <w:tcW w:w="1726" w:type="dxa"/>
            <w:shd w:val="clear" w:color="auto" w:fill="FFFFFF" w:themeFill="background1"/>
          </w:tcPr>
          <w:p w14:paraId="13497FA2" w14:textId="1691C075" w:rsidR="004F0107" w:rsidRPr="001B420E" w:rsidRDefault="00601162" w:rsidP="00DE694D">
            <w:pPr>
              <w:pStyle w:val="TableBody"/>
            </w:pPr>
            <w:r>
              <w:t>TBC</w:t>
            </w:r>
          </w:p>
        </w:tc>
        <w:tc>
          <w:tcPr>
            <w:tcW w:w="1881" w:type="dxa"/>
            <w:shd w:val="clear" w:color="auto" w:fill="FFFFFF" w:themeFill="background1"/>
          </w:tcPr>
          <w:p w14:paraId="05B230F6" w14:textId="2EFB90FE" w:rsidR="004F0107" w:rsidRPr="001B420E" w:rsidDel="00D205F9" w:rsidRDefault="00C9390F" w:rsidP="00DE694D">
            <w:pPr>
              <w:pStyle w:val="TableBody"/>
            </w:pPr>
            <w:r>
              <w:t xml:space="preserve">Changed allocation arrangements implemented: </w:t>
            </w:r>
            <w:r w:rsidR="00760D15">
              <w:t>Q3</w:t>
            </w:r>
            <w:r w:rsidR="00243870">
              <w:t>/</w:t>
            </w:r>
            <w:r w:rsidR="00760D15">
              <w:t>4 2020</w:t>
            </w:r>
            <w:r w:rsidR="00243870">
              <w:t>–</w:t>
            </w:r>
            <w:r w:rsidR="00760D15">
              <w:t>21</w:t>
            </w:r>
          </w:p>
        </w:tc>
        <w:tc>
          <w:tcPr>
            <w:tcW w:w="1540" w:type="dxa"/>
            <w:shd w:val="clear" w:color="auto" w:fill="FFFFFF" w:themeFill="background1"/>
          </w:tcPr>
          <w:p w14:paraId="200D0F4E" w14:textId="5BA41BE6" w:rsidR="004F0107" w:rsidRPr="001B420E" w:rsidDel="00D205F9" w:rsidRDefault="004F0107" w:rsidP="00DE694D">
            <w:pPr>
              <w:pStyle w:val="TableBody"/>
            </w:pPr>
          </w:p>
        </w:tc>
      </w:tr>
    </w:tbl>
    <w:p w14:paraId="3A709ADF" w14:textId="30A92F04" w:rsidR="004012D8" w:rsidRDefault="004012D8" w:rsidP="00D7755E"/>
    <w:tbl>
      <w:tblPr>
        <w:tblStyle w:val="TableGrid"/>
        <w:tblW w:w="0" w:type="auto"/>
        <w:tblLook w:val="04A0" w:firstRow="1" w:lastRow="0" w:firstColumn="1" w:lastColumn="0" w:noHBand="0" w:noVBand="1"/>
      </w:tblPr>
      <w:tblGrid>
        <w:gridCol w:w="7661"/>
      </w:tblGrid>
      <w:tr w:rsidR="00DA4557" w14:paraId="3456623E" w14:textId="77777777" w:rsidTr="00DE694D">
        <w:tc>
          <w:tcPr>
            <w:tcW w:w="7661" w:type="dxa"/>
            <w:shd w:val="clear" w:color="auto" w:fill="F2F2F2" w:themeFill="background1" w:themeFillShade="F2"/>
          </w:tcPr>
          <w:p w14:paraId="473E397C" w14:textId="3A2D1F0F" w:rsidR="00DA4557" w:rsidRDefault="00DA4557" w:rsidP="00DE694D">
            <w:pPr>
              <w:spacing w:before="120"/>
              <w:rPr>
                <w:b/>
              </w:rPr>
            </w:pPr>
            <w:r>
              <w:rPr>
                <w:b/>
              </w:rPr>
              <w:t>Consultation question</w:t>
            </w:r>
          </w:p>
          <w:p w14:paraId="45ED1BF5" w14:textId="78567580" w:rsidR="00DA4557" w:rsidRPr="00155D31" w:rsidRDefault="00DA4557" w:rsidP="00DE694D">
            <w:pPr>
              <w:pStyle w:val="ListParagraph"/>
              <w:numPr>
                <w:ilvl w:val="0"/>
                <w:numId w:val="60"/>
              </w:numPr>
              <w:spacing w:after="360"/>
            </w:pPr>
            <w:r w:rsidRPr="00DE694D">
              <w:t>Do you have any comments about the ACMA</w:t>
            </w:r>
            <w:r w:rsidR="00F01663">
              <w:t>’s</w:t>
            </w:r>
            <w:r w:rsidRPr="00DE694D">
              <w:t xml:space="preserve"> approach to the forward allocations, or the prioritisation and timing of allocations?</w:t>
            </w:r>
          </w:p>
        </w:tc>
      </w:tr>
    </w:tbl>
    <w:p w14:paraId="657D6A58" w14:textId="77777777" w:rsidR="00DA4557" w:rsidRPr="00D7755E" w:rsidRDefault="00DA4557" w:rsidP="00D7755E"/>
    <w:p w14:paraId="0A5643B5" w14:textId="4B02F47B" w:rsidR="00C56B65" w:rsidRDefault="00C56B65">
      <w:pPr>
        <w:pStyle w:val="Heading1"/>
      </w:pPr>
      <w:bookmarkStart w:id="339" w:name="_Spectrum_management_enhancements"/>
      <w:bookmarkStart w:id="340" w:name="_Spectrum_management_practice"/>
      <w:bookmarkStart w:id="341" w:name="_Toc510104967"/>
      <w:bookmarkStart w:id="342" w:name="_Toc510105764"/>
      <w:bookmarkStart w:id="343" w:name="_Toc510795096"/>
      <w:bookmarkStart w:id="344" w:name="_Toc511716297"/>
      <w:bookmarkStart w:id="345" w:name="_Toc511719108"/>
      <w:bookmarkStart w:id="346" w:name="_Toc522794101"/>
      <w:bookmarkStart w:id="347" w:name="_Toc5025714"/>
      <w:bookmarkEnd w:id="203"/>
      <w:bookmarkEnd w:id="204"/>
      <w:bookmarkEnd w:id="205"/>
      <w:bookmarkEnd w:id="206"/>
      <w:bookmarkEnd w:id="207"/>
      <w:bookmarkEnd w:id="208"/>
      <w:bookmarkEnd w:id="334"/>
      <w:bookmarkEnd w:id="335"/>
      <w:bookmarkEnd w:id="336"/>
      <w:bookmarkEnd w:id="337"/>
      <w:bookmarkEnd w:id="338"/>
      <w:bookmarkEnd w:id="339"/>
      <w:bookmarkEnd w:id="340"/>
      <w:r>
        <w:lastRenderedPageBreak/>
        <w:t xml:space="preserve">Spectrum </w:t>
      </w:r>
      <w:r w:rsidR="00DA2A39">
        <w:t xml:space="preserve">management </w:t>
      </w:r>
      <w:bookmarkEnd w:id="341"/>
      <w:bookmarkEnd w:id="342"/>
      <w:bookmarkEnd w:id="343"/>
      <w:bookmarkEnd w:id="344"/>
      <w:bookmarkEnd w:id="345"/>
      <w:bookmarkEnd w:id="346"/>
      <w:r w:rsidR="00253B7B">
        <w:t xml:space="preserve">practice </w:t>
      </w:r>
      <w:r w:rsidR="008624E0">
        <w:t>improvements</w:t>
      </w:r>
      <w:bookmarkEnd w:id="347"/>
      <w:r w:rsidR="00253B7B">
        <w:t xml:space="preserve"> </w:t>
      </w:r>
    </w:p>
    <w:p w14:paraId="401B3C49" w14:textId="6161AB49" w:rsidR="0028306F" w:rsidRPr="00596594" w:rsidRDefault="0028306F" w:rsidP="00D7755E">
      <w:pPr>
        <w:pStyle w:val="Heading2"/>
      </w:pPr>
      <w:bookmarkStart w:id="348" w:name="_Spectrum_Review_implementation"/>
      <w:bookmarkStart w:id="349" w:name="_Toc5025715"/>
      <w:bookmarkEnd w:id="348"/>
      <w:r w:rsidRPr="00596594">
        <w:t>Spectrum Review</w:t>
      </w:r>
      <w:r w:rsidR="00007BD1">
        <w:t xml:space="preserve"> </w:t>
      </w:r>
      <w:r w:rsidR="003C43A9">
        <w:t xml:space="preserve">and </w:t>
      </w:r>
      <w:r w:rsidR="00007BD1">
        <w:t>Spectrum Pricing Review</w:t>
      </w:r>
      <w:bookmarkEnd w:id="349"/>
    </w:p>
    <w:p w14:paraId="7F015CB3" w14:textId="7AF50B73" w:rsidR="00F77EAE" w:rsidRDefault="005F569A">
      <w:pPr>
        <w:spacing w:line="240" w:lineRule="auto"/>
      </w:pPr>
      <w:bookmarkStart w:id="350" w:name="_Hlk3898650"/>
      <w:r w:rsidRPr="00596594">
        <w:t>The ACMA is committed to implementing spectrum reforms</w:t>
      </w:r>
      <w:r w:rsidR="004A2F93">
        <w:t xml:space="preserve"> and improvements</w:t>
      </w:r>
      <w:r w:rsidRPr="00596594">
        <w:t xml:space="preserve"> in line with the </w:t>
      </w:r>
      <w:r w:rsidR="00007BD1" w:rsidRPr="00596594">
        <w:t xml:space="preserve">recommendations </w:t>
      </w:r>
      <w:r w:rsidR="00007BD1">
        <w:t xml:space="preserve">of the </w:t>
      </w:r>
      <w:r w:rsidR="00EE47F5">
        <w:t>g</w:t>
      </w:r>
      <w:r w:rsidRPr="00596594">
        <w:t xml:space="preserve">overnment’s Spectrum Review </w:t>
      </w:r>
      <w:r w:rsidR="00007BD1">
        <w:t>(</w:t>
      </w:r>
      <w:r w:rsidR="00007BD1" w:rsidRPr="00596594">
        <w:t>2015</w:t>
      </w:r>
      <w:r w:rsidR="00007BD1">
        <w:t>)</w:t>
      </w:r>
      <w:r w:rsidR="00007BD1" w:rsidRPr="00596594">
        <w:t xml:space="preserve"> </w:t>
      </w:r>
      <w:r w:rsidRPr="00596594">
        <w:t xml:space="preserve">and Spectrum Pricing Review </w:t>
      </w:r>
      <w:r w:rsidR="00007BD1">
        <w:t>(</w:t>
      </w:r>
      <w:r w:rsidR="00007BD1" w:rsidRPr="00596594">
        <w:t>2018</w:t>
      </w:r>
      <w:r w:rsidR="00007BD1">
        <w:t>) reports</w:t>
      </w:r>
      <w:r w:rsidR="004D0ED5">
        <w:t xml:space="preserve">. </w:t>
      </w:r>
    </w:p>
    <w:bookmarkEnd w:id="350"/>
    <w:p w14:paraId="2171CCA4" w14:textId="1F4D50E0" w:rsidR="00F012F0" w:rsidRDefault="009B488B">
      <w:pPr>
        <w:spacing w:line="240" w:lineRule="auto"/>
      </w:pPr>
      <w:r>
        <w:t xml:space="preserve">As part of implementing these reforms, </w:t>
      </w:r>
      <w:proofErr w:type="spellStart"/>
      <w:r w:rsidR="007121CF">
        <w:t>DoCA</w:t>
      </w:r>
      <w:proofErr w:type="spellEnd"/>
      <w:r w:rsidR="00F77EAE">
        <w:t xml:space="preserve"> is developing new radiocommunications legislation. T</w:t>
      </w:r>
      <w:r w:rsidR="00F012F0">
        <w:t xml:space="preserve">he ACMA </w:t>
      </w:r>
      <w:r w:rsidR="00EB0B92">
        <w:t xml:space="preserve">will </w:t>
      </w:r>
      <w:r>
        <w:t xml:space="preserve">be responsible </w:t>
      </w:r>
      <w:r w:rsidR="00F012F0">
        <w:t>for implementing</w:t>
      </w:r>
      <w:r w:rsidR="00F77EAE">
        <w:t xml:space="preserve"> the legislation</w:t>
      </w:r>
      <w:r w:rsidR="00F012F0">
        <w:t xml:space="preserve"> </w:t>
      </w:r>
      <w:r>
        <w:t xml:space="preserve">and new spectrum management arrangements </w:t>
      </w:r>
      <w:r w:rsidR="00176275">
        <w:t>should it be enacted</w:t>
      </w:r>
      <w:r w:rsidR="00F012F0">
        <w:t xml:space="preserve">. </w:t>
      </w:r>
    </w:p>
    <w:p w14:paraId="297A78D7" w14:textId="101D04AE" w:rsidR="002A7167" w:rsidRDefault="00F012F0">
      <w:r>
        <w:t xml:space="preserve">To fulfil these responsibilities, </w:t>
      </w:r>
      <w:bookmarkStart w:id="351" w:name="_Hlk3898719"/>
      <w:r>
        <w:t>the ACMA will be developing</w:t>
      </w:r>
      <w:r w:rsidR="00AC7578">
        <w:t xml:space="preserve"> </w:t>
      </w:r>
      <w:r>
        <w:t>the new regulatory arrangements with the twin aims of enhancing opportunities for market-based activities and providing better regulatory design and delivery.</w:t>
      </w:r>
    </w:p>
    <w:bookmarkEnd w:id="351"/>
    <w:p w14:paraId="6A08FEB4" w14:textId="30EF0B56" w:rsidR="00E07819" w:rsidRDefault="009C76CD" w:rsidP="00DE694D">
      <w:pPr>
        <w:spacing w:after="80"/>
      </w:pPr>
      <w:r>
        <w:t>As a next step, t</w:t>
      </w:r>
      <w:r w:rsidR="00E07819">
        <w:t xml:space="preserve">he ACMA intends to consult on the following after the release of </w:t>
      </w:r>
      <w:r w:rsidR="00A23463">
        <w:t>the second</w:t>
      </w:r>
      <w:r w:rsidR="00E07819">
        <w:t xml:space="preserve"> exposure draft of legislation:</w:t>
      </w:r>
    </w:p>
    <w:p w14:paraId="5532C012" w14:textId="2ECD51B3" w:rsidR="002A7167" w:rsidRDefault="00A16C15" w:rsidP="00DE694D">
      <w:pPr>
        <w:pStyle w:val="ListBullet"/>
      </w:pPr>
      <w:r>
        <w:t>l</w:t>
      </w:r>
      <w:r w:rsidR="002A7167" w:rsidRPr="008C3C62">
        <w:t>icensing</w:t>
      </w:r>
      <w:r w:rsidR="00EE47F5">
        <w:t>—</w:t>
      </w:r>
      <w:r w:rsidR="002A7167">
        <w:t xml:space="preserve">information about the </w:t>
      </w:r>
      <w:r w:rsidR="002A7167" w:rsidRPr="00F84A8F">
        <w:t xml:space="preserve">design </w:t>
      </w:r>
      <w:r w:rsidR="002A7167">
        <w:t xml:space="preserve">of the new </w:t>
      </w:r>
      <w:r w:rsidR="002A7167" w:rsidRPr="00F84A8F">
        <w:t>licensing system</w:t>
      </w:r>
      <w:r w:rsidR="00AC7578">
        <w:t>,</w:t>
      </w:r>
      <w:r w:rsidR="002A7167" w:rsidRPr="00F84A8F">
        <w:t xml:space="preserve"> </w:t>
      </w:r>
      <w:r w:rsidR="002A7167">
        <w:t>replacement licences</w:t>
      </w:r>
      <w:r w:rsidR="00AC7578">
        <w:t xml:space="preserve"> and </w:t>
      </w:r>
      <w:r w:rsidR="00EE153D">
        <w:t>the transition path</w:t>
      </w:r>
    </w:p>
    <w:p w14:paraId="1FCFAB3A" w14:textId="15C3FD52" w:rsidR="00E07819" w:rsidRDefault="00A16C15" w:rsidP="00DE694D">
      <w:pPr>
        <w:pStyle w:val="ListBullet"/>
      </w:pPr>
      <w:r>
        <w:t>p</w:t>
      </w:r>
      <w:r w:rsidR="00E07819">
        <w:t>lanning</w:t>
      </w:r>
      <w:r w:rsidR="00EE47F5">
        <w:t>—</w:t>
      </w:r>
      <w:r w:rsidR="00E07819" w:rsidRPr="00F84A8F">
        <w:t xml:space="preserve">design </w:t>
      </w:r>
      <w:r w:rsidR="00E07819">
        <w:t>options for the spectrum planning technical framework</w:t>
      </w:r>
    </w:p>
    <w:p w14:paraId="04AB4CAB" w14:textId="1AD9FC99" w:rsidR="00E07819" w:rsidRDefault="00A16C15" w:rsidP="00DE694D">
      <w:pPr>
        <w:pStyle w:val="ListBullet"/>
      </w:pPr>
      <w:r>
        <w:t>e</w:t>
      </w:r>
      <w:r w:rsidR="00E07819">
        <w:t>quipment rules</w:t>
      </w:r>
      <w:r w:rsidR="00EE47F5">
        <w:t>—</w:t>
      </w:r>
      <w:r w:rsidR="00E07819">
        <w:t>o</w:t>
      </w:r>
      <w:r w:rsidR="00E07819" w:rsidRPr="00D9474C">
        <w:t xml:space="preserve">utcomes of </w:t>
      </w:r>
      <w:r w:rsidR="00E07819">
        <w:t xml:space="preserve">the Q3 2017–18 </w:t>
      </w:r>
      <w:r w:rsidR="00E07819" w:rsidRPr="00D9474C">
        <w:t>consultation on concepts and design principles for equipment rules will be incorporated in</w:t>
      </w:r>
      <w:r w:rsidR="00E07819">
        <w:t>to a more detailed options paper for consultation</w:t>
      </w:r>
    </w:p>
    <w:p w14:paraId="0707C25B" w14:textId="37BC29D6" w:rsidR="00E07819" w:rsidRDefault="00E13A22" w:rsidP="00DE694D">
      <w:pPr>
        <w:pStyle w:val="ListBulletLast"/>
      </w:pPr>
      <w:r>
        <w:t>a</w:t>
      </w:r>
      <w:r w:rsidR="00E07819">
        <w:t>ccreditation arrangements</w:t>
      </w:r>
      <w:r w:rsidR="00EE47F5">
        <w:t>—</w:t>
      </w:r>
      <w:r w:rsidR="00E07819">
        <w:t>d</w:t>
      </w:r>
      <w:r w:rsidR="00E07819" w:rsidRPr="000774DC">
        <w:t>esign and development of ne</w:t>
      </w:r>
      <w:r w:rsidR="00E07819">
        <w:t>w accreditation rules</w:t>
      </w:r>
      <w:r w:rsidR="00EE47F5">
        <w:t>.</w:t>
      </w:r>
    </w:p>
    <w:p w14:paraId="33CBFD88" w14:textId="6935375A" w:rsidR="00007BD1" w:rsidRPr="00E13A22" w:rsidRDefault="00007BD1" w:rsidP="00D7755E">
      <w:pPr>
        <w:spacing w:after="120"/>
      </w:pPr>
      <w:r w:rsidRPr="00E13A22">
        <w:t xml:space="preserve">The ACMA is </w:t>
      </w:r>
      <w:r w:rsidRPr="00D7755E">
        <w:t xml:space="preserve">also </w:t>
      </w:r>
      <w:r w:rsidRPr="00E13A22">
        <w:t xml:space="preserve">progressing </w:t>
      </w:r>
      <w:r w:rsidRPr="00D7755E">
        <w:t>the</w:t>
      </w:r>
      <w:r w:rsidR="00EB0CCD">
        <w:t xml:space="preserve"> </w:t>
      </w:r>
      <w:r w:rsidR="00EE47F5">
        <w:t>S</w:t>
      </w:r>
      <w:r w:rsidR="00EB0CCD">
        <w:t xml:space="preserve">pectrum </w:t>
      </w:r>
      <w:r w:rsidR="00EE47F5">
        <w:t>R</w:t>
      </w:r>
      <w:r w:rsidR="00EB0CCD">
        <w:t>eview</w:t>
      </w:r>
      <w:r w:rsidRPr="00D7755E">
        <w:t xml:space="preserve"> recommendations by:</w:t>
      </w:r>
    </w:p>
    <w:p w14:paraId="0032E8C6" w14:textId="12CF0233" w:rsidR="00E07819" w:rsidRPr="00E07819" w:rsidRDefault="00007BD1" w:rsidP="00DE694D">
      <w:pPr>
        <w:pStyle w:val="ListBullet"/>
      </w:pPr>
      <w:r>
        <w:t>continu</w:t>
      </w:r>
      <w:r w:rsidR="009870FD">
        <w:t>ing</w:t>
      </w:r>
      <w:r>
        <w:t xml:space="preserve"> to consult on and </w:t>
      </w:r>
      <w:r w:rsidR="009870FD">
        <w:t>publish</w:t>
      </w:r>
      <w:r>
        <w:t xml:space="preserve"> the</w:t>
      </w:r>
      <w:r w:rsidR="00E07819">
        <w:t xml:space="preserve"> FYSO to prepare </w:t>
      </w:r>
      <w:r>
        <w:t>for the</w:t>
      </w:r>
      <w:r w:rsidR="00E07819">
        <w:t xml:space="preserve"> transition to </w:t>
      </w:r>
      <w:r>
        <w:t xml:space="preserve">the </w:t>
      </w:r>
      <w:r w:rsidR="00E07819" w:rsidRPr="002E3C54">
        <w:t>annual work program</w:t>
      </w:r>
      <w:r w:rsidR="00E07819">
        <w:t xml:space="preserve"> obligations expected to apply under the Bill</w:t>
      </w:r>
    </w:p>
    <w:p w14:paraId="5AD45A67" w14:textId="21C6C0CF" w:rsidR="002A7167" w:rsidRDefault="009870FD" w:rsidP="00DE694D">
      <w:pPr>
        <w:pStyle w:val="ListBullet"/>
      </w:pPr>
      <w:r>
        <w:t>implementing</w:t>
      </w:r>
      <w:r w:rsidR="002A7167">
        <w:t xml:space="preserve"> the recommendations of the government’s </w:t>
      </w:r>
      <w:r w:rsidR="002A7167" w:rsidRPr="002A5E66">
        <w:t xml:space="preserve">Spectrum </w:t>
      </w:r>
      <w:r w:rsidR="002A7167" w:rsidRPr="002E3C54">
        <w:t>Pricing</w:t>
      </w:r>
      <w:r w:rsidR="002A7167" w:rsidRPr="00D7755E">
        <w:rPr>
          <w:b/>
        </w:rPr>
        <w:t xml:space="preserve"> </w:t>
      </w:r>
      <w:r w:rsidR="002A7167" w:rsidRPr="002A5E66">
        <w:t>Review</w:t>
      </w:r>
      <w:r w:rsidR="002A7167">
        <w:t xml:space="preserve"> </w:t>
      </w:r>
      <w:r>
        <w:t>(see the</w:t>
      </w:r>
      <w:r w:rsidR="002A7167">
        <w:t xml:space="preserve"> </w:t>
      </w:r>
      <w:r w:rsidR="004A2F93" w:rsidRPr="00EC5C76">
        <w:rPr>
          <w:rStyle w:val="Hyperlink"/>
          <w:color w:val="auto"/>
          <w:u w:val="none"/>
        </w:rPr>
        <w:t>Pricing section</w:t>
      </w:r>
      <w:r w:rsidR="002A7167" w:rsidRPr="004A2F93">
        <w:t xml:space="preserve"> </w:t>
      </w:r>
      <w:r w:rsidR="002A7167">
        <w:t>below</w:t>
      </w:r>
      <w:r>
        <w:t>)</w:t>
      </w:r>
      <w:r w:rsidR="002A7167">
        <w:t xml:space="preserve"> </w:t>
      </w:r>
    </w:p>
    <w:p w14:paraId="0BF1D856" w14:textId="1C064BAF" w:rsidR="002A7167" w:rsidRDefault="002A7167" w:rsidP="00DE694D">
      <w:pPr>
        <w:pStyle w:val="ListBullet"/>
      </w:pPr>
      <w:r>
        <w:t>continu</w:t>
      </w:r>
      <w:r w:rsidR="009870FD">
        <w:t>ing</w:t>
      </w:r>
      <w:r>
        <w:t xml:space="preserve"> to consider industry feedback on its</w:t>
      </w:r>
      <w:r w:rsidDel="008023C1">
        <w:t xml:space="preserve"> </w:t>
      </w:r>
      <w:r w:rsidRPr="002E3C54">
        <w:t>interference management principles</w:t>
      </w:r>
      <w:r>
        <w:t xml:space="preserve"> and expect</w:t>
      </w:r>
      <w:r w:rsidR="00E13A22">
        <w:t>ing</w:t>
      </w:r>
      <w:r>
        <w:t xml:space="preserve"> to finalise them during </w:t>
      </w:r>
      <w:r w:rsidRPr="002E3C54">
        <w:t>201</w:t>
      </w:r>
      <w:r w:rsidR="00E13A22" w:rsidRPr="00EB0CCD">
        <w:t>9</w:t>
      </w:r>
      <w:r>
        <w:t>. The principles will inform the development of an interference management framework, which will provide updated procedural guidance for licensees making interference complaints to the ACMA</w:t>
      </w:r>
    </w:p>
    <w:p w14:paraId="5F74D373" w14:textId="6A476C37" w:rsidR="0028306F" w:rsidRDefault="0028306F" w:rsidP="00DE694D">
      <w:pPr>
        <w:pStyle w:val="ListBulletLast"/>
      </w:pPr>
      <w:r>
        <w:t>continu</w:t>
      </w:r>
      <w:r w:rsidR="00E13A22">
        <w:t>ing</w:t>
      </w:r>
      <w:r>
        <w:t xml:space="preserve"> to work closely with </w:t>
      </w:r>
      <w:proofErr w:type="spellStart"/>
      <w:r>
        <w:t>DoCA</w:t>
      </w:r>
      <w:proofErr w:type="spellEnd"/>
      <w:r>
        <w:t xml:space="preserve"> on the draft legislation and </w:t>
      </w:r>
      <w:r w:rsidR="00EB0CCD">
        <w:t xml:space="preserve">in conjunction with </w:t>
      </w:r>
      <w:r>
        <w:t xml:space="preserve">the release of </w:t>
      </w:r>
      <w:r w:rsidR="00EE153D">
        <w:t>second exposure draft of legislation</w:t>
      </w:r>
      <w:r>
        <w:t>, issu</w:t>
      </w:r>
      <w:r w:rsidR="00EB0CCD">
        <w:t>ing</w:t>
      </w:r>
      <w:r w:rsidRPr="00533216">
        <w:t xml:space="preserve"> material to assist</w:t>
      </w:r>
      <w:r>
        <w:t xml:space="preserve"> stakeholders in providing feedback</w:t>
      </w:r>
      <w:r w:rsidR="00EB0CCD">
        <w:t xml:space="preserve"> on the draft legislation</w:t>
      </w:r>
      <w:r>
        <w:t xml:space="preserve">. </w:t>
      </w:r>
    </w:p>
    <w:p w14:paraId="386EADAF" w14:textId="592F8FC9" w:rsidR="00C0236C" w:rsidRPr="005759E7" w:rsidRDefault="00E76074">
      <w:pPr>
        <w:pStyle w:val="Heading2"/>
      </w:pPr>
      <w:bookmarkStart w:id="352" w:name="_Toc522794105"/>
      <w:bookmarkStart w:id="353" w:name="_Toc5025716"/>
      <w:bookmarkStart w:id="354" w:name="_Toc510104971"/>
      <w:bookmarkStart w:id="355" w:name="_Toc510105768"/>
      <w:bookmarkStart w:id="356" w:name="_Toc510795100"/>
      <w:bookmarkStart w:id="357" w:name="_Toc511716303"/>
      <w:bookmarkStart w:id="358" w:name="_Toc511719114"/>
      <w:r w:rsidRPr="005759E7">
        <w:t xml:space="preserve">New/ongoing activities planned for </w:t>
      </w:r>
      <w:r w:rsidR="00B91108">
        <w:t>20</w:t>
      </w:r>
      <w:r w:rsidRPr="005759E7">
        <w:t>1</w:t>
      </w:r>
      <w:r w:rsidR="00B76F6D">
        <w:t>9</w:t>
      </w:r>
      <w:r w:rsidR="00B91108">
        <w:t>–</w:t>
      </w:r>
      <w:bookmarkEnd w:id="352"/>
      <w:r w:rsidR="00B76F6D">
        <w:t>20</w:t>
      </w:r>
      <w:bookmarkEnd w:id="353"/>
      <w:r w:rsidRPr="005759E7">
        <w:t xml:space="preserve"> </w:t>
      </w:r>
      <w:bookmarkEnd w:id="354"/>
      <w:bookmarkEnd w:id="355"/>
      <w:bookmarkEnd w:id="356"/>
      <w:bookmarkEnd w:id="357"/>
      <w:bookmarkEnd w:id="358"/>
    </w:p>
    <w:p w14:paraId="109C65B4" w14:textId="60DF7D78" w:rsidR="00007BD1" w:rsidRDefault="00E129A4">
      <w:r>
        <w:t>T</w:t>
      </w:r>
      <w:r w:rsidR="00007BD1">
        <w:t>he ACMA is</w:t>
      </w:r>
      <w:r w:rsidR="0051589F">
        <w:t xml:space="preserve"> also</w:t>
      </w:r>
      <w:r w:rsidR="00007BD1">
        <w:t xml:space="preserve"> actively pursuing </w:t>
      </w:r>
      <w:r w:rsidR="003E4246">
        <w:t xml:space="preserve">improvements </w:t>
      </w:r>
      <w:r w:rsidR="00007BD1">
        <w:t>to spectrum management that can be</w:t>
      </w:r>
      <w:r w:rsidR="00007BD1" w:rsidRPr="004D0ED5">
        <w:t xml:space="preserve"> </w:t>
      </w:r>
      <w:r w:rsidR="00007BD1">
        <w:t xml:space="preserve">achieved in the shorter term.   </w:t>
      </w:r>
    </w:p>
    <w:p w14:paraId="6F0E7F2C" w14:textId="2D549F2A" w:rsidR="007121CF" w:rsidRDefault="00D45071" w:rsidP="00A16C15">
      <w:r>
        <w:t xml:space="preserve">The main areas of </w:t>
      </w:r>
      <w:r w:rsidR="00C91243">
        <w:t>s</w:t>
      </w:r>
      <w:r>
        <w:t xml:space="preserve">pectrum </w:t>
      </w:r>
      <w:r w:rsidR="003D7E71">
        <w:t xml:space="preserve">management improvement </w:t>
      </w:r>
      <w:r>
        <w:t xml:space="preserve">activity that are expected to be undertaken </w:t>
      </w:r>
      <w:r w:rsidR="0051589F">
        <w:t>in the 2019</w:t>
      </w:r>
      <w:r w:rsidR="00243870">
        <w:t>–</w:t>
      </w:r>
      <w:r w:rsidR="0051589F">
        <w:t xml:space="preserve">20 year </w:t>
      </w:r>
      <w:r>
        <w:t xml:space="preserve">are outlined below. </w:t>
      </w:r>
    </w:p>
    <w:p w14:paraId="253FBAA0" w14:textId="73AB4E6E" w:rsidR="00431E8B" w:rsidRDefault="00431E8B" w:rsidP="002460EB">
      <w:pPr>
        <w:pStyle w:val="ACMATableHeader"/>
        <w:keepNext/>
      </w:pPr>
      <w:r>
        <w:lastRenderedPageBreak/>
        <w:t xml:space="preserve">ACMA Spectrum </w:t>
      </w:r>
      <w:r w:rsidR="003D7E71">
        <w:t xml:space="preserve">management </w:t>
      </w:r>
      <w:r w:rsidR="00253B7B">
        <w:t xml:space="preserve">practice </w:t>
      </w:r>
      <w:r w:rsidR="003D7E71">
        <w:t>improvement</w:t>
      </w:r>
      <w:r>
        <w:t xml:space="preserve"> activities </w:t>
      </w:r>
      <w:r w:rsidR="003C43A9">
        <w:br/>
      </w:r>
      <w:r>
        <w:t>2019</w:t>
      </w:r>
      <w:r w:rsidR="00243870">
        <w:t>–</w:t>
      </w:r>
      <w:r>
        <w:t>20</w:t>
      </w:r>
    </w:p>
    <w:tbl>
      <w:tblPr>
        <w:tblStyle w:val="PlainTable1"/>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206"/>
        <w:gridCol w:w="3231"/>
        <w:gridCol w:w="3505"/>
      </w:tblGrid>
      <w:tr w:rsidR="00C2668B" w:rsidRPr="00773918" w14:paraId="4BE55167" w14:textId="2E1B91AA" w:rsidTr="00DE69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6" w:type="dxa"/>
            <w:shd w:val="clear" w:color="auto" w:fill="404040" w:themeFill="text1" w:themeFillTint="BF"/>
            <w:vAlign w:val="center"/>
          </w:tcPr>
          <w:p w14:paraId="4F246425" w14:textId="17E27FE5" w:rsidR="00C2668B" w:rsidRPr="00D7755E" w:rsidRDefault="00C2668B" w:rsidP="00DE694D">
            <w:pPr>
              <w:spacing w:before="120" w:after="120"/>
              <w:ind w:right="-102"/>
              <w:rPr>
                <w:rFonts w:cstheme="minorHAnsi"/>
                <w:color w:val="FFFFFF" w:themeColor="background1"/>
                <w:szCs w:val="20"/>
              </w:rPr>
            </w:pPr>
            <w:r w:rsidRPr="00D7755E">
              <w:rPr>
                <w:rFonts w:cstheme="minorHAnsi"/>
                <w:color w:val="FFFFFF" w:themeColor="background1"/>
                <w:szCs w:val="20"/>
              </w:rPr>
              <w:t>Activity</w:t>
            </w:r>
          </w:p>
        </w:tc>
        <w:tc>
          <w:tcPr>
            <w:tcW w:w="3231" w:type="dxa"/>
            <w:shd w:val="clear" w:color="auto" w:fill="404040" w:themeFill="text1" w:themeFillTint="BF"/>
          </w:tcPr>
          <w:p w14:paraId="4222CB7D" w14:textId="0A867543" w:rsidR="00C2668B" w:rsidRPr="00D7755E" w:rsidRDefault="00C2668B" w:rsidP="00DE694D">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D7755E">
              <w:rPr>
                <w:rFonts w:cstheme="minorHAnsi"/>
                <w:color w:val="FFFFFF" w:themeColor="background1"/>
                <w:szCs w:val="20"/>
              </w:rPr>
              <w:t>Description</w:t>
            </w:r>
          </w:p>
        </w:tc>
        <w:tc>
          <w:tcPr>
            <w:tcW w:w="3505" w:type="dxa"/>
            <w:shd w:val="clear" w:color="auto" w:fill="404040" w:themeFill="text1" w:themeFillTint="BF"/>
          </w:tcPr>
          <w:p w14:paraId="72AFF5CE" w14:textId="5018647A" w:rsidR="00C2668B" w:rsidRPr="00D7755E" w:rsidRDefault="00C2668B" w:rsidP="00DE694D">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D7755E">
              <w:rPr>
                <w:rFonts w:cstheme="minorHAnsi"/>
                <w:color w:val="FFFFFF" w:themeColor="background1"/>
                <w:szCs w:val="20"/>
              </w:rPr>
              <w:t>Timing</w:t>
            </w:r>
          </w:p>
        </w:tc>
      </w:tr>
      <w:tr w:rsidR="00B3401B" w:rsidRPr="001E1A7F" w14:paraId="3F955004" w14:textId="77777777" w:rsidTr="00DE694D">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29808926" w14:textId="5850BA0E" w:rsidR="00B3401B" w:rsidRPr="00C75EC8" w:rsidRDefault="00C75EC8">
            <w:pPr>
              <w:pStyle w:val="TableBody"/>
            </w:pPr>
            <w:r>
              <w:t xml:space="preserve">Explore design of </w:t>
            </w:r>
            <w:r w:rsidR="00A01EB5">
              <w:t xml:space="preserve">a </w:t>
            </w:r>
            <w:r>
              <w:t>spectrum space apparatus licence type</w:t>
            </w:r>
          </w:p>
        </w:tc>
        <w:tc>
          <w:tcPr>
            <w:tcW w:w="3231" w:type="dxa"/>
            <w:shd w:val="clear" w:color="auto" w:fill="auto"/>
          </w:tcPr>
          <w:p w14:paraId="55AEC4FE" w14:textId="6343198D" w:rsidR="00C75EC8" w:rsidRPr="0050338D" w:rsidRDefault="00C75EC8" w:rsidP="00C75EC8">
            <w:pPr>
              <w:pStyle w:val="TableBody"/>
              <w:cnfStyle w:val="000000100000" w:firstRow="0" w:lastRow="0" w:firstColumn="0" w:lastColumn="0" w:oddVBand="0" w:evenVBand="0" w:oddHBand="1" w:evenHBand="0" w:firstRowFirstColumn="0" w:firstRowLastColumn="0" w:lastRowFirstColumn="0" w:lastRowLastColumn="0"/>
            </w:pPr>
            <w:r>
              <w:t>‘</w:t>
            </w:r>
            <w:r w:rsidRPr="002624A6">
              <w:t>Off the shelf’ licence product that c</w:t>
            </w:r>
            <w:r w:rsidR="00C564E1">
              <w:t>ould</w:t>
            </w:r>
            <w:r w:rsidRPr="002624A6">
              <w:t xml:space="preserve"> be adapted to authorise operation</w:t>
            </w:r>
            <w:r w:rsidR="00627CDC">
              <w:t xml:space="preserve"> of</w:t>
            </w:r>
            <w:r w:rsidRPr="002624A6">
              <w:t xml:space="preserve"> multiple devices </w:t>
            </w:r>
            <w:r w:rsidRPr="00DE14D6">
              <w:t>within a defined spectrum space.</w:t>
            </w:r>
          </w:p>
          <w:p w14:paraId="431A4D7F" w14:textId="3121AC0A" w:rsidR="00B3401B" w:rsidRPr="00DE14D6" w:rsidRDefault="00C75EC8" w:rsidP="00C75EC8">
            <w:pPr>
              <w:pStyle w:val="TableBody"/>
              <w:cnfStyle w:val="000000100000" w:firstRow="0" w:lastRow="0" w:firstColumn="0" w:lastColumn="0" w:oddVBand="0" w:evenVBand="0" w:oddHBand="1" w:evenHBand="0" w:firstRowFirstColumn="0" w:firstRowLastColumn="0" w:lastRowFirstColumn="0" w:lastRowLastColumn="0"/>
            </w:pPr>
            <w:r w:rsidRPr="00064F89">
              <w:t>Assist in authorising new &amp; emerging technologies e.g. in 26</w:t>
            </w:r>
            <w:r>
              <w:t> </w:t>
            </w:r>
            <w:r w:rsidRPr="00320D78">
              <w:t>GHz allocation</w:t>
            </w:r>
            <w:r>
              <w:t>.</w:t>
            </w:r>
          </w:p>
        </w:tc>
        <w:tc>
          <w:tcPr>
            <w:tcW w:w="3505" w:type="dxa"/>
            <w:shd w:val="clear" w:color="auto" w:fill="auto"/>
          </w:tcPr>
          <w:p w14:paraId="631BE10B" w14:textId="54D9D685" w:rsidR="00B3401B" w:rsidRDefault="00C75EC8">
            <w:pPr>
              <w:pStyle w:val="TableBody"/>
              <w:cnfStyle w:val="000000100000" w:firstRow="0" w:lastRow="0" w:firstColumn="0" w:lastColumn="0" w:oddVBand="0" w:evenVBand="0" w:oddHBand="1" w:evenHBand="0" w:firstRowFirstColumn="0" w:firstRowLastColumn="0" w:lastRowFirstColumn="0" w:lastRowLastColumn="0"/>
            </w:pPr>
            <w:r w:rsidRPr="00D70DE0">
              <w:t>Commence consultation Q</w:t>
            </w:r>
            <w:r>
              <w:t>4</w:t>
            </w:r>
            <w:r w:rsidRPr="00D70DE0">
              <w:t xml:space="preserve"> 201</w:t>
            </w:r>
            <w:r>
              <w:t>8–19</w:t>
            </w:r>
          </w:p>
        </w:tc>
      </w:tr>
      <w:tr w:rsidR="00C2668B" w:rsidRPr="001E1A7F" w14:paraId="6F84EBB0" w14:textId="380AB1D8" w:rsidTr="00561D76">
        <w:trPr>
          <w:trHeight w:val="393"/>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255EA34D" w14:textId="510F6FB1" w:rsidR="00C2668B" w:rsidRPr="00DE694D" w:rsidRDefault="003F43DE" w:rsidP="00DE694D">
            <w:pPr>
              <w:pStyle w:val="TableBody"/>
              <w:rPr>
                <w:b w:val="0"/>
              </w:rPr>
            </w:pPr>
            <w:r w:rsidRPr="00DE694D">
              <w:rPr>
                <w:rFonts w:cs="Times New Roman"/>
                <w:szCs w:val="24"/>
              </w:rPr>
              <w:t xml:space="preserve">Reforming arrangements for amateur </w:t>
            </w:r>
            <w:r w:rsidR="00D8596E" w:rsidRPr="00DE694D">
              <w:rPr>
                <w:rFonts w:cs="Times New Roman"/>
                <w:szCs w:val="24"/>
              </w:rPr>
              <w:t>qualifications</w:t>
            </w:r>
          </w:p>
        </w:tc>
        <w:tc>
          <w:tcPr>
            <w:tcW w:w="3231" w:type="dxa"/>
            <w:shd w:val="clear" w:color="auto" w:fill="auto"/>
          </w:tcPr>
          <w:p w14:paraId="046D488D" w14:textId="48AE1136" w:rsidR="00C2668B" w:rsidRPr="003C69B2" w:rsidRDefault="00C2668B" w:rsidP="00DE694D">
            <w:pPr>
              <w:pStyle w:val="TableBody"/>
              <w:cnfStyle w:val="000000000000" w:firstRow="0" w:lastRow="0" w:firstColumn="0" w:lastColumn="0" w:oddVBand="0" w:evenVBand="0" w:oddHBand="0" w:evenHBand="0" w:firstRowFirstColumn="0" w:firstRowLastColumn="0" w:lastRowFirstColumn="0" w:lastRowLastColumn="0"/>
            </w:pPr>
            <w:r w:rsidRPr="00DE14D6">
              <w:t xml:space="preserve">Use the </w:t>
            </w:r>
            <w:r w:rsidRPr="0050338D">
              <w:t>Australian Qual</w:t>
            </w:r>
            <w:r w:rsidRPr="00064F89">
              <w:t>ifications Framework</w:t>
            </w:r>
            <w:r w:rsidR="001B1CA4">
              <w:t xml:space="preserve"> </w:t>
            </w:r>
            <w:r w:rsidRPr="00D70DE0">
              <w:t xml:space="preserve">as an </w:t>
            </w:r>
            <w:r w:rsidR="00B7330F">
              <w:t xml:space="preserve">additional </w:t>
            </w:r>
            <w:r w:rsidRPr="00D70DE0">
              <w:t xml:space="preserve">means for </w:t>
            </w:r>
            <w:r w:rsidR="00B7330F">
              <w:t>qualification</w:t>
            </w:r>
          </w:p>
        </w:tc>
        <w:tc>
          <w:tcPr>
            <w:tcW w:w="3505" w:type="dxa"/>
            <w:shd w:val="clear" w:color="auto" w:fill="auto"/>
          </w:tcPr>
          <w:p w14:paraId="0D557A39" w14:textId="0C93FEDC" w:rsidR="00C41F76" w:rsidRPr="00D7755E" w:rsidRDefault="00C2668B" w:rsidP="00DE694D">
            <w:pPr>
              <w:pStyle w:val="TableBody"/>
              <w:cnfStyle w:val="000000000000" w:firstRow="0" w:lastRow="0" w:firstColumn="0" w:lastColumn="0" w:oddVBand="0" w:evenVBand="0" w:oddHBand="0" w:evenHBand="0" w:firstRowFirstColumn="0" w:firstRowLastColumn="0" w:lastRowFirstColumn="0" w:lastRowLastColumn="0"/>
            </w:pPr>
            <w:r>
              <w:t>Commenced</w:t>
            </w:r>
          </w:p>
        </w:tc>
      </w:tr>
      <w:tr w:rsidR="00C2668B" w:rsidRPr="006D55FF" w14:paraId="47F72F36" w14:textId="77777777" w:rsidTr="00561D76">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0F1B31B1" w14:textId="77777777" w:rsidR="00C2668B" w:rsidRPr="00DE694D" w:rsidRDefault="00C2668B" w:rsidP="00DE694D">
            <w:pPr>
              <w:pStyle w:val="TableBody"/>
              <w:rPr>
                <w:b w:val="0"/>
                <w:bCs w:val="0"/>
              </w:rPr>
            </w:pPr>
            <w:r w:rsidRPr="00DE694D">
              <w:rPr>
                <w:rFonts w:cs="Times New Roman"/>
              </w:rPr>
              <w:t xml:space="preserve">Implement the Spectrum </w:t>
            </w:r>
          </w:p>
          <w:p w14:paraId="3AB6197A" w14:textId="214E0DAC" w:rsidR="00C2668B" w:rsidRPr="00DE694D" w:rsidRDefault="00C2668B" w:rsidP="00DE694D">
            <w:pPr>
              <w:pStyle w:val="TableBody"/>
              <w:rPr>
                <w:b w:val="0"/>
              </w:rPr>
            </w:pPr>
            <w:r w:rsidRPr="00DE694D">
              <w:rPr>
                <w:rFonts w:cs="Times New Roman"/>
              </w:rPr>
              <w:t>Pricing Review</w:t>
            </w:r>
          </w:p>
        </w:tc>
        <w:tc>
          <w:tcPr>
            <w:tcW w:w="3231" w:type="dxa"/>
            <w:shd w:val="clear" w:color="auto" w:fill="auto"/>
          </w:tcPr>
          <w:p w14:paraId="4A6F4611" w14:textId="77777777" w:rsidR="00C2668B" w:rsidRPr="001E1A7F" w:rsidRDefault="00C2668B" w:rsidP="00561D76">
            <w:pPr>
              <w:pStyle w:val="TableBody"/>
              <w:spacing w:after="120"/>
              <w:cnfStyle w:val="000000100000" w:firstRow="0" w:lastRow="0" w:firstColumn="0" w:lastColumn="0" w:oddVBand="0" w:evenVBand="0" w:oddHBand="1" w:evenHBand="0" w:firstRowFirstColumn="0" w:firstRowLastColumn="0" w:lastRowFirstColumn="0" w:lastRowLastColumn="0"/>
            </w:pPr>
            <w:r w:rsidRPr="001E1A7F">
              <w:t>Provide incentives for more efficient spectrum use</w:t>
            </w:r>
          </w:p>
          <w:p w14:paraId="76FC2D91" w14:textId="69B3465C" w:rsidR="00C2668B" w:rsidRPr="00C2668B" w:rsidRDefault="00C2668B" w:rsidP="00DE694D">
            <w:pPr>
              <w:pStyle w:val="TableBody"/>
              <w:cnfStyle w:val="000000100000" w:firstRow="0" w:lastRow="0" w:firstColumn="0" w:lastColumn="0" w:oddVBand="0" w:evenVBand="0" w:oddHBand="1" w:evenHBand="0" w:firstRowFirstColumn="0" w:firstRowLastColumn="0" w:lastRowFirstColumn="0" w:lastRowLastColumn="0"/>
            </w:pPr>
            <w:r w:rsidRPr="001E1A7F">
              <w:t>Reform cost recover</w:t>
            </w:r>
            <w:r w:rsidR="002B4C0F">
              <w:t>y</w:t>
            </w:r>
            <w:r w:rsidR="00A23B40">
              <w:t xml:space="preserve"> approach</w:t>
            </w:r>
          </w:p>
        </w:tc>
        <w:tc>
          <w:tcPr>
            <w:tcW w:w="3505" w:type="dxa"/>
            <w:shd w:val="clear" w:color="auto" w:fill="auto"/>
          </w:tcPr>
          <w:p w14:paraId="44C423F2" w14:textId="3DFCD3AB" w:rsidR="00C2668B" w:rsidRDefault="00C2668B" w:rsidP="00DE694D">
            <w:pPr>
              <w:pStyle w:val="TableBody"/>
              <w:cnfStyle w:val="000000100000" w:firstRow="0" w:lastRow="0" w:firstColumn="0" w:lastColumn="0" w:oddVBand="0" w:evenVBand="0" w:oddHBand="1" w:evenHBand="0" w:firstRowFirstColumn="0" w:firstRowLastColumn="0" w:lastRowFirstColumn="0" w:lastRowLastColumn="0"/>
            </w:pPr>
            <w:r>
              <w:t xml:space="preserve">Commenced </w:t>
            </w:r>
            <w:r w:rsidR="0053149E">
              <w:t xml:space="preserve">and </w:t>
            </w:r>
            <w:r w:rsidR="00CB0ED4">
              <w:t xml:space="preserve">consultation expected </w:t>
            </w:r>
            <w:r w:rsidR="00536827">
              <w:t xml:space="preserve">Q1 </w:t>
            </w:r>
            <w:r w:rsidR="00CB0ED4">
              <w:t>2019</w:t>
            </w:r>
            <w:r w:rsidR="00243870">
              <w:t>–</w:t>
            </w:r>
            <w:r w:rsidR="00CB0ED4">
              <w:t>20.</w:t>
            </w:r>
          </w:p>
          <w:p w14:paraId="436D021F" w14:textId="05F67A2D" w:rsidR="00C41F76" w:rsidRPr="00C2668B" w:rsidRDefault="00C41F76" w:rsidP="00DE694D">
            <w:pPr>
              <w:pStyle w:val="TableBody"/>
              <w:cnfStyle w:val="000000100000" w:firstRow="0" w:lastRow="0" w:firstColumn="0" w:lastColumn="0" w:oddVBand="0" w:evenVBand="0" w:oddHBand="1" w:evenHBand="0" w:firstRowFirstColumn="0" w:firstRowLastColumn="0" w:lastRowFirstColumn="0" w:lastRowLastColumn="0"/>
            </w:pPr>
          </w:p>
        </w:tc>
      </w:tr>
      <w:tr w:rsidR="00C2668B" w:rsidRPr="006D55FF" w14:paraId="4A565729" w14:textId="14FD3023" w:rsidTr="00DE694D">
        <w:trPr>
          <w:trHeight w:val="1508"/>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5952AE0E" w14:textId="58D72307" w:rsidR="00C2668B" w:rsidRPr="00DE694D" w:rsidRDefault="00DF6DDF" w:rsidP="00DE694D">
            <w:pPr>
              <w:pStyle w:val="TableBody"/>
              <w:rPr>
                <w:b w:val="0"/>
              </w:rPr>
            </w:pPr>
            <w:r w:rsidRPr="00DE694D">
              <w:rPr>
                <w:rFonts w:cs="Times New Roman"/>
                <w:szCs w:val="24"/>
              </w:rPr>
              <w:t xml:space="preserve">Further review of non-assigned </w:t>
            </w:r>
            <w:r w:rsidR="00C2668B" w:rsidRPr="00DE694D">
              <w:rPr>
                <w:rFonts w:cs="Times New Roman"/>
                <w:szCs w:val="24"/>
              </w:rPr>
              <w:t xml:space="preserve">amateur </w:t>
            </w:r>
            <w:r w:rsidR="008877B6" w:rsidRPr="00DE694D">
              <w:rPr>
                <w:rFonts w:cs="Times New Roman"/>
                <w:szCs w:val="24"/>
              </w:rPr>
              <w:t xml:space="preserve">licensing </w:t>
            </w:r>
            <w:r w:rsidR="00C2668B" w:rsidRPr="00DE694D">
              <w:rPr>
                <w:rFonts w:cs="Times New Roman"/>
                <w:szCs w:val="24"/>
              </w:rPr>
              <w:t xml:space="preserve">and </w:t>
            </w:r>
            <w:r w:rsidRPr="00DE694D">
              <w:rPr>
                <w:rFonts w:cs="Times New Roman"/>
                <w:szCs w:val="24"/>
              </w:rPr>
              <w:t xml:space="preserve">review of </w:t>
            </w:r>
            <w:r w:rsidR="00C2668B" w:rsidRPr="00DE694D">
              <w:rPr>
                <w:rFonts w:cs="Times New Roman"/>
                <w:szCs w:val="24"/>
              </w:rPr>
              <w:t>non-assigned outpost licensing arrangements with a view to reform</w:t>
            </w:r>
          </w:p>
        </w:tc>
        <w:tc>
          <w:tcPr>
            <w:tcW w:w="3231" w:type="dxa"/>
            <w:shd w:val="clear" w:color="auto" w:fill="auto"/>
          </w:tcPr>
          <w:p w14:paraId="731A12F6" w14:textId="2F05C8C5" w:rsidR="00C2668B" w:rsidRPr="00D70DE0" w:rsidRDefault="00DF6DDF" w:rsidP="00DE694D">
            <w:pPr>
              <w:pStyle w:val="TableBody"/>
              <w:cnfStyle w:val="000000000000" w:firstRow="0" w:lastRow="0" w:firstColumn="0" w:lastColumn="0" w:oddVBand="0" w:evenVBand="0" w:oddHBand="0" w:evenHBand="0" w:firstRowFirstColumn="0" w:firstRowLastColumn="0" w:lastRowFirstColumn="0" w:lastRowLastColumn="0"/>
            </w:pPr>
            <w:r>
              <w:t>Consider</w:t>
            </w:r>
            <w:r w:rsidR="009307F1">
              <w:t xml:space="preserve"> options</w:t>
            </w:r>
            <w:r>
              <w:t xml:space="preserve"> </w:t>
            </w:r>
            <w:r w:rsidR="0038595F">
              <w:t xml:space="preserve">for </w:t>
            </w:r>
            <w:r w:rsidR="00253B7B">
              <w:t xml:space="preserve">a range of </w:t>
            </w:r>
            <w:r>
              <w:t>licensing mechanisms and conditions for these non-assigned licences.</w:t>
            </w:r>
          </w:p>
        </w:tc>
        <w:tc>
          <w:tcPr>
            <w:tcW w:w="3505" w:type="dxa"/>
            <w:shd w:val="clear" w:color="auto" w:fill="auto"/>
          </w:tcPr>
          <w:p w14:paraId="502C6A95" w14:textId="243BDA0F" w:rsidR="00C41F76" w:rsidRPr="002624A6" w:rsidRDefault="00DF6DDF" w:rsidP="00DE694D">
            <w:pPr>
              <w:pStyle w:val="TableBody"/>
              <w:cnfStyle w:val="000000000000" w:firstRow="0" w:lastRow="0" w:firstColumn="0" w:lastColumn="0" w:oddVBand="0" w:evenVBand="0" w:oddHBand="0" w:evenHBand="0" w:firstRowFirstColumn="0" w:firstRowLastColumn="0" w:lastRowFirstColumn="0" w:lastRowLastColumn="0"/>
            </w:pPr>
            <w:r>
              <w:t>Following review of submissions on amateur licence conditions in 2018</w:t>
            </w:r>
            <w:r w:rsidR="00243870">
              <w:t>–</w:t>
            </w:r>
            <w:r>
              <w:t>19, the ACMA will continue to consider the fitness for purpose of existing arrangements.</w:t>
            </w:r>
            <w:r w:rsidR="001E3005">
              <w:t xml:space="preserve"> The ACM</w:t>
            </w:r>
            <w:r w:rsidR="003E1695">
              <w:t>A</w:t>
            </w:r>
            <w:r w:rsidR="001E3005">
              <w:t xml:space="preserve"> expects to consult further on these arrangements in Q2 2019</w:t>
            </w:r>
            <w:r w:rsidR="00243870">
              <w:t>–</w:t>
            </w:r>
            <w:r w:rsidR="001E3005">
              <w:t>20.</w:t>
            </w:r>
          </w:p>
        </w:tc>
      </w:tr>
      <w:tr w:rsidR="00A36B17" w:rsidRPr="006D55FF" w14:paraId="65B7D855" w14:textId="77777777" w:rsidTr="00DE694D">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0E315210" w14:textId="3853ED29" w:rsidR="00A36B17" w:rsidRPr="00DE694D" w:rsidRDefault="00A36B17" w:rsidP="00DE694D">
            <w:pPr>
              <w:pStyle w:val="TableBody"/>
              <w:rPr>
                <w:b w:val="0"/>
              </w:rPr>
            </w:pPr>
            <w:r w:rsidRPr="00DE694D">
              <w:t>Improving transparency of the spectrum planning framework</w:t>
            </w:r>
          </w:p>
        </w:tc>
        <w:tc>
          <w:tcPr>
            <w:tcW w:w="3231" w:type="dxa"/>
            <w:shd w:val="clear" w:color="auto" w:fill="auto"/>
          </w:tcPr>
          <w:p w14:paraId="1525E46A" w14:textId="560DBBFE" w:rsidR="00A36B17" w:rsidRPr="002624A6" w:rsidRDefault="00A36B17" w:rsidP="00DE694D">
            <w:pPr>
              <w:pStyle w:val="TableBody"/>
              <w:cnfStyle w:val="000000100000" w:firstRow="0" w:lastRow="0" w:firstColumn="0" w:lastColumn="0" w:oddVBand="0" w:evenVBand="0" w:oddHBand="1" w:evenHBand="0" w:firstRowFirstColumn="0" w:firstRowLastColumn="0" w:lastRowFirstColumn="0" w:lastRowLastColumn="0"/>
            </w:pPr>
            <w:r>
              <w:t xml:space="preserve">Review the overall design and scope </w:t>
            </w:r>
            <w:r w:rsidR="00FF7E28">
              <w:t>of</w:t>
            </w:r>
            <w:r>
              <w:t xml:space="preserve"> the spectrum p</w:t>
            </w:r>
            <w:r w:rsidR="00253B7B">
              <w:t>lan</w:t>
            </w:r>
            <w:r>
              <w:t>ning framework.</w:t>
            </w:r>
          </w:p>
        </w:tc>
        <w:tc>
          <w:tcPr>
            <w:tcW w:w="3505" w:type="dxa"/>
            <w:shd w:val="clear" w:color="auto" w:fill="auto"/>
          </w:tcPr>
          <w:p w14:paraId="69B87D9D" w14:textId="6291AF5E" w:rsidR="00A36B17" w:rsidRDefault="00930A61" w:rsidP="00DE694D">
            <w:pPr>
              <w:pStyle w:val="TableBody"/>
              <w:cnfStyle w:val="000000100000" w:firstRow="0" w:lastRow="0" w:firstColumn="0" w:lastColumn="0" w:oddVBand="0" w:evenVBand="0" w:oddHBand="1" w:evenHBand="0" w:firstRowFirstColumn="0" w:firstRowLastColumn="0" w:lastRowFirstColumn="0" w:lastRowLastColumn="0"/>
            </w:pPr>
            <w:r>
              <w:t xml:space="preserve">Progressively review and </w:t>
            </w:r>
            <w:r w:rsidR="00627D5C">
              <w:t xml:space="preserve">consider </w:t>
            </w:r>
            <w:r>
              <w:t>improve</w:t>
            </w:r>
            <w:r w:rsidR="00627D5C">
              <w:t>ment</w:t>
            </w:r>
            <w:r>
              <w:t xml:space="preserve"> through the 2019</w:t>
            </w:r>
            <w:r w:rsidR="004E64E0">
              <w:t>–</w:t>
            </w:r>
            <w:r>
              <w:t>20 year</w:t>
            </w:r>
            <w:r w:rsidR="003C43A9">
              <w:t>.</w:t>
            </w:r>
          </w:p>
        </w:tc>
      </w:tr>
      <w:tr w:rsidR="00A36B17" w:rsidRPr="006D55FF" w14:paraId="50213AF0" w14:textId="77777777" w:rsidTr="00DE694D">
        <w:trPr>
          <w:trHeight w:val="718"/>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48DB9CCA" w14:textId="737AD3C0" w:rsidR="00A36B17" w:rsidRPr="00DE694D" w:rsidRDefault="001E3005" w:rsidP="00DE694D">
            <w:pPr>
              <w:pStyle w:val="TableBody"/>
              <w:rPr>
                <w:b w:val="0"/>
              </w:rPr>
            </w:pPr>
            <w:r w:rsidRPr="00DE694D">
              <w:rPr>
                <w:rFonts w:cs="Times New Roman"/>
              </w:rPr>
              <w:t>Review elements of the existing apparatus licensing framework</w:t>
            </w:r>
            <w:r w:rsidR="00F70039" w:rsidRPr="00DE694D">
              <w:rPr>
                <w:rFonts w:cs="Times New Roman"/>
              </w:rPr>
              <w:t xml:space="preserve"> </w:t>
            </w:r>
            <w:r w:rsidRPr="00DE694D">
              <w:rPr>
                <w:rFonts w:cs="Times New Roman"/>
              </w:rPr>
              <w:t>with a view t</w:t>
            </w:r>
            <w:r w:rsidR="001C7BF2" w:rsidRPr="00DE694D">
              <w:rPr>
                <w:rFonts w:cs="Times New Roman"/>
              </w:rPr>
              <w:t>o</w:t>
            </w:r>
            <w:r w:rsidRPr="00DE694D">
              <w:rPr>
                <w:rFonts w:cs="Times New Roman"/>
              </w:rPr>
              <w:t xml:space="preserve"> streamlining, consistent with the Spectrum Review</w:t>
            </w:r>
          </w:p>
        </w:tc>
        <w:tc>
          <w:tcPr>
            <w:tcW w:w="3231" w:type="dxa"/>
            <w:shd w:val="clear" w:color="auto" w:fill="auto"/>
          </w:tcPr>
          <w:p w14:paraId="2C1ACA53" w14:textId="687DB2F9" w:rsidR="00A36B17" w:rsidRPr="002624A6" w:rsidRDefault="001E3005" w:rsidP="00DE694D">
            <w:pPr>
              <w:pStyle w:val="TableBody"/>
              <w:cnfStyle w:val="000000000000" w:firstRow="0" w:lastRow="0" w:firstColumn="0" w:lastColumn="0" w:oddVBand="0" w:evenVBand="0" w:oddHBand="0" w:evenHBand="0" w:firstRowFirstColumn="0" w:firstRowLastColumn="0" w:lastRowFirstColumn="0" w:lastRowLastColumn="0"/>
            </w:pPr>
            <w:r>
              <w:t>Review of potential for reduced complexity.</w:t>
            </w:r>
          </w:p>
        </w:tc>
        <w:tc>
          <w:tcPr>
            <w:tcW w:w="3505" w:type="dxa"/>
            <w:shd w:val="clear" w:color="auto" w:fill="auto"/>
          </w:tcPr>
          <w:p w14:paraId="1AD09CEF" w14:textId="6198A38D" w:rsidR="00A36B17" w:rsidRDefault="001E3005" w:rsidP="00DE694D">
            <w:pPr>
              <w:pStyle w:val="TableBody"/>
              <w:cnfStyle w:val="000000000000" w:firstRow="0" w:lastRow="0" w:firstColumn="0" w:lastColumn="0" w:oddVBand="0" w:evenVBand="0" w:oddHBand="0" w:evenHBand="0" w:firstRowFirstColumn="0" w:firstRowLastColumn="0" w:lastRowFirstColumn="0" w:lastRowLastColumn="0"/>
            </w:pPr>
            <w:r>
              <w:t>Q1</w:t>
            </w:r>
            <w:r w:rsidR="004E64E0">
              <w:t>/</w:t>
            </w:r>
            <w:r>
              <w:t>2 2019</w:t>
            </w:r>
            <w:r w:rsidR="004E64E0">
              <w:t>–</w:t>
            </w:r>
            <w:r>
              <w:t>20</w:t>
            </w:r>
          </w:p>
        </w:tc>
      </w:tr>
    </w:tbl>
    <w:p w14:paraId="6B8D583E" w14:textId="0CC67E52" w:rsidR="00D90D77" w:rsidRDefault="00D90D77" w:rsidP="00DE694D">
      <w:pPr>
        <w:pStyle w:val="ACMACorporateAddressHeader"/>
      </w:pPr>
    </w:p>
    <w:p w14:paraId="187C74CA" w14:textId="75ADF50C" w:rsidR="008A3150" w:rsidRDefault="008A3150" w:rsidP="008A3150">
      <w:pPr>
        <w:rPr>
          <w:rFonts w:ascii="Calibri" w:hAnsi="Calibri"/>
        </w:rPr>
      </w:pPr>
      <w:r>
        <w:t xml:space="preserve">Further details on each of these ACMA </w:t>
      </w:r>
      <w:r w:rsidR="00561D76">
        <w:t>s</w:t>
      </w:r>
      <w:r>
        <w:t>pectrum management practice improvement activities can be found elsewhere in the FYSO. Activities relating to amateur qualifications and licensing, spectrum</w:t>
      </w:r>
      <w:r w:rsidR="00C75EC8">
        <w:t xml:space="preserve"> </w:t>
      </w:r>
      <w:r>
        <w:t>space</w:t>
      </w:r>
      <w:r w:rsidR="00A802B9">
        <w:t xml:space="preserve"> apparatus</w:t>
      </w:r>
      <w:r>
        <w:t xml:space="preserve"> licensing and the existing apparatus framework are expanded on in the Licensing and licensing systems section below. Further details on the implementation of the Spectrum Pricing Review can be found in the Pricing section below. Further details on improving the transparency of the spectrum planning framework can be found in the Optimising established frameworks section above.</w:t>
      </w:r>
    </w:p>
    <w:tbl>
      <w:tblPr>
        <w:tblStyle w:val="TableGrid"/>
        <w:tblW w:w="0" w:type="auto"/>
        <w:tblLook w:val="04A0" w:firstRow="1" w:lastRow="0" w:firstColumn="1" w:lastColumn="0" w:noHBand="0" w:noVBand="1"/>
      </w:tblPr>
      <w:tblGrid>
        <w:gridCol w:w="7661"/>
      </w:tblGrid>
      <w:tr w:rsidR="00DA4557" w14:paraId="728EF1E5" w14:textId="77777777" w:rsidTr="00DE694D">
        <w:tc>
          <w:tcPr>
            <w:tcW w:w="7661" w:type="dxa"/>
            <w:shd w:val="clear" w:color="auto" w:fill="F2F2F2" w:themeFill="background1" w:themeFillShade="F2"/>
          </w:tcPr>
          <w:p w14:paraId="3F59D7B6" w14:textId="142BC72F" w:rsidR="00DA4557" w:rsidRPr="00155D31" w:rsidRDefault="00DA4557" w:rsidP="00561D76">
            <w:pPr>
              <w:keepNext/>
              <w:keepLines/>
              <w:spacing w:before="120"/>
              <w:rPr>
                <w:b/>
              </w:rPr>
            </w:pPr>
            <w:r w:rsidRPr="00155D31">
              <w:rPr>
                <w:b/>
              </w:rPr>
              <w:lastRenderedPageBreak/>
              <w:t>Consultation question</w:t>
            </w:r>
          </w:p>
          <w:p w14:paraId="0ADA44D2" w14:textId="121EB6DC" w:rsidR="00DA4557" w:rsidRPr="00155D31" w:rsidRDefault="00DA4557" w:rsidP="00561D76">
            <w:pPr>
              <w:pStyle w:val="ListParagraph"/>
              <w:keepNext/>
              <w:keepLines/>
              <w:numPr>
                <w:ilvl w:val="0"/>
                <w:numId w:val="60"/>
              </w:numPr>
              <w:spacing w:after="360"/>
            </w:pPr>
            <w:r w:rsidRPr="00DE694D">
              <w:t>Do you have any feedback on the ACMA’s approach to improving how we manage spectrum?</w:t>
            </w:r>
          </w:p>
        </w:tc>
      </w:tr>
    </w:tbl>
    <w:p w14:paraId="50EF9DC5" w14:textId="52D2AAA8" w:rsidR="00DA2A39" w:rsidRDefault="00DA2A39" w:rsidP="00D7755E"/>
    <w:p w14:paraId="08341B30" w14:textId="60FCA0AB" w:rsidR="00286D6B" w:rsidRPr="00286D6B" w:rsidRDefault="00286D6B">
      <w:pPr>
        <w:pStyle w:val="Heading1"/>
      </w:pPr>
      <w:bookmarkStart w:id="359" w:name="_Toc510104978"/>
      <w:bookmarkStart w:id="360" w:name="_Toc510105775"/>
      <w:bookmarkStart w:id="361" w:name="_Toc510795107"/>
      <w:bookmarkStart w:id="362" w:name="_Toc511716310"/>
      <w:bookmarkStart w:id="363" w:name="_Toc511719121"/>
      <w:bookmarkStart w:id="364" w:name="_Toc522794113"/>
      <w:bookmarkStart w:id="365" w:name="_Toc5025717"/>
      <w:r>
        <w:lastRenderedPageBreak/>
        <w:t>Licensing</w:t>
      </w:r>
      <w:r w:rsidR="008B4A81">
        <w:t xml:space="preserve"> and licensing systems</w:t>
      </w:r>
      <w:bookmarkEnd w:id="359"/>
      <w:bookmarkEnd w:id="360"/>
      <w:bookmarkEnd w:id="361"/>
      <w:bookmarkEnd w:id="362"/>
      <w:bookmarkEnd w:id="363"/>
      <w:bookmarkEnd w:id="364"/>
      <w:bookmarkEnd w:id="365"/>
    </w:p>
    <w:p w14:paraId="5203BF14" w14:textId="77777777" w:rsidR="008B4A81" w:rsidRPr="005759E7" w:rsidRDefault="008B4A81">
      <w:pPr>
        <w:pStyle w:val="Heading2"/>
      </w:pPr>
      <w:bookmarkStart w:id="366" w:name="_Toc510104979"/>
      <w:bookmarkStart w:id="367" w:name="_Toc510105776"/>
      <w:bookmarkStart w:id="368" w:name="_Toc510795108"/>
      <w:bookmarkStart w:id="369" w:name="_Toc511716311"/>
      <w:bookmarkStart w:id="370" w:name="_Toc511719122"/>
      <w:bookmarkStart w:id="371" w:name="_Toc522794114"/>
      <w:bookmarkStart w:id="372" w:name="_Toc5025718"/>
      <w:r w:rsidRPr="005759E7">
        <w:t>Progress achieved</w:t>
      </w:r>
      <w:bookmarkEnd w:id="366"/>
      <w:bookmarkEnd w:id="367"/>
      <w:bookmarkEnd w:id="368"/>
      <w:bookmarkEnd w:id="369"/>
      <w:bookmarkEnd w:id="370"/>
      <w:bookmarkEnd w:id="371"/>
      <w:bookmarkEnd w:id="372"/>
    </w:p>
    <w:p w14:paraId="74C63668" w14:textId="77777777" w:rsidR="008B4A81" w:rsidRDefault="008B4A81">
      <w:pPr>
        <w:pStyle w:val="Heading3"/>
      </w:pPr>
      <w:bookmarkStart w:id="373" w:name="_Toc510104980"/>
      <w:bookmarkStart w:id="374" w:name="_Toc510105777"/>
      <w:bookmarkStart w:id="375" w:name="_Toc510795109"/>
      <w:bookmarkStart w:id="376" w:name="_Toc511716312"/>
      <w:bookmarkStart w:id="377" w:name="_Toc511719123"/>
      <w:bookmarkStart w:id="378" w:name="_Toc522794115"/>
      <w:bookmarkStart w:id="379" w:name="_Toc5025719"/>
      <w:r>
        <w:t xml:space="preserve">Body scanners in </w:t>
      </w:r>
      <w:r w:rsidRPr="00455D60">
        <w:t>airports</w:t>
      </w:r>
      <w:bookmarkEnd w:id="373"/>
      <w:bookmarkEnd w:id="374"/>
      <w:bookmarkEnd w:id="375"/>
      <w:bookmarkEnd w:id="376"/>
      <w:bookmarkEnd w:id="377"/>
      <w:bookmarkEnd w:id="378"/>
      <w:bookmarkEnd w:id="379"/>
    </w:p>
    <w:p w14:paraId="7322334E" w14:textId="63C4A6AC" w:rsidR="008B4A81" w:rsidRPr="00F346D9" w:rsidRDefault="005E39B2">
      <w:pPr>
        <w:rPr>
          <w:rFonts w:cs="Arial"/>
        </w:rPr>
      </w:pPr>
      <w:r>
        <w:t>On 15 November</w:t>
      </w:r>
      <w:r w:rsidR="008B4A81">
        <w:t xml:space="preserve"> 2018</w:t>
      </w:r>
      <w:r w:rsidR="00B91108">
        <w:t xml:space="preserve">, </w:t>
      </w:r>
      <w:r w:rsidR="008B4A81">
        <w:t xml:space="preserve">the ACMA </w:t>
      </w:r>
      <w:r>
        <w:t xml:space="preserve">made the </w:t>
      </w:r>
      <w:hyperlink r:id="rId67" w:history="1">
        <w:r w:rsidRPr="00DE694D">
          <w:rPr>
            <w:rStyle w:val="Hyperlink"/>
          </w:rPr>
          <w:t>Radiocommunications (Body Scanning – Aviation Security</w:t>
        </w:r>
        <w:r w:rsidR="00AD0483" w:rsidRPr="00DE694D">
          <w:rPr>
            <w:rStyle w:val="Hyperlink"/>
          </w:rPr>
          <w:t>)</w:t>
        </w:r>
        <w:r w:rsidRPr="00DE694D">
          <w:rPr>
            <w:rStyle w:val="Hyperlink"/>
          </w:rPr>
          <w:t xml:space="preserve"> Class Licence 2018</w:t>
        </w:r>
      </w:hyperlink>
      <w:r>
        <w:t>, authorising the operation of applicable body scanners used for aviation security screening in airports</w:t>
      </w:r>
      <w:r w:rsidR="008D375E">
        <w:t xml:space="preserve"> in the frequency ranges </w:t>
      </w:r>
      <w:r w:rsidR="008D375E" w:rsidRPr="00F346D9">
        <w:rPr>
          <w:rFonts w:cs="Arial"/>
        </w:rPr>
        <w:t>24.25</w:t>
      </w:r>
      <w:r w:rsidR="004E64E0">
        <w:rPr>
          <w:rFonts w:cs="Arial"/>
        </w:rPr>
        <w:t>–</w:t>
      </w:r>
      <w:r w:rsidR="008D375E" w:rsidRPr="00F346D9">
        <w:rPr>
          <w:rFonts w:cs="Arial"/>
        </w:rPr>
        <w:t>30 and 67</w:t>
      </w:r>
      <w:r w:rsidR="004E64E0">
        <w:rPr>
          <w:rFonts w:cs="Arial"/>
        </w:rPr>
        <w:t>–</w:t>
      </w:r>
      <w:r w:rsidR="008D375E" w:rsidRPr="00F346D9">
        <w:rPr>
          <w:rFonts w:cs="Arial"/>
        </w:rPr>
        <w:t>80 GHz</w:t>
      </w:r>
      <w:r w:rsidRPr="00F346D9" w:rsidDel="008D375E">
        <w:rPr>
          <w:rFonts w:cs="Arial"/>
        </w:rPr>
        <w:t>.</w:t>
      </w:r>
      <w:r w:rsidRPr="00F346D9">
        <w:rPr>
          <w:rFonts w:cs="Arial"/>
        </w:rPr>
        <w:t xml:space="preserve"> Following public consultation, and prior to making the licence, the </w:t>
      </w:r>
      <w:r w:rsidRPr="002460EB">
        <w:rPr>
          <w:rFonts w:cs="Arial"/>
        </w:rPr>
        <w:t>ACMA conferred closely with stakeholders regarding coexistence between relevant body scanners authorised by the class licence and 5G services</w:t>
      </w:r>
      <w:r w:rsidR="00426CFA" w:rsidRPr="00F346D9">
        <w:rPr>
          <w:rFonts w:cs="Arial"/>
        </w:rPr>
        <w:t>.</w:t>
      </w:r>
    </w:p>
    <w:p w14:paraId="4715C6D7" w14:textId="697DB703" w:rsidR="00F42585" w:rsidRDefault="00495390" w:rsidP="002E3C54">
      <w:pPr>
        <w:pStyle w:val="Heading3"/>
      </w:pPr>
      <w:bookmarkStart w:id="380" w:name="_Toc5025720"/>
      <w:r w:rsidRPr="00596594">
        <w:t xml:space="preserve">VHF </w:t>
      </w:r>
      <w:r w:rsidR="003321B7" w:rsidRPr="00596594">
        <w:t>marine radio channels and their use</w:t>
      </w:r>
      <w:bookmarkEnd w:id="380"/>
    </w:p>
    <w:p w14:paraId="11085532" w14:textId="63347A0A" w:rsidR="00E937D1" w:rsidRDefault="003321B7">
      <w:r w:rsidRPr="00596594">
        <w:t>In Q</w:t>
      </w:r>
      <w:r w:rsidR="003E00A6">
        <w:t>2</w:t>
      </w:r>
      <w:r w:rsidRPr="00596594">
        <w:t xml:space="preserve"> 2018</w:t>
      </w:r>
      <w:r w:rsidR="004E64E0">
        <w:t>–</w:t>
      </w:r>
      <w:r w:rsidR="003E00A6">
        <w:t>19</w:t>
      </w:r>
      <w:r w:rsidRPr="00596594">
        <w:t xml:space="preserve"> the ACMA consulted </w:t>
      </w:r>
      <w:r w:rsidR="00E82CDB">
        <w:t>on an</w:t>
      </w:r>
      <w:r w:rsidR="00FA230E">
        <w:t xml:space="preserve"> </w:t>
      </w:r>
      <w:hyperlink r:id="rId68" w:history="1">
        <w:r w:rsidR="003E00A6">
          <w:t>u</w:t>
        </w:r>
        <w:r w:rsidR="00E82CDB" w:rsidRPr="002E3C54">
          <w:t>pdate to maritime VHF channel arrangements</w:t>
        </w:r>
      </w:hyperlink>
      <w:r w:rsidR="00AD0483">
        <w:t>.</w:t>
      </w:r>
      <w:r w:rsidR="00E82CDB" w:rsidDel="00AD0483">
        <w:t xml:space="preserve"> </w:t>
      </w:r>
      <w:r w:rsidR="00F346D9">
        <w:t>The ACMA will consider the issues associated with changing the VHF channel arrangements in Q4 2018</w:t>
      </w:r>
      <w:r w:rsidR="004E64E0">
        <w:t>–</w:t>
      </w:r>
      <w:r w:rsidR="00F346D9">
        <w:t>19.</w:t>
      </w:r>
      <w:r w:rsidR="00E937D1">
        <w:t xml:space="preserve"> The ACMA will also work</w:t>
      </w:r>
      <w:r w:rsidR="00E937D1">
        <w:rPr>
          <w:rFonts w:cs="Arial"/>
          <w:szCs w:val="20"/>
        </w:rPr>
        <w:t xml:space="preserve"> with industry on what additional changes should be considered in the future.</w:t>
      </w:r>
    </w:p>
    <w:p w14:paraId="14A49B0B" w14:textId="77777777" w:rsidR="008D47CE" w:rsidRDefault="008D47CE">
      <w:pPr>
        <w:pStyle w:val="Heading3"/>
        <w:keepNext w:val="0"/>
      </w:pPr>
      <w:bookmarkStart w:id="381" w:name="_Toc5025721"/>
      <w:r>
        <w:t>Enabling trials of mobile phone jammers in prisons</w:t>
      </w:r>
      <w:bookmarkEnd w:id="381"/>
    </w:p>
    <w:p w14:paraId="311DCE38" w14:textId="075C0A6B" w:rsidR="003321B7" w:rsidRDefault="005D2EE9" w:rsidP="008713AA">
      <w:r>
        <w:t>In June 2018</w:t>
      </w:r>
      <w:r w:rsidR="005C1691">
        <w:t>,</w:t>
      </w:r>
      <w:r>
        <w:t xml:space="preserve"> following a </w:t>
      </w:r>
      <w:r w:rsidR="003321B7">
        <w:t>successful trial by Corrective Services NSW at Lithgow Correctional Centre, the ACMA consulted on a proposal for the ongoing operation of the</w:t>
      </w:r>
      <w:r w:rsidR="001A1552">
        <w:t xml:space="preserve"> mobile phone</w:t>
      </w:r>
      <w:r w:rsidR="003321B7">
        <w:t xml:space="preserve"> jammer at Lithgow. The ACMA subsequently made the </w:t>
      </w:r>
      <w:hyperlink r:id="rId69" w:history="1">
        <w:r w:rsidR="003321B7" w:rsidRPr="00DE694D">
          <w:rPr>
            <w:rStyle w:val="Hyperlink"/>
          </w:rPr>
          <w:t>Radiocommunications (Use by Corrective Services NSW of PMTS Jamming Devices at Lithgow Correctional Centre) Exemption Determination 2018</w:t>
        </w:r>
      </w:hyperlink>
      <w:r w:rsidR="00121A9B">
        <w:t xml:space="preserve"> in </w:t>
      </w:r>
      <w:r w:rsidR="00271764">
        <w:t>August 2018</w:t>
      </w:r>
      <w:r w:rsidR="003321B7" w:rsidRPr="00F4057E">
        <w:t>,</w:t>
      </w:r>
      <w:r w:rsidR="003321B7">
        <w:t xml:space="preserve"> which will allow Corrective Services NSW to continue operating the mobile phone jammer at Lithgow on an ongoing basis, subject to certain conditions and safeguards.</w:t>
      </w:r>
    </w:p>
    <w:p w14:paraId="5CE31587" w14:textId="363594D2" w:rsidR="0083652C" w:rsidRPr="00596594" w:rsidRDefault="0083652C" w:rsidP="002E3C54">
      <w:pPr>
        <w:pStyle w:val="Heading3"/>
      </w:pPr>
      <w:bookmarkStart w:id="382" w:name="_Toc524517129"/>
      <w:bookmarkStart w:id="383" w:name="_Toc5025722"/>
      <w:r w:rsidRPr="00596594">
        <w:t>Renewed arrangements for amateur certificates of proficiency</w:t>
      </w:r>
      <w:bookmarkEnd w:id="382"/>
      <w:bookmarkEnd w:id="383"/>
    </w:p>
    <w:p w14:paraId="726AC9C5" w14:textId="022DA654" w:rsidR="0083652C" w:rsidRPr="006C504A" w:rsidRDefault="0083652C" w:rsidP="00DE694D">
      <w:r w:rsidRPr="001753E5">
        <w:t>Following an approach to market</w:t>
      </w:r>
      <w:r w:rsidR="008A08D8">
        <w:t>,</w:t>
      </w:r>
      <w:r w:rsidRPr="001753E5">
        <w:t xml:space="preserve"> registered on </w:t>
      </w:r>
      <w:proofErr w:type="spellStart"/>
      <w:r w:rsidRPr="001753E5">
        <w:t>Austender</w:t>
      </w:r>
      <w:proofErr w:type="spellEnd"/>
      <w:r w:rsidRPr="001753E5">
        <w:t>, the ACMA selected the University of Tasmania, through its institute the A</w:t>
      </w:r>
      <w:r w:rsidR="006E161E">
        <w:t xml:space="preserve">ustralian </w:t>
      </w:r>
      <w:r w:rsidRPr="001753E5">
        <w:t>M</w:t>
      </w:r>
      <w:r w:rsidR="006E161E">
        <w:t xml:space="preserve">aritime </w:t>
      </w:r>
      <w:r w:rsidRPr="001753E5">
        <w:t>C</w:t>
      </w:r>
      <w:r w:rsidR="006E161E">
        <w:t>ollege</w:t>
      </w:r>
      <w:r w:rsidRPr="001753E5">
        <w:t>, as the preferred tenderer</w:t>
      </w:r>
      <w:r>
        <w:t xml:space="preserve"> to provide services and functions related to amateur radio operator qualifications</w:t>
      </w:r>
      <w:r w:rsidRPr="001753E5">
        <w:t xml:space="preserve">. </w:t>
      </w:r>
      <w:r w:rsidRPr="006C504A">
        <w:t>The previous Deed of Agreement with the Wireless Institute of Australia operated for 10 years and expired on 1 February 2019.</w:t>
      </w:r>
      <w:r>
        <w:t xml:space="preserve"> </w:t>
      </w:r>
    </w:p>
    <w:p w14:paraId="05CB769E" w14:textId="77777777" w:rsidR="0083652C" w:rsidRDefault="0083652C" w:rsidP="00DE694D">
      <w:r w:rsidRPr="001753E5">
        <w:t xml:space="preserve">Under the new </w:t>
      </w:r>
      <w:r>
        <w:t>arrangements</w:t>
      </w:r>
      <w:r w:rsidRPr="001753E5">
        <w:t xml:space="preserve">, the </w:t>
      </w:r>
      <w:r>
        <w:t>AMC</w:t>
      </w:r>
      <w:r w:rsidRPr="001753E5">
        <w:t xml:space="preserve"> </w:t>
      </w:r>
      <w:r>
        <w:t xml:space="preserve">performs statutory functions and provides administrative services through delegation of powers and a new Deed of Agreement with the ACMA.  </w:t>
      </w:r>
    </w:p>
    <w:p w14:paraId="50A07088" w14:textId="2DEAB2FD" w:rsidR="008B4A81" w:rsidRPr="008B4A81" w:rsidRDefault="0083652C" w:rsidP="008713AA">
      <w:r w:rsidRPr="006C504A">
        <w:t xml:space="preserve">Before initiating the procurement process, the ACMA released a </w:t>
      </w:r>
      <w:hyperlink r:id="rId70" w:history="1">
        <w:r w:rsidRPr="001753E5">
          <w:rPr>
            <w:rStyle w:val="Hyperlink"/>
            <w:rFonts w:cs="Arial"/>
            <w:szCs w:val="20"/>
          </w:rPr>
          <w:t>consultation paper</w:t>
        </w:r>
      </w:hyperlink>
      <w:r w:rsidRPr="001753E5">
        <w:rPr>
          <w:rStyle w:val="Hyperlink"/>
          <w:rFonts w:cs="Arial"/>
          <w:szCs w:val="20"/>
        </w:rPr>
        <w:t xml:space="preserve"> </w:t>
      </w:r>
      <w:r w:rsidRPr="006C504A">
        <w:t xml:space="preserve">in June 2018 exploring future options for managing the services and functions </w:t>
      </w:r>
      <w:r>
        <w:t>currently</w:t>
      </w:r>
      <w:r w:rsidRPr="006C504A">
        <w:t xml:space="preserve"> provided under the Deed</w:t>
      </w:r>
      <w:r>
        <w:t>.</w:t>
      </w:r>
    </w:p>
    <w:p w14:paraId="360A015A" w14:textId="5137FFF1" w:rsidR="00266584" w:rsidRPr="005759E7" w:rsidRDefault="008B4A81">
      <w:pPr>
        <w:pStyle w:val="Heading2"/>
      </w:pPr>
      <w:bookmarkStart w:id="384" w:name="_Toc5025723"/>
      <w:bookmarkStart w:id="385" w:name="_Toc510104982"/>
      <w:bookmarkStart w:id="386" w:name="_Toc510105779"/>
      <w:bookmarkStart w:id="387" w:name="_Toc510795111"/>
      <w:bookmarkStart w:id="388" w:name="_Toc511716314"/>
      <w:bookmarkStart w:id="389" w:name="_Toc511719125"/>
      <w:bookmarkStart w:id="390" w:name="_Toc522794117"/>
      <w:r w:rsidRPr="005759E7">
        <w:t xml:space="preserve">New/ongoing activities planned for </w:t>
      </w:r>
      <w:r w:rsidR="004A6CDE">
        <w:t>20</w:t>
      </w:r>
      <w:r w:rsidRPr="005759E7">
        <w:t>1</w:t>
      </w:r>
      <w:r w:rsidR="00B76F6D">
        <w:t>9</w:t>
      </w:r>
      <w:r w:rsidR="004A6CDE">
        <w:t>–</w:t>
      </w:r>
      <w:r w:rsidR="00B76F6D">
        <w:t>20</w:t>
      </w:r>
      <w:bookmarkEnd w:id="384"/>
      <w:r w:rsidRPr="005759E7">
        <w:t xml:space="preserve"> </w:t>
      </w:r>
      <w:bookmarkEnd w:id="385"/>
      <w:bookmarkEnd w:id="386"/>
      <w:bookmarkEnd w:id="387"/>
      <w:bookmarkEnd w:id="388"/>
      <w:bookmarkEnd w:id="389"/>
      <w:bookmarkEnd w:id="390"/>
    </w:p>
    <w:p w14:paraId="38E2B269" w14:textId="4894FB4F" w:rsidR="008B4A81" w:rsidRDefault="00266584">
      <w:pPr>
        <w:pStyle w:val="Heading3"/>
      </w:pPr>
      <w:bookmarkStart w:id="391" w:name="_Reforming_arrangements_for"/>
      <w:bookmarkStart w:id="392" w:name="_Toc510104983"/>
      <w:bookmarkStart w:id="393" w:name="_Toc510105780"/>
      <w:bookmarkStart w:id="394" w:name="_Toc510795112"/>
      <w:bookmarkStart w:id="395" w:name="_Toc511716315"/>
      <w:bookmarkStart w:id="396" w:name="_Toc511719126"/>
      <w:bookmarkStart w:id="397" w:name="_Toc522794118"/>
      <w:bookmarkStart w:id="398" w:name="_Toc5025724"/>
      <w:bookmarkEnd w:id="391"/>
      <w:r>
        <w:t>Re</w:t>
      </w:r>
      <w:r w:rsidR="00425E89">
        <w:t>forming</w:t>
      </w:r>
      <w:r>
        <w:t xml:space="preserve"> </w:t>
      </w:r>
      <w:r w:rsidRPr="00455D60">
        <w:t>arrangements</w:t>
      </w:r>
      <w:r>
        <w:t xml:space="preserve"> for amateur certificates of proficiency</w:t>
      </w:r>
      <w:bookmarkEnd w:id="392"/>
      <w:bookmarkEnd w:id="393"/>
      <w:bookmarkEnd w:id="394"/>
      <w:bookmarkEnd w:id="395"/>
      <w:bookmarkEnd w:id="396"/>
      <w:bookmarkEnd w:id="397"/>
      <w:bookmarkEnd w:id="398"/>
    </w:p>
    <w:p w14:paraId="61905D19" w14:textId="6F3AB3C9" w:rsidR="00425E89" w:rsidRDefault="0075693F" w:rsidP="008713AA">
      <w:r>
        <w:rPr>
          <w:rFonts w:cs="Arial"/>
          <w:szCs w:val="20"/>
        </w:rPr>
        <w:t>During 2019</w:t>
      </w:r>
      <w:r w:rsidR="004E64E0">
        <w:rPr>
          <w:rFonts w:cs="Arial"/>
          <w:szCs w:val="20"/>
        </w:rPr>
        <w:t>–</w:t>
      </w:r>
      <w:r>
        <w:rPr>
          <w:rFonts w:cs="Arial"/>
          <w:szCs w:val="20"/>
        </w:rPr>
        <w:t>20, the ACMA will pursue the inclusion of</w:t>
      </w:r>
      <w:r w:rsidR="006C504A" w:rsidRPr="006C504A">
        <w:rPr>
          <w:rFonts w:cs="Arial"/>
          <w:szCs w:val="20"/>
        </w:rPr>
        <w:t xml:space="preserve"> </w:t>
      </w:r>
      <w:r w:rsidR="00425E89" w:rsidRPr="00425E89">
        <w:t xml:space="preserve">amateur </w:t>
      </w:r>
      <w:r w:rsidR="009C42E1">
        <w:t>qualifications as units</w:t>
      </w:r>
      <w:r w:rsidR="00D35B32">
        <w:t xml:space="preserve"> of competency</w:t>
      </w:r>
      <w:r w:rsidR="00B05171">
        <w:t xml:space="preserve"> </w:t>
      </w:r>
      <w:r>
        <w:t>in</w:t>
      </w:r>
      <w:r w:rsidR="00425E89" w:rsidRPr="00425E89">
        <w:t>to the Australian Qualifications Framework (AQF).</w:t>
      </w:r>
      <w:r w:rsidR="00D35B32">
        <w:t xml:space="preserve"> </w:t>
      </w:r>
      <w:r w:rsidR="00425E89" w:rsidRPr="00425E89">
        <w:t>The AQF is the national policy for regulated qualifications in Australian education and training and is regulated by the Australian Skills Quality Authority.</w:t>
      </w:r>
      <w:r w:rsidR="00425E89" w:rsidRPr="00425E89">
        <w:rPr>
          <w:rFonts w:asciiTheme="minorHAnsi" w:eastAsiaTheme="minorHAnsi" w:hAnsiTheme="minorHAnsi" w:cstheme="minorBidi"/>
          <w:sz w:val="22"/>
          <w:szCs w:val="22"/>
          <w:lang w:eastAsia="en-US"/>
        </w:rPr>
        <w:t xml:space="preserve"> </w:t>
      </w:r>
      <w:r w:rsidR="00D35B32">
        <w:t xml:space="preserve">Addition of amateur </w:t>
      </w:r>
      <w:r w:rsidR="009C42E1">
        <w:t>qualif</w:t>
      </w:r>
      <w:r w:rsidR="00160A4C">
        <w:t>i</w:t>
      </w:r>
      <w:r w:rsidR="009C42E1">
        <w:t>cations</w:t>
      </w:r>
      <w:r w:rsidR="00D35B32">
        <w:t xml:space="preserve"> to the AQF</w:t>
      </w:r>
      <w:r w:rsidR="00425E89">
        <w:t xml:space="preserve"> would enable </w:t>
      </w:r>
      <w:r w:rsidR="008543DB">
        <w:t xml:space="preserve">more </w:t>
      </w:r>
      <w:r w:rsidR="00934761">
        <w:t xml:space="preserve">education and training </w:t>
      </w:r>
      <w:r w:rsidR="008543DB">
        <w:t xml:space="preserve">bodies to provide a pathway for </w:t>
      </w:r>
      <w:r w:rsidR="00934761">
        <w:t xml:space="preserve">amateur </w:t>
      </w:r>
      <w:r w:rsidR="008543DB">
        <w:t xml:space="preserve">operators to be qualified, expanding user choice. </w:t>
      </w:r>
    </w:p>
    <w:p w14:paraId="6BE34261" w14:textId="45301B33" w:rsidR="008B4A81" w:rsidRDefault="00903166" w:rsidP="008713AA">
      <w:r>
        <w:t xml:space="preserve">Any modification of the existing arrangements would include </w:t>
      </w:r>
      <w:r w:rsidR="005C6E0F">
        <w:t xml:space="preserve">public </w:t>
      </w:r>
      <w:r>
        <w:t xml:space="preserve">consultation </w:t>
      </w:r>
      <w:r w:rsidR="00C10DEF">
        <w:t>about any required changes to</w:t>
      </w:r>
      <w:r>
        <w:t xml:space="preserve"> related legislative instruments</w:t>
      </w:r>
      <w:r w:rsidR="00C10DEF">
        <w:t>.</w:t>
      </w:r>
    </w:p>
    <w:p w14:paraId="4AA0F59B" w14:textId="4BD7B030" w:rsidR="00EB293C" w:rsidRPr="00C0487A" w:rsidRDefault="00EB293C" w:rsidP="008713AA">
      <w:r w:rsidRPr="009B6273">
        <w:lastRenderedPageBreak/>
        <w:t xml:space="preserve">The ACMA will establish a Syllabus Review Panel for amateur radio, consistent with </w:t>
      </w:r>
      <w:r w:rsidR="00E64F8E" w:rsidRPr="009B6273">
        <w:t>the</w:t>
      </w:r>
      <w:r w:rsidR="00E64F8E">
        <w:t xml:space="preserve"> arrangements under the new Deed of Agreement</w:t>
      </w:r>
      <w:r w:rsidRPr="009B6273">
        <w:t xml:space="preserve"> with the Australian Maritime College. The Panel </w:t>
      </w:r>
      <w:r w:rsidR="008677DE" w:rsidRPr="009B6273">
        <w:t>will ensure that the amateur radio syllabus</w:t>
      </w:r>
      <w:r w:rsidR="00E64F8E" w:rsidRPr="009B6273">
        <w:t xml:space="preserve"> for examinations</w:t>
      </w:r>
      <w:r w:rsidR="008677DE" w:rsidRPr="009B6273">
        <w:t xml:space="preserve"> continue</w:t>
      </w:r>
      <w:r w:rsidR="001230DA">
        <w:t>s</w:t>
      </w:r>
      <w:r w:rsidR="008677DE" w:rsidRPr="009B6273">
        <w:t xml:space="preserve"> to reflect the knowledge and skills necessary to operate an amateur station.</w:t>
      </w:r>
    </w:p>
    <w:p w14:paraId="08767416" w14:textId="77777777" w:rsidR="002D62C3" w:rsidRDefault="002D62C3">
      <w:pPr>
        <w:pStyle w:val="Heading3"/>
        <w:rPr>
          <w:rFonts w:ascii="Calibri" w:hAnsi="Calibri"/>
        </w:rPr>
      </w:pPr>
      <w:bookmarkStart w:id="399" w:name="_Toc522794119"/>
      <w:bookmarkStart w:id="400" w:name="_Toc5025725"/>
      <w:r>
        <w:t>Consideration of changes to amateur licence conditions</w:t>
      </w:r>
      <w:bookmarkEnd w:id="399"/>
      <w:bookmarkEnd w:id="400"/>
    </w:p>
    <w:p w14:paraId="1523ECA4" w14:textId="6477B763" w:rsidR="00B54015" w:rsidRDefault="0075693F" w:rsidP="00DE694D">
      <w:r>
        <w:t xml:space="preserve">The ACMA issues apparatus licences to applicants who have achieved the required amateur qualifications. </w:t>
      </w:r>
      <w:r w:rsidR="00B54015">
        <w:t xml:space="preserve">Operators of licensed amateur stations are subject to a range of licence conditions that are set out in the </w:t>
      </w:r>
      <w:hyperlink r:id="rId71" w:history="1">
        <w:r w:rsidR="007C3B13" w:rsidRPr="00DE694D">
          <w:rPr>
            <w:rStyle w:val="Hyperlink"/>
          </w:rPr>
          <w:t xml:space="preserve">Radiocommunications </w:t>
        </w:r>
        <w:r w:rsidR="00B54015" w:rsidRPr="00DE694D">
          <w:rPr>
            <w:rStyle w:val="Hyperlink"/>
          </w:rPr>
          <w:t>Act</w:t>
        </w:r>
        <w:r w:rsidR="007C3B13" w:rsidRPr="00DE694D">
          <w:rPr>
            <w:rStyle w:val="Hyperlink"/>
          </w:rPr>
          <w:t xml:space="preserve"> 1992</w:t>
        </w:r>
        <w:r w:rsidR="00B54015" w:rsidRPr="00C13349">
          <w:rPr>
            <w:rStyle w:val="Hyperlink"/>
          </w:rPr>
          <w:t xml:space="preserve">, the </w:t>
        </w:r>
        <w:r w:rsidR="00B54015" w:rsidRPr="00DE694D">
          <w:rPr>
            <w:rStyle w:val="Hyperlink"/>
          </w:rPr>
          <w:t>Radiocommunications Licence Conditions (Amateur Licence) Determination 2015</w:t>
        </w:r>
      </w:hyperlink>
      <w:r w:rsidR="00B54015" w:rsidRPr="008713AA">
        <w:t xml:space="preserve"> </w:t>
      </w:r>
      <w:r w:rsidR="00B54015">
        <w:t xml:space="preserve">(Amateur LCD) and in individual licences. </w:t>
      </w:r>
    </w:p>
    <w:p w14:paraId="0F5E9E32" w14:textId="471DC357" w:rsidR="002D62C3" w:rsidRDefault="00351CA6" w:rsidP="00DE694D">
      <w:r>
        <w:t>T</w:t>
      </w:r>
      <w:r w:rsidR="00A1714A">
        <w:t xml:space="preserve">he ACMA expects to </w:t>
      </w:r>
      <w:r w:rsidR="007E69B3">
        <w:t xml:space="preserve">commence </w:t>
      </w:r>
      <w:r w:rsidR="00A1714A">
        <w:t>consult</w:t>
      </w:r>
      <w:r w:rsidR="007356DC">
        <w:t>at</w:t>
      </w:r>
      <w:r w:rsidR="007E69B3">
        <w:t>ion</w:t>
      </w:r>
      <w:r w:rsidR="007E69B3" w:rsidDel="00290D0F">
        <w:t xml:space="preserve"> </w:t>
      </w:r>
      <w:r w:rsidR="00A1714A">
        <w:t xml:space="preserve">on potential changes to amateur licensing </w:t>
      </w:r>
      <w:r w:rsidR="00084C98">
        <w:t>conditions</w:t>
      </w:r>
      <w:r w:rsidR="00A1714A">
        <w:t xml:space="preserve"> in </w:t>
      </w:r>
      <w:r w:rsidR="005A199F">
        <w:t>Q</w:t>
      </w:r>
      <w:r w:rsidR="007E69B3">
        <w:t>4</w:t>
      </w:r>
      <w:r>
        <w:t xml:space="preserve"> </w:t>
      </w:r>
      <w:r w:rsidDel="007E69B3">
        <w:t>2018</w:t>
      </w:r>
      <w:r w:rsidR="004E64E0">
        <w:t>–</w:t>
      </w:r>
      <w:r w:rsidR="007E69B3">
        <w:t>19</w:t>
      </w:r>
      <w:r>
        <w:t xml:space="preserve"> following its</w:t>
      </w:r>
      <w:r w:rsidDel="007E69B3">
        <w:t xml:space="preserve"> </w:t>
      </w:r>
      <w:r>
        <w:t>review of submissions from the Wireless Institute of Australia and the Radio Amateur Society of Australia, requesting changes to the conditions under which amateur licensees operate</w:t>
      </w:r>
      <w:r w:rsidR="00A848D1">
        <w:t>.</w:t>
      </w:r>
      <w:r w:rsidR="007E69B3">
        <w:t xml:space="preserve"> The ACMA expects to take a staged approach to consultation on cha</w:t>
      </w:r>
      <w:r w:rsidR="002939EE">
        <w:t>n</w:t>
      </w:r>
      <w:r w:rsidR="007E69B3">
        <w:t xml:space="preserve">ges, and further consultation may be undertaken in </w:t>
      </w:r>
      <w:r w:rsidR="00290D0F">
        <w:t>Q1</w:t>
      </w:r>
      <w:r w:rsidR="004E64E0">
        <w:t>/</w:t>
      </w:r>
      <w:r w:rsidR="00290D0F">
        <w:t>2</w:t>
      </w:r>
      <w:r w:rsidR="007E69B3">
        <w:t xml:space="preserve"> 2019</w:t>
      </w:r>
      <w:r w:rsidR="004E64E0">
        <w:t>–</w:t>
      </w:r>
      <w:r w:rsidR="007E69B3">
        <w:t>20.</w:t>
      </w:r>
    </w:p>
    <w:p w14:paraId="3BE795D8" w14:textId="77777777" w:rsidR="00266584" w:rsidRPr="00E26672" w:rsidRDefault="000D7266" w:rsidP="00DE694D">
      <w:pPr>
        <w:pStyle w:val="Heading3"/>
      </w:pPr>
      <w:bookmarkStart w:id="401" w:name="_Toc510104984"/>
      <w:bookmarkStart w:id="402" w:name="_Toc510105781"/>
      <w:bookmarkStart w:id="403" w:name="_Toc510795113"/>
      <w:bookmarkStart w:id="404" w:name="_Toc511716316"/>
      <w:bookmarkStart w:id="405" w:name="_Toc511719127"/>
      <w:bookmarkStart w:id="406" w:name="_Toc522794120"/>
      <w:bookmarkStart w:id="407" w:name="_Toc5025726"/>
      <w:r w:rsidRPr="008713AA">
        <w:t xml:space="preserve">Enabling trials of </w:t>
      </w:r>
      <w:r w:rsidR="00266584" w:rsidRPr="008713AA">
        <w:t>mobile phone</w:t>
      </w:r>
      <w:r w:rsidR="00266584" w:rsidRPr="00E26672">
        <w:t xml:space="preserve"> jammers </w:t>
      </w:r>
      <w:bookmarkEnd w:id="401"/>
      <w:bookmarkEnd w:id="402"/>
      <w:r w:rsidRPr="00E26672">
        <w:t>in prisons</w:t>
      </w:r>
      <w:bookmarkEnd w:id="403"/>
      <w:bookmarkEnd w:id="404"/>
      <w:bookmarkEnd w:id="405"/>
      <w:bookmarkEnd w:id="406"/>
      <w:bookmarkEnd w:id="407"/>
    </w:p>
    <w:p w14:paraId="0E611091" w14:textId="236C7662" w:rsidR="00797B41" w:rsidRDefault="00110722">
      <w:r>
        <w:t xml:space="preserve">An exemption is in place for Corrective Services NSW </w:t>
      </w:r>
      <w:r w:rsidR="00797B41">
        <w:t>to conduct a trial</w:t>
      </w:r>
      <w:r>
        <w:t xml:space="preserve"> </w:t>
      </w:r>
      <w:r w:rsidR="00797B41">
        <w:t xml:space="preserve">of </w:t>
      </w:r>
      <w:r>
        <w:t xml:space="preserve">a mobile phone </w:t>
      </w:r>
      <w:r w:rsidR="00B52BCF">
        <w:t>jammer</w:t>
      </w:r>
      <w:r>
        <w:t xml:space="preserve"> at Goulburn Correctional Complex</w:t>
      </w:r>
      <w:r w:rsidR="00797B41">
        <w:t xml:space="preserve">, which will test the operation of </w:t>
      </w:r>
      <w:r w:rsidR="00B52BCF">
        <w:t>a</w:t>
      </w:r>
      <w:r w:rsidR="00797B41">
        <w:t xml:space="preserve"> jammer in a medium density locat</w:t>
      </w:r>
      <w:r w:rsidR="00B52BCF">
        <w:t>io</w:t>
      </w:r>
      <w:r w:rsidR="00797B41">
        <w:t>n</w:t>
      </w:r>
      <w:r>
        <w:t xml:space="preserve">. </w:t>
      </w:r>
      <w:r w:rsidR="00797B41">
        <w:t xml:space="preserve">The trial is expected to commence by the end of 2019. </w:t>
      </w:r>
    </w:p>
    <w:p w14:paraId="6027592B" w14:textId="5E72AC67" w:rsidR="00110722" w:rsidRDefault="00797B41">
      <w:r>
        <w:t>The ACMA continues to facilitate trials of mobile phone jammers and has approached other States and Territories to gauge their interest in conducting trials</w:t>
      </w:r>
      <w:r w:rsidR="00B52BCF">
        <w:t xml:space="preserve"> in low density locations</w:t>
      </w:r>
      <w:r>
        <w:t xml:space="preserve">. </w:t>
      </w:r>
      <w:r w:rsidR="002939EE">
        <w:t>The ACMA will consider any request from other jurisdictions on a case by case basis.</w:t>
      </w:r>
    </w:p>
    <w:p w14:paraId="5A60C343" w14:textId="27166BB2" w:rsidR="00266584" w:rsidRPr="00E26672" w:rsidRDefault="00CA3CCA" w:rsidP="00DE694D">
      <w:pPr>
        <w:pStyle w:val="Heading3"/>
      </w:pPr>
      <w:bookmarkStart w:id="408" w:name="_Toc510104985"/>
      <w:bookmarkStart w:id="409" w:name="_Toc510105782"/>
      <w:bookmarkStart w:id="410" w:name="_Toc510795114"/>
      <w:bookmarkStart w:id="411" w:name="_Toc511716317"/>
      <w:bookmarkStart w:id="412" w:name="_Toc511719128"/>
      <w:bookmarkStart w:id="413" w:name="_Toc522794121"/>
      <w:bookmarkStart w:id="414" w:name="_Toc5025727"/>
      <w:r w:rsidRPr="008713AA">
        <w:t>C</w:t>
      </w:r>
      <w:r w:rsidR="00266584" w:rsidRPr="008713AA">
        <w:t>hanges to VHF marine radio channels and their use</w:t>
      </w:r>
      <w:bookmarkEnd w:id="408"/>
      <w:bookmarkEnd w:id="409"/>
      <w:bookmarkEnd w:id="410"/>
      <w:bookmarkEnd w:id="411"/>
      <w:bookmarkEnd w:id="412"/>
      <w:bookmarkEnd w:id="413"/>
      <w:bookmarkEnd w:id="414"/>
    </w:p>
    <w:p w14:paraId="4D2FCCF0" w14:textId="7B2A7F87" w:rsidR="00266584" w:rsidRDefault="00E82CDB" w:rsidP="00DE694D">
      <w:r>
        <w:t>Following the 2018</w:t>
      </w:r>
      <w:r w:rsidR="00E16D5C">
        <w:t>–</w:t>
      </w:r>
      <w:r>
        <w:t xml:space="preserve">19 consultation and </w:t>
      </w:r>
      <w:r w:rsidR="00807CB9">
        <w:t xml:space="preserve">the </w:t>
      </w:r>
      <w:r w:rsidR="004A4E78">
        <w:t>WRC-19</w:t>
      </w:r>
      <w:r w:rsidR="00807CB9">
        <w:t xml:space="preserve">, the ACMA will consider what additional changes </w:t>
      </w:r>
      <w:r>
        <w:t>should</w:t>
      </w:r>
      <w:r w:rsidR="00807CB9">
        <w:t xml:space="preserve"> be made to the VHF marine radio channels and their use.</w:t>
      </w:r>
      <w:r w:rsidR="00266584">
        <w:t xml:space="preserve"> </w:t>
      </w:r>
      <w:r w:rsidR="00F346D9">
        <w:t>Based on submissions to the consultation paper, the ACMA is considering a number of changes to the Australian regulatory framework to bring it into line with international arrangements. Possible changes include bringing in new safety of life and search and rescue (SAR) technologies, provide greater protection to existing SAR channels and allocate more channels for use by commercial and recreational boaters in the VHF maritime mobile band.</w:t>
      </w:r>
    </w:p>
    <w:p w14:paraId="3DD5E6BC" w14:textId="77777777" w:rsidR="002717D0" w:rsidRDefault="002717D0">
      <w:pPr>
        <w:pStyle w:val="Heading3"/>
      </w:pPr>
      <w:bookmarkStart w:id="415" w:name="_Toc510795115"/>
      <w:bookmarkStart w:id="416" w:name="_Toc511716318"/>
      <w:bookmarkStart w:id="417" w:name="_Toc511719129"/>
      <w:bookmarkStart w:id="418" w:name="_Toc522794122"/>
      <w:bookmarkStart w:id="419" w:name="_Toc5025728"/>
      <w:r>
        <w:t xml:space="preserve">400 MHz </w:t>
      </w:r>
      <w:r w:rsidRPr="00455D60">
        <w:t>band</w:t>
      </w:r>
      <w:bookmarkEnd w:id="415"/>
      <w:bookmarkEnd w:id="416"/>
      <w:bookmarkEnd w:id="417"/>
      <w:bookmarkEnd w:id="418"/>
      <w:bookmarkEnd w:id="419"/>
    </w:p>
    <w:p w14:paraId="52018214" w14:textId="77777777" w:rsidR="00B514B8" w:rsidRDefault="002717D0">
      <w:pPr>
        <w:rPr>
          <w:rFonts w:cs="Arial"/>
          <w:szCs w:val="20"/>
        </w:rPr>
      </w:pPr>
      <w:r>
        <w:t xml:space="preserve">The ACMA is preparing for the final milestone period of the 400 MHz </w:t>
      </w:r>
      <w:r w:rsidR="00B91108">
        <w:t>i</w:t>
      </w:r>
      <w:r>
        <w:t>mplementation project</w:t>
      </w:r>
      <w:r w:rsidR="00B709BF">
        <w:t xml:space="preserve"> during 2019</w:t>
      </w:r>
      <w:r w:rsidR="00B91108">
        <w:t>–</w:t>
      </w:r>
      <w:r w:rsidR="00B709BF">
        <w:t>20</w:t>
      </w:r>
      <w:r>
        <w:rPr>
          <w:color w:val="1F497D"/>
        </w:rPr>
        <w:t>.</w:t>
      </w:r>
      <w:r>
        <w:t xml:space="preserve"> </w:t>
      </w:r>
      <w:r>
        <w:rPr>
          <w:color w:val="1F497D"/>
        </w:rPr>
        <w:t>T</w:t>
      </w:r>
      <w:r>
        <w:t>his will complete the necessary transition of licences to appropriate segments of the 400 MHz band. The ACMA continue</w:t>
      </w:r>
      <w:r w:rsidR="00992F7E">
        <w:t>s</w:t>
      </w:r>
      <w:r>
        <w:t xml:space="preserve"> to work closely with state and territory governments</w:t>
      </w:r>
      <w:r w:rsidR="00B91108">
        <w:t>,</w:t>
      </w:r>
      <w:r>
        <w:t xml:space="preserve"> as well as industry participants and representative organisations that are yet to complete their transition requirements in the 400 MHz band.</w:t>
      </w:r>
    </w:p>
    <w:p w14:paraId="0969CAAF" w14:textId="019D2ABB" w:rsidR="00B72261" w:rsidRDefault="00B72261">
      <w:pPr>
        <w:pStyle w:val="Heading3"/>
      </w:pPr>
      <w:bookmarkStart w:id="420" w:name="_Toc5025729"/>
      <w:bookmarkStart w:id="421" w:name="_Toc510795116"/>
      <w:bookmarkStart w:id="422" w:name="_Toc511716319"/>
      <w:bookmarkStart w:id="423" w:name="_Toc511719130"/>
      <w:bookmarkStart w:id="424" w:name="_Toc522794123"/>
      <w:r>
        <w:t>Review of prohibition declarations and exemption determinations</w:t>
      </w:r>
      <w:bookmarkEnd w:id="420"/>
    </w:p>
    <w:p w14:paraId="7C8EA98D" w14:textId="2FECC32B" w:rsidR="0082214D" w:rsidRDefault="00B72261">
      <w:r>
        <w:t xml:space="preserve">The ACMA has prohibited two </w:t>
      </w:r>
      <w:r w:rsidR="0082214D">
        <w:t xml:space="preserve">kinds of </w:t>
      </w:r>
      <w:r>
        <w:t>devices: mobile phone jammers (</w:t>
      </w:r>
      <w:r w:rsidR="0082214D">
        <w:t>public mobile telecommunications service jamming devices</w:t>
      </w:r>
      <w:r>
        <w:t>) and radionavigation-satellite service (RNSS) jammers</w:t>
      </w:r>
      <w:r w:rsidR="0082214D">
        <w:t>, which include GPS jamming devices</w:t>
      </w:r>
      <w:r>
        <w:t>.</w:t>
      </w:r>
      <w:r w:rsidR="000810FF">
        <w:t xml:space="preserve"> The ACMA may determine exemptions from the prohibition determinations</w:t>
      </w:r>
      <w:r w:rsidR="006615ED">
        <w:t>,</w:t>
      </w:r>
      <w:r w:rsidR="000810FF">
        <w:t xml:space="preserve"> and from other parts of the </w:t>
      </w:r>
      <w:r w:rsidR="002C64E4" w:rsidRPr="00596594">
        <w:rPr>
          <w:i/>
        </w:rPr>
        <w:t xml:space="preserve">Radiocommunications </w:t>
      </w:r>
      <w:r w:rsidR="000810FF" w:rsidRPr="00596594">
        <w:rPr>
          <w:i/>
        </w:rPr>
        <w:t xml:space="preserve">Act </w:t>
      </w:r>
      <w:r w:rsidR="002C64E4" w:rsidRPr="00596594">
        <w:rPr>
          <w:i/>
        </w:rPr>
        <w:t>1992</w:t>
      </w:r>
      <w:r w:rsidR="006615ED">
        <w:t>,</w:t>
      </w:r>
      <w:r w:rsidR="000810FF">
        <w:t xml:space="preserve"> </w:t>
      </w:r>
      <w:r w:rsidR="00B6778B">
        <w:t>in favour of</w:t>
      </w:r>
      <w:r w:rsidR="000810FF">
        <w:t xml:space="preserve"> a narrow range o</w:t>
      </w:r>
      <w:r w:rsidR="00B6778B">
        <w:t>f</w:t>
      </w:r>
      <w:r w:rsidR="000810FF">
        <w:t xml:space="preserve"> persons.</w:t>
      </w:r>
    </w:p>
    <w:p w14:paraId="3C5C1C05" w14:textId="682F434C" w:rsidR="000810FF" w:rsidRDefault="0082214D">
      <w:r>
        <w:lastRenderedPageBreak/>
        <w:t>During 2019</w:t>
      </w:r>
      <w:r w:rsidR="00163513">
        <w:t>–</w:t>
      </w:r>
      <w:r>
        <w:t xml:space="preserve">20, the ACMA will consider whether the prohibition </w:t>
      </w:r>
      <w:r w:rsidR="000810FF">
        <w:t xml:space="preserve">framework is operating </w:t>
      </w:r>
      <w:r>
        <w:t xml:space="preserve">as intended, and whether the range of devices to which </w:t>
      </w:r>
      <w:r w:rsidR="000810FF">
        <w:t xml:space="preserve">prohibition declarations </w:t>
      </w:r>
      <w:r>
        <w:t>apply remains appropriate.</w:t>
      </w:r>
      <w:r w:rsidR="000810FF">
        <w:t xml:space="preserve"> In parallel, the ACMA will consider the scope and applicability of exemption determinations.</w:t>
      </w:r>
    </w:p>
    <w:p w14:paraId="1EE8138E" w14:textId="08DA5D4B" w:rsidR="00B96C20" w:rsidRDefault="00B96C20">
      <w:pPr>
        <w:pStyle w:val="Heading3"/>
      </w:pPr>
      <w:bookmarkStart w:id="425" w:name="_Toc5025730"/>
      <w:r>
        <w:t xml:space="preserve">Drone </w:t>
      </w:r>
      <w:r w:rsidRPr="00455D60">
        <w:t>regulation</w:t>
      </w:r>
      <w:bookmarkEnd w:id="421"/>
      <w:bookmarkEnd w:id="422"/>
      <w:bookmarkEnd w:id="423"/>
      <w:bookmarkEnd w:id="424"/>
      <w:bookmarkEnd w:id="425"/>
    </w:p>
    <w:p w14:paraId="045C9E5C" w14:textId="77777777" w:rsidR="00E22A5B" w:rsidRDefault="00600239">
      <w:r>
        <w:t>Unmanned Aircraft Systems</w:t>
      </w:r>
      <w:r w:rsidR="00163513">
        <w:t xml:space="preserve">, also known as </w:t>
      </w:r>
      <w:r w:rsidR="00B96C20">
        <w:t>Remotely Piloted Aircraft Systems</w:t>
      </w:r>
      <w:r w:rsidR="00163513">
        <w:t xml:space="preserve">, and </w:t>
      </w:r>
      <w:r w:rsidR="00B96C20">
        <w:t xml:space="preserve">commonly known as drones, have become increasingly popular with hobbyists and commercial users. Drones rely on radiocommunications for remote piloting and other uses such as video and sensing. </w:t>
      </w:r>
    </w:p>
    <w:p w14:paraId="562981E4" w14:textId="30B0A953" w:rsidR="00163513" w:rsidRDefault="00B96C20">
      <w:r>
        <w:t>The ACMA has engaged with an inter-departmental contact network</w:t>
      </w:r>
      <w:r w:rsidR="00B91108">
        <w:t>,</w:t>
      </w:r>
      <w:r>
        <w:t xml:space="preserve"> which is considering management of drones from a range of </w:t>
      </w:r>
      <w:r w:rsidR="005932F3">
        <w:t xml:space="preserve">policy </w:t>
      </w:r>
      <w:r>
        <w:t>perspectives. During 201</w:t>
      </w:r>
      <w:r w:rsidR="00163513">
        <w:t>9</w:t>
      </w:r>
      <w:r w:rsidR="00B91108">
        <w:t>–</w:t>
      </w:r>
      <w:r w:rsidR="00163513">
        <w:t>20</w:t>
      </w:r>
      <w:r>
        <w:t xml:space="preserve">, the ACMA </w:t>
      </w:r>
      <w:r w:rsidR="00163513">
        <w:t>will continue to</w:t>
      </w:r>
      <w:r w:rsidR="00784268">
        <w:t xml:space="preserve"> contribute to this network, and will continue to </w:t>
      </w:r>
      <w:r w:rsidR="00163513">
        <w:t xml:space="preserve">monitor the licensing requirements for drones with reference to international developments in spectrum management.  </w:t>
      </w:r>
    </w:p>
    <w:p w14:paraId="4DF1F76B" w14:textId="02C0849E" w:rsidR="00B96C20" w:rsidRDefault="00163513">
      <w:r>
        <w:t xml:space="preserve">As drones are becoming increasingly widespread, </w:t>
      </w:r>
      <w:r w:rsidR="00452901">
        <w:t xml:space="preserve">so too are concerns about their use. </w:t>
      </w:r>
      <w:r w:rsidR="003D01E3">
        <w:t xml:space="preserve">The ACMA is currently </w:t>
      </w:r>
      <w:r w:rsidR="002C64E4">
        <w:t xml:space="preserve">working </w:t>
      </w:r>
      <w:r w:rsidR="003D01E3">
        <w:t>with aviation</w:t>
      </w:r>
      <w:r w:rsidR="006E161E">
        <w:t xml:space="preserve"> safety</w:t>
      </w:r>
      <w:r w:rsidR="003D01E3">
        <w:t xml:space="preserve"> regulators</w:t>
      </w:r>
      <w:r w:rsidR="00E16D5C">
        <w:t>,</w:t>
      </w:r>
      <w:r w:rsidR="003D01E3">
        <w:t xml:space="preserve"> law enforcement and security agencie</w:t>
      </w:r>
      <w:r w:rsidR="002C64E4">
        <w:t>s, and is monitoring international approaches to detecting and responding to incidents where drones could pose a risk to safety and security.</w:t>
      </w:r>
      <w:r w:rsidR="00D861D9">
        <w:t xml:space="preserve"> In </w:t>
      </w:r>
      <w:r w:rsidR="00D861D9" w:rsidRPr="00DE694D">
        <w:t>March 2019,</w:t>
      </w:r>
      <w:r w:rsidR="00D861D9" w:rsidRPr="00D861D9">
        <w:t xml:space="preserve"> the ACMA initiated </w:t>
      </w:r>
      <w:r w:rsidR="00D861D9" w:rsidRPr="00DE694D">
        <w:t>consultation</w:t>
      </w:r>
      <w:r w:rsidR="00D861D9">
        <w:t xml:space="preserve"> on proposed exemption arrangements that would allow the Australian Federal Police (AFP) to deploy drone jamming equipment over a two-year period.</w:t>
      </w:r>
      <w:r w:rsidR="002C64E4">
        <w:t xml:space="preserve"> I</w:t>
      </w:r>
      <w:r w:rsidR="003D01E3">
        <w:t xml:space="preserve">n 2019–20, the ACMA </w:t>
      </w:r>
      <w:r w:rsidR="005E2F24">
        <w:t>will</w:t>
      </w:r>
      <w:r w:rsidR="00784268">
        <w:t xml:space="preserve"> consult on </w:t>
      </w:r>
      <w:r w:rsidR="005E2F24">
        <w:t xml:space="preserve">any </w:t>
      </w:r>
      <w:r w:rsidR="00761E91">
        <w:t xml:space="preserve">required </w:t>
      </w:r>
      <w:r w:rsidR="005E2F24">
        <w:t xml:space="preserve">changes to </w:t>
      </w:r>
      <w:r w:rsidR="00B96C20">
        <w:t xml:space="preserve">regulatory </w:t>
      </w:r>
      <w:r w:rsidR="00784268">
        <w:t>arrangements for counter-drone equipment.</w:t>
      </w:r>
    </w:p>
    <w:p w14:paraId="07BF5E7F" w14:textId="5EC563B1" w:rsidR="007412CD" w:rsidRDefault="00A802B9">
      <w:pPr>
        <w:pStyle w:val="Heading3"/>
      </w:pPr>
      <w:bookmarkStart w:id="426" w:name="_Developing_a_spectrum-space"/>
      <w:bookmarkStart w:id="427" w:name="_Toc5025731"/>
      <w:bookmarkEnd w:id="426"/>
      <w:r>
        <w:t>Exploring</w:t>
      </w:r>
      <w:r w:rsidR="00F74531">
        <w:t xml:space="preserve"> the </w:t>
      </w:r>
      <w:r>
        <w:t>design</w:t>
      </w:r>
      <w:r w:rsidR="00F74531">
        <w:t xml:space="preserve"> of </w:t>
      </w:r>
      <w:r w:rsidR="00D91A40">
        <w:t>a</w:t>
      </w:r>
      <w:r w:rsidR="00F74531">
        <w:t xml:space="preserve"> </w:t>
      </w:r>
      <w:r w:rsidR="008D2392">
        <w:t>s</w:t>
      </w:r>
      <w:r w:rsidR="007412CD">
        <w:t>pectrum</w:t>
      </w:r>
      <w:r w:rsidR="00C75EC8">
        <w:t xml:space="preserve"> </w:t>
      </w:r>
      <w:r w:rsidR="007412CD">
        <w:t>space apparatus licence</w:t>
      </w:r>
      <w:bookmarkEnd w:id="427"/>
    </w:p>
    <w:p w14:paraId="557E6A8A" w14:textId="5058B5C2" w:rsidR="00A919EC" w:rsidRDefault="00FD64D4">
      <w:bookmarkStart w:id="428" w:name="_Hlk2682095"/>
      <w:r>
        <w:t xml:space="preserve">The ACMA is </w:t>
      </w:r>
      <w:r w:rsidR="00003CFD">
        <w:t>exploring whether it might design a new</w:t>
      </w:r>
      <w:r w:rsidR="00F74531">
        <w:t xml:space="preserve"> </w:t>
      </w:r>
      <w:r w:rsidR="00964E90">
        <w:t>spectrum</w:t>
      </w:r>
      <w:r w:rsidR="00C75EC8">
        <w:t xml:space="preserve"> </w:t>
      </w:r>
      <w:r w:rsidR="00964E90">
        <w:t xml:space="preserve">space </w:t>
      </w:r>
      <w:r>
        <w:t>apparatus licence type</w:t>
      </w:r>
      <w:r w:rsidR="00964E90">
        <w:t xml:space="preserve">. </w:t>
      </w:r>
    </w:p>
    <w:bookmarkEnd w:id="428"/>
    <w:p w14:paraId="439B56F0" w14:textId="3439D71B" w:rsidR="00A919EC" w:rsidRDefault="00964E90">
      <w:r>
        <w:t>Currently, apparatus licence types are generally linked to a specifi</w:t>
      </w:r>
      <w:r w:rsidR="00133204">
        <w:t>c</w:t>
      </w:r>
      <w:r>
        <w:t xml:space="preserve"> purpose (e.g. a maritime licence is for maritime purposes). </w:t>
      </w:r>
      <w:r w:rsidR="00DA4A50">
        <w:t xml:space="preserve">A </w:t>
      </w:r>
      <w:r>
        <w:t>spectrum</w:t>
      </w:r>
      <w:r w:rsidR="00C75EC8">
        <w:t xml:space="preserve"> </w:t>
      </w:r>
      <w:r>
        <w:t>space</w:t>
      </w:r>
      <w:r w:rsidR="00DA4A50">
        <w:t xml:space="preserve"> apparatus</w:t>
      </w:r>
      <w:r>
        <w:t xml:space="preserve"> licence would not be linked to a specifi</w:t>
      </w:r>
      <w:r w:rsidR="00133204">
        <w:t>c</w:t>
      </w:r>
      <w:r>
        <w:t xml:space="preserve"> use and </w:t>
      </w:r>
      <w:r w:rsidR="00DA4A50">
        <w:t xml:space="preserve">could </w:t>
      </w:r>
      <w:r w:rsidR="003B7ABD">
        <w:t>allow the licensee to operate multiple</w:t>
      </w:r>
      <w:r w:rsidR="00594E79">
        <w:t xml:space="preserve"> radiocommunications</w:t>
      </w:r>
      <w:r w:rsidR="003B7ABD">
        <w:t xml:space="preserve"> devices at a specified frequency</w:t>
      </w:r>
      <w:r w:rsidR="00425E89">
        <w:t xml:space="preserve"> or frequencies</w:t>
      </w:r>
      <w:r w:rsidR="003B7ABD">
        <w:t xml:space="preserve"> in a specified geographic area, subject to any conditions on the licence that the ACMA considers appropriate.</w:t>
      </w:r>
      <w:r w:rsidR="003C1919">
        <w:t xml:space="preserve"> </w:t>
      </w:r>
      <w:r w:rsidR="00F74531">
        <w:t>Such a</w:t>
      </w:r>
      <w:r w:rsidR="003C6272">
        <w:t xml:space="preserve"> spectrum</w:t>
      </w:r>
      <w:r w:rsidR="00C75EC8">
        <w:t xml:space="preserve"> </w:t>
      </w:r>
      <w:r w:rsidR="003C6272">
        <w:t xml:space="preserve">space apparatus licence would provide analogous technical and operational flexibility to a spectrum licence. </w:t>
      </w:r>
      <w:r w:rsidR="009572F0">
        <w:t>The spectrum</w:t>
      </w:r>
      <w:r w:rsidR="00C75EC8">
        <w:t xml:space="preserve"> </w:t>
      </w:r>
      <w:r w:rsidR="009572F0">
        <w:t>space licence</w:t>
      </w:r>
      <w:r w:rsidR="003C1919">
        <w:t xml:space="preserve"> would assist </w:t>
      </w:r>
      <w:r w:rsidR="009572F0">
        <w:t xml:space="preserve">the ACMA </w:t>
      </w:r>
      <w:r w:rsidR="003C1919">
        <w:t xml:space="preserve">in authorising new and emerging technologies in use-cases where spectrum licensing may be inappropriate. </w:t>
      </w:r>
    </w:p>
    <w:p w14:paraId="6CECF6B4" w14:textId="31E4D5C2" w:rsidR="00964E90" w:rsidRPr="00172B26" w:rsidRDefault="00DC26B6">
      <w:r>
        <w:t>The ACMA expects to consult</w:t>
      </w:r>
      <w:r w:rsidR="00461ED8">
        <w:t xml:space="preserve"> with stakeholders</w:t>
      </w:r>
      <w:r>
        <w:t xml:space="preserve"> </w:t>
      </w:r>
      <w:r w:rsidR="00461ED8">
        <w:t xml:space="preserve">as part of its exploration of the design of </w:t>
      </w:r>
      <w:r w:rsidR="003C6272">
        <w:t xml:space="preserve">a </w:t>
      </w:r>
      <w:r>
        <w:t>spectrum space licence type in Q</w:t>
      </w:r>
      <w:r w:rsidR="00DA4A50">
        <w:t>4</w:t>
      </w:r>
      <w:r>
        <w:t xml:space="preserve"> </w:t>
      </w:r>
      <w:r w:rsidR="00583DF2">
        <w:t>20</w:t>
      </w:r>
      <w:r w:rsidR="00DA4A50">
        <w:t>18</w:t>
      </w:r>
      <w:r w:rsidR="004E64E0">
        <w:t>–</w:t>
      </w:r>
      <w:r w:rsidR="00583DF2">
        <w:t>19</w:t>
      </w:r>
      <w:r>
        <w:t xml:space="preserve">. </w:t>
      </w:r>
    </w:p>
    <w:p w14:paraId="5AA8CDCD" w14:textId="51E1B38F" w:rsidR="007412CD" w:rsidRPr="007412CD" w:rsidRDefault="00BB5498">
      <w:pPr>
        <w:pStyle w:val="Heading3"/>
      </w:pPr>
      <w:bookmarkStart w:id="429" w:name="_Toc5025732"/>
      <w:r w:rsidRPr="00BB5498">
        <w:t xml:space="preserve">Review </w:t>
      </w:r>
      <w:r w:rsidR="003F77BF">
        <w:t xml:space="preserve">of </w:t>
      </w:r>
      <w:r w:rsidR="00E0549C">
        <w:t xml:space="preserve">non-assigned </w:t>
      </w:r>
      <w:r w:rsidRPr="00BB5498">
        <w:t>amateur and outpost licensing arrangements with a view to reform</w:t>
      </w:r>
      <w:bookmarkEnd w:id="429"/>
      <w:r w:rsidRPr="00BB5498" w:rsidDel="00BB5498">
        <w:t xml:space="preserve"> </w:t>
      </w:r>
    </w:p>
    <w:p w14:paraId="0FBC0D8E" w14:textId="2A45061A" w:rsidR="00862B0E" w:rsidRDefault="003008C8">
      <w:r>
        <w:t xml:space="preserve">The ACMA is </w:t>
      </w:r>
      <w:r w:rsidR="00DE65F3">
        <w:t>considering</w:t>
      </w:r>
      <w:r w:rsidR="00E74EE6">
        <w:t xml:space="preserve"> </w:t>
      </w:r>
      <w:r w:rsidR="001700A7">
        <w:t xml:space="preserve">the </w:t>
      </w:r>
      <w:r w:rsidR="003F5050">
        <w:t xml:space="preserve">best licensing mechanisms and conditions </w:t>
      </w:r>
      <w:r w:rsidR="00E0549C">
        <w:t>for</w:t>
      </w:r>
      <w:r w:rsidR="00A919EC" w:rsidDel="000E352E">
        <w:t xml:space="preserve"> </w:t>
      </w:r>
      <w:r w:rsidR="00A919EC">
        <w:t>non-assigned amateur and outpost licences</w:t>
      </w:r>
      <w:r>
        <w:t xml:space="preserve">. </w:t>
      </w:r>
      <w:r w:rsidR="003B7ABD">
        <w:t>Non-assigned licences are apparatus licences that authorise the operations of a radiocommunications device, but do not include a specific frequency</w:t>
      </w:r>
      <w:r>
        <w:t xml:space="preserve"> and </w:t>
      </w:r>
      <w:r w:rsidR="00BA183E">
        <w:t>instead operate within a general part of the spectrum identified for similar activities</w:t>
      </w:r>
      <w:r w:rsidR="001B450C">
        <w:t xml:space="preserve"> as specified</w:t>
      </w:r>
      <w:r w:rsidR="00BA183E">
        <w:t xml:space="preserve"> in the relevant licence condition determination</w:t>
      </w:r>
      <w:r>
        <w:t>. Non-assigned licences are currently issued as part of the amateur, maritime, scientific and outpost licence types</w:t>
      </w:r>
      <w:r w:rsidR="003B7ABD">
        <w:t>.</w:t>
      </w:r>
      <w:r w:rsidR="00BA183E">
        <w:t xml:space="preserve"> </w:t>
      </w:r>
    </w:p>
    <w:p w14:paraId="065153C9" w14:textId="09268DF1" w:rsidR="000E352E" w:rsidRDefault="000E352E">
      <w:r>
        <w:t xml:space="preserve">The Spectrum Review provides a basis for the ACMA to consider the form and content of these licences. In preparing for an evolution in radiocommunications licensing, the </w:t>
      </w:r>
      <w:r w:rsidR="001E3005">
        <w:t>A</w:t>
      </w:r>
      <w:r>
        <w:t>CMA is keen to ensure that the transaction cost</w:t>
      </w:r>
      <w:r w:rsidR="001418A5">
        <w:t>s</w:t>
      </w:r>
      <w:r>
        <w:t xml:space="preserve"> faced by licen</w:t>
      </w:r>
      <w:r w:rsidR="00FF193F">
        <w:t>s</w:t>
      </w:r>
      <w:r>
        <w:t xml:space="preserve">ees </w:t>
      </w:r>
      <w:r w:rsidR="006E161E">
        <w:t xml:space="preserve">and the ACMA </w:t>
      </w:r>
      <w:r>
        <w:lastRenderedPageBreak/>
        <w:t>are minimised to the extent possible</w:t>
      </w:r>
      <w:r w:rsidR="001E3005">
        <w:t>,</w:t>
      </w:r>
      <w:r>
        <w:t xml:space="preserve"> and that opportunities for </w:t>
      </w:r>
      <w:r w:rsidR="007A1CF3">
        <w:t>appro</w:t>
      </w:r>
      <w:r w:rsidR="00A35596">
        <w:t>pr</w:t>
      </w:r>
      <w:r w:rsidR="007A1CF3">
        <w:t xml:space="preserve">iate </w:t>
      </w:r>
      <w:r>
        <w:t>self</w:t>
      </w:r>
      <w:r w:rsidR="007A1CF3">
        <w:t>-</w:t>
      </w:r>
      <w:r>
        <w:t xml:space="preserve">regulation </w:t>
      </w:r>
      <w:r w:rsidR="007A1CF3">
        <w:t>are realised</w:t>
      </w:r>
      <w:r w:rsidR="001E3005">
        <w:t>, while recognising the continuing need for callsigns and</w:t>
      </w:r>
      <w:r w:rsidR="00B2469C">
        <w:t>—</w:t>
      </w:r>
      <w:r w:rsidR="001E3005">
        <w:t>in the case of amateur licensees</w:t>
      </w:r>
      <w:r w:rsidR="00B2469C">
        <w:t>—</w:t>
      </w:r>
      <w:r w:rsidR="001E3005">
        <w:t>appropriate qualifications</w:t>
      </w:r>
      <w:r w:rsidR="007A1CF3">
        <w:t>.</w:t>
      </w:r>
    </w:p>
    <w:p w14:paraId="7C283A91" w14:textId="197AE2D8" w:rsidR="00DD43C0" w:rsidRDefault="003C6272">
      <w:r>
        <w:t xml:space="preserve">The ACMA expects to consult on </w:t>
      </w:r>
      <w:r w:rsidR="001E3005">
        <w:t xml:space="preserve">options for associated licensing arrangements </w:t>
      </w:r>
      <w:r>
        <w:t xml:space="preserve">in </w:t>
      </w:r>
      <w:r w:rsidR="001E3005">
        <w:t>Q2 2019</w:t>
      </w:r>
      <w:r w:rsidR="004E64E0">
        <w:t>–</w:t>
      </w:r>
      <w:r w:rsidR="001E3005">
        <w:t>20</w:t>
      </w:r>
      <w:r w:rsidR="00383FEF">
        <w:t xml:space="preserve">. </w:t>
      </w:r>
    </w:p>
    <w:p w14:paraId="2A28890E" w14:textId="3AE01E05" w:rsidR="009B3A56" w:rsidRPr="007412CD" w:rsidRDefault="001E3005">
      <w:pPr>
        <w:pStyle w:val="Heading3"/>
      </w:pPr>
      <w:bookmarkStart w:id="430" w:name="_Reforming_the_apparatus"/>
      <w:bookmarkStart w:id="431" w:name="_Toc5025733"/>
      <w:bookmarkEnd w:id="430"/>
      <w:r w:rsidRPr="002460EB">
        <w:rPr>
          <w:rFonts w:cstheme="minorHAnsi"/>
        </w:rPr>
        <w:t>Review</w:t>
      </w:r>
      <w:r w:rsidR="003F77BF">
        <w:rPr>
          <w:rFonts w:cstheme="minorHAnsi"/>
        </w:rPr>
        <w:t xml:space="preserve"> of</w:t>
      </w:r>
      <w:r w:rsidRPr="002460EB">
        <w:rPr>
          <w:rFonts w:cstheme="minorHAnsi"/>
        </w:rPr>
        <w:t xml:space="preserve"> elements of the existing apparatus licensing </w:t>
      </w:r>
      <w:r w:rsidR="009B3A56">
        <w:t>framework</w:t>
      </w:r>
      <w:bookmarkEnd w:id="431"/>
    </w:p>
    <w:p w14:paraId="2BA18CDB" w14:textId="77777777" w:rsidR="00F30B2D" w:rsidRDefault="00E74EE6">
      <w:r>
        <w:t xml:space="preserve">The apparatus licensing framework is made up of the regulatory instruments, technical planning documents and operational practices that determine how apparatus licences are used and how the apparatus licensing system functions. </w:t>
      </w:r>
      <w:r w:rsidR="00F30B2D">
        <w:t xml:space="preserve">A recurring issue with the framework has been its complexity and difficulty for users to navigate and understand. </w:t>
      </w:r>
      <w:r w:rsidR="009B3A56">
        <w:t xml:space="preserve">The ACMA is </w:t>
      </w:r>
      <w:r w:rsidR="00880180">
        <w:t>investigating</w:t>
      </w:r>
      <w:r w:rsidR="009B3A56">
        <w:t xml:space="preserve"> </w:t>
      </w:r>
      <w:r w:rsidR="00852337">
        <w:t xml:space="preserve">potential reforms </w:t>
      </w:r>
      <w:r w:rsidR="00E03185">
        <w:t>to</w:t>
      </w:r>
      <w:r w:rsidR="00F30B2D">
        <w:t xml:space="preserve"> improve</w:t>
      </w:r>
      <w:r w:rsidR="00852337">
        <w:t xml:space="preserve"> the apparatus licensing </w:t>
      </w:r>
      <w:r w:rsidR="00F30B2D">
        <w:t xml:space="preserve">framework by identifying and reducing complexity, providing users with greater operational flexibility and reducing operational costs. </w:t>
      </w:r>
    </w:p>
    <w:p w14:paraId="71105FB3" w14:textId="502EB9FA" w:rsidR="00852337" w:rsidRDefault="0078563E" w:rsidP="00DE694D">
      <w:pPr>
        <w:spacing w:after="80"/>
      </w:pPr>
      <w:r>
        <w:t>P</w:t>
      </w:r>
      <w:r w:rsidR="00852337">
        <w:t xml:space="preserve">otential </w:t>
      </w:r>
      <w:r w:rsidR="00B31453">
        <w:t xml:space="preserve">areas of </w:t>
      </w:r>
      <w:r w:rsidR="00852337">
        <w:t>reform include:</w:t>
      </w:r>
    </w:p>
    <w:p w14:paraId="5E59600B" w14:textId="271FFA12" w:rsidR="00852337" w:rsidRDefault="00852337" w:rsidP="00DE694D">
      <w:pPr>
        <w:pStyle w:val="ListBullet"/>
      </w:pPr>
      <w:r>
        <w:t xml:space="preserve">determining whether </w:t>
      </w:r>
      <w:r w:rsidR="009B3A56">
        <w:t>the existing types of apparatus licence are still appropriate</w:t>
      </w:r>
      <w:r w:rsidR="004179D9">
        <w:t>, and considering reducing the number of types and licensing option where suitable</w:t>
      </w:r>
    </w:p>
    <w:p w14:paraId="48F80827" w14:textId="7AE92A8B" w:rsidR="00852337" w:rsidRDefault="009B3A56" w:rsidP="00DE694D">
      <w:pPr>
        <w:pStyle w:val="ListBullet"/>
      </w:pPr>
      <w:r>
        <w:t>identifying the key spectrum management issues associated with these licence types, including any unnecessary regulatory barriers resulting from the licence types</w:t>
      </w:r>
    </w:p>
    <w:p w14:paraId="35B4A507" w14:textId="66806962" w:rsidR="00852337" w:rsidRDefault="009B3A56" w:rsidP="00DE694D">
      <w:pPr>
        <w:pStyle w:val="ListBulletLast"/>
      </w:pPr>
      <w:r>
        <w:t>identifying opportunities</w:t>
      </w:r>
      <w:r w:rsidR="00852337">
        <w:t xml:space="preserve"> in the legislative and non-legislative instruments that make up the apparatus licensing framework</w:t>
      </w:r>
      <w:r>
        <w:t xml:space="preserve"> to reduce complexity and increase transparency</w:t>
      </w:r>
      <w:r w:rsidR="00F30B2D">
        <w:t xml:space="preserve"> for users</w:t>
      </w:r>
      <w:r>
        <w:t xml:space="preserve">. </w:t>
      </w:r>
    </w:p>
    <w:p w14:paraId="24457CE5" w14:textId="48CBD9E1" w:rsidR="00425E89" w:rsidRPr="00425E89" w:rsidRDefault="00D01DA7" w:rsidP="002E3C54">
      <w:r>
        <w:t>C</w:t>
      </w:r>
      <w:r w:rsidR="007F28AE">
        <w:t>hanges to the licensing framework</w:t>
      </w:r>
      <w:r w:rsidR="00223D9D">
        <w:t xml:space="preserve"> </w:t>
      </w:r>
      <w:r w:rsidR="004A1659">
        <w:t xml:space="preserve">would </w:t>
      </w:r>
      <w:r w:rsidR="004179D9">
        <w:t xml:space="preserve">be subject to </w:t>
      </w:r>
      <w:r w:rsidR="004A1659">
        <w:t xml:space="preserve">public consultation. </w:t>
      </w:r>
    </w:p>
    <w:p w14:paraId="56AD9458" w14:textId="477253A9" w:rsidR="00286D6B" w:rsidRPr="00286D6B" w:rsidRDefault="00286D6B">
      <w:pPr>
        <w:pStyle w:val="Heading1"/>
      </w:pPr>
      <w:bookmarkStart w:id="432" w:name="_Pricing"/>
      <w:bookmarkStart w:id="433" w:name="_Toc510104987"/>
      <w:bookmarkStart w:id="434" w:name="_Toc510105784"/>
      <w:bookmarkStart w:id="435" w:name="_Toc510795118"/>
      <w:bookmarkStart w:id="436" w:name="_Toc511716320"/>
      <w:bookmarkStart w:id="437" w:name="_Toc511719131"/>
      <w:bookmarkStart w:id="438" w:name="_Toc522794124"/>
      <w:bookmarkStart w:id="439" w:name="_Toc5025734"/>
      <w:bookmarkEnd w:id="432"/>
      <w:r w:rsidRPr="00455D60">
        <w:lastRenderedPageBreak/>
        <w:t>Pricing</w:t>
      </w:r>
      <w:bookmarkEnd w:id="433"/>
      <w:bookmarkEnd w:id="434"/>
      <w:bookmarkEnd w:id="435"/>
      <w:bookmarkEnd w:id="436"/>
      <w:bookmarkEnd w:id="437"/>
      <w:bookmarkEnd w:id="438"/>
      <w:bookmarkEnd w:id="439"/>
    </w:p>
    <w:p w14:paraId="5C20D0F4" w14:textId="77777777" w:rsidR="0058733B" w:rsidRPr="005759E7" w:rsidRDefault="0058733B">
      <w:pPr>
        <w:pStyle w:val="Heading2"/>
      </w:pPr>
      <w:bookmarkStart w:id="440" w:name="_Toc510104988"/>
      <w:bookmarkStart w:id="441" w:name="_Toc510105785"/>
      <w:bookmarkStart w:id="442" w:name="_Toc510795119"/>
      <w:bookmarkStart w:id="443" w:name="_Toc511716321"/>
      <w:bookmarkStart w:id="444" w:name="_Toc511719132"/>
      <w:bookmarkStart w:id="445" w:name="_Toc522794125"/>
      <w:bookmarkStart w:id="446" w:name="_Toc5025735"/>
      <w:r w:rsidRPr="005759E7">
        <w:t>Progress achieved</w:t>
      </w:r>
      <w:bookmarkEnd w:id="440"/>
      <w:bookmarkEnd w:id="441"/>
      <w:bookmarkEnd w:id="442"/>
      <w:bookmarkEnd w:id="443"/>
      <w:bookmarkEnd w:id="444"/>
      <w:bookmarkEnd w:id="445"/>
      <w:bookmarkEnd w:id="446"/>
    </w:p>
    <w:p w14:paraId="23BD213C" w14:textId="01F6E91E" w:rsidR="0058733B" w:rsidRDefault="003F628D">
      <w:pPr>
        <w:pStyle w:val="Heading3"/>
      </w:pPr>
      <w:bookmarkStart w:id="447" w:name="_Toc5025736"/>
      <w:r>
        <w:t>3.6 GHz band</w:t>
      </w:r>
      <w:bookmarkEnd w:id="447"/>
    </w:p>
    <w:p w14:paraId="29B0D310" w14:textId="33DF354A" w:rsidR="0058733B" w:rsidRDefault="005A09C8">
      <w:r>
        <w:t>In May 2018</w:t>
      </w:r>
      <w:r w:rsidR="00844848">
        <w:t>,</w:t>
      </w:r>
      <w:r>
        <w:t xml:space="preserve"> the ACMA consulted on the proposal for </w:t>
      </w:r>
      <w:r w:rsidR="003F628D">
        <w:t xml:space="preserve">a </w:t>
      </w:r>
      <w:r>
        <w:t>spectrum licence tax</w:t>
      </w:r>
      <w:r w:rsidR="00776AB0">
        <w:t xml:space="preserve"> </w:t>
      </w:r>
      <w:r w:rsidR="003F628D">
        <w:t xml:space="preserve">and an early access price </w:t>
      </w:r>
      <w:r w:rsidR="00776AB0">
        <w:t xml:space="preserve">for the 3.6 </w:t>
      </w:r>
      <w:r w:rsidR="004959E5">
        <w:t>GHz</w:t>
      </w:r>
      <w:r w:rsidR="004959E5" w:rsidRPr="00493B5D">
        <w:t xml:space="preserve"> </w:t>
      </w:r>
      <w:r w:rsidR="00776AB0">
        <w:t>band</w:t>
      </w:r>
      <w:r w:rsidR="00286D6B">
        <w:t xml:space="preserve">. </w:t>
      </w:r>
      <w:r w:rsidR="00362799">
        <w:t>In June and July 2018</w:t>
      </w:r>
      <w:r w:rsidR="00844848">
        <w:t>,</w:t>
      </w:r>
      <w:r w:rsidR="00362799">
        <w:t xml:space="preserve"> the ACMA made those </w:t>
      </w:r>
      <w:r>
        <w:t>respective</w:t>
      </w:r>
      <w:r w:rsidR="00362799">
        <w:t xml:space="preserve"> changes to spectrum licence tax</w:t>
      </w:r>
      <w:r w:rsidR="003F628D">
        <w:t xml:space="preserve"> and apparatus licence tax</w:t>
      </w:r>
      <w:r w:rsidR="00362799">
        <w:t>.</w:t>
      </w:r>
      <w:r w:rsidR="00362799" w:rsidDel="00362799">
        <w:t xml:space="preserve"> </w:t>
      </w:r>
    </w:p>
    <w:p w14:paraId="7F9DE599" w14:textId="77777777" w:rsidR="0058733B" w:rsidRDefault="0058733B">
      <w:pPr>
        <w:pStyle w:val="Heading3"/>
      </w:pPr>
      <w:bookmarkStart w:id="448" w:name="_Toc510104991"/>
      <w:bookmarkStart w:id="449" w:name="_Toc510105788"/>
      <w:bookmarkStart w:id="450" w:name="_Toc510795122"/>
      <w:bookmarkStart w:id="451" w:name="_Toc511716324"/>
      <w:bookmarkStart w:id="452" w:name="_Toc511719135"/>
      <w:bookmarkStart w:id="453" w:name="_Toc522794128"/>
      <w:bookmarkStart w:id="454" w:name="_Toc5025737"/>
      <w:r w:rsidRPr="00844848">
        <w:t>Apparatus</w:t>
      </w:r>
      <w:r>
        <w:t xml:space="preserve"> licence taxes</w:t>
      </w:r>
      <w:bookmarkEnd w:id="448"/>
      <w:bookmarkEnd w:id="449"/>
      <w:bookmarkEnd w:id="450"/>
      <w:bookmarkEnd w:id="451"/>
      <w:bookmarkEnd w:id="452"/>
      <w:bookmarkEnd w:id="453"/>
      <w:bookmarkEnd w:id="454"/>
    </w:p>
    <w:p w14:paraId="677E2826" w14:textId="1A5D3F94" w:rsidR="00286D6B" w:rsidRDefault="006B2893">
      <w:r>
        <w:t>In Q3 2018</w:t>
      </w:r>
      <w:r w:rsidR="004E64E0">
        <w:t>–</w:t>
      </w:r>
      <w:r>
        <w:t>19 a</w:t>
      </w:r>
      <w:r w:rsidR="00286D6B">
        <w:t>djustments</w:t>
      </w:r>
      <w:r w:rsidR="0058733B">
        <w:t xml:space="preserve"> were</w:t>
      </w:r>
      <w:r w:rsidR="00286D6B">
        <w:t xml:space="preserve"> made to apparatus licence taxes to account for inflation</w:t>
      </w:r>
      <w:r w:rsidR="00C15BA7">
        <w:t>,</w:t>
      </w:r>
      <w:r w:rsidR="00286D6B">
        <w:t xml:space="preserve"> and </w:t>
      </w:r>
      <w:r w:rsidR="0058733B">
        <w:t xml:space="preserve">to </w:t>
      </w:r>
      <w:r w:rsidR="00060315">
        <w:t>remove some redundant taxes relating to the early access pricing arrangements in the 700 MHz band and specific body scanner apparatus licence taxes. The early access pricing arrangements are no longer needed because spectrum licences in that band have commenced. The apparatus licence taxes associated with airport body scanners have been removed after the ACMA introduced class licensing arrangements in November 2018</w:t>
      </w:r>
      <w:r w:rsidR="0058733B">
        <w:t xml:space="preserve">. </w:t>
      </w:r>
      <w:r w:rsidR="00286D6B">
        <w:t xml:space="preserve">The adjustments </w:t>
      </w:r>
      <w:r w:rsidR="00060315">
        <w:t>will come</w:t>
      </w:r>
      <w:r w:rsidR="00286D6B">
        <w:t xml:space="preserve"> into effect </w:t>
      </w:r>
      <w:r w:rsidR="00C15BA7">
        <w:t>in</w:t>
      </w:r>
      <w:r w:rsidR="00286D6B">
        <w:t xml:space="preserve"> April 201</w:t>
      </w:r>
      <w:r w:rsidR="00060315">
        <w:t>9</w:t>
      </w:r>
      <w:r w:rsidR="00286D6B">
        <w:t>.</w:t>
      </w:r>
    </w:p>
    <w:p w14:paraId="7B38F3E9" w14:textId="77777777" w:rsidR="009432FD" w:rsidRDefault="009432FD">
      <w:pPr>
        <w:pStyle w:val="Heading3"/>
      </w:pPr>
      <w:bookmarkStart w:id="455" w:name="_Toc5025738"/>
      <w:r>
        <w:t>Commercial broadcasting taxes</w:t>
      </w:r>
      <w:bookmarkEnd w:id="455"/>
    </w:p>
    <w:p w14:paraId="2E9016A5" w14:textId="065CD2B5" w:rsidR="009432FD" w:rsidRDefault="00DE6730">
      <w:r>
        <w:t>In 2018</w:t>
      </w:r>
      <w:r w:rsidR="004E64E0">
        <w:t>–</w:t>
      </w:r>
      <w:r>
        <w:t>19, t</w:t>
      </w:r>
      <w:r w:rsidR="009432FD">
        <w:t xml:space="preserve">he ACMA </w:t>
      </w:r>
      <w:r w:rsidR="009477C8">
        <w:t xml:space="preserve">commenced </w:t>
      </w:r>
      <w:r>
        <w:t xml:space="preserve">the ongoing assessment of </w:t>
      </w:r>
      <w:r w:rsidR="009477C8">
        <w:t xml:space="preserve">the taxes </w:t>
      </w:r>
      <w:r>
        <w:t xml:space="preserve">due </w:t>
      </w:r>
      <w:r w:rsidR="009432FD">
        <w:t xml:space="preserve">for apparatus licences associated with the transmitters used by commercial radio and television broadcasters in the Broadcasting Services Bands. </w:t>
      </w:r>
      <w:r w:rsidR="009477C8">
        <w:t xml:space="preserve">These assessments </w:t>
      </w:r>
      <w:r w:rsidR="009432FD">
        <w:t xml:space="preserve">result from the media reform package passed by Parliament in 2017. </w:t>
      </w:r>
    </w:p>
    <w:p w14:paraId="2EDD38BD" w14:textId="749BF42E" w:rsidR="00286D6B" w:rsidRPr="005759E7" w:rsidRDefault="002E0DAD">
      <w:pPr>
        <w:pStyle w:val="Heading2"/>
      </w:pPr>
      <w:bookmarkStart w:id="456" w:name="_Toc522794130"/>
      <w:bookmarkStart w:id="457" w:name="_Toc5025739"/>
      <w:bookmarkStart w:id="458" w:name="_Toc510104993"/>
      <w:bookmarkStart w:id="459" w:name="_Toc510105790"/>
      <w:bookmarkStart w:id="460" w:name="_Toc510795124"/>
      <w:bookmarkStart w:id="461" w:name="_Toc511716326"/>
      <w:bookmarkStart w:id="462" w:name="_Toc511719137"/>
      <w:r w:rsidRPr="005759E7">
        <w:t xml:space="preserve">New/ongoing activities planned for </w:t>
      </w:r>
      <w:r w:rsidR="00C15BA7">
        <w:t>20</w:t>
      </w:r>
      <w:r w:rsidRPr="005759E7">
        <w:t>1</w:t>
      </w:r>
      <w:r w:rsidR="00B76F6D">
        <w:t>9</w:t>
      </w:r>
      <w:r w:rsidR="00C15BA7">
        <w:t>–</w:t>
      </w:r>
      <w:bookmarkEnd w:id="456"/>
      <w:r w:rsidR="00B76F6D">
        <w:t>20</w:t>
      </w:r>
      <w:bookmarkEnd w:id="457"/>
      <w:r w:rsidRPr="005759E7">
        <w:t xml:space="preserve"> </w:t>
      </w:r>
      <w:bookmarkEnd w:id="458"/>
      <w:bookmarkEnd w:id="459"/>
      <w:bookmarkEnd w:id="460"/>
      <w:bookmarkEnd w:id="461"/>
      <w:bookmarkEnd w:id="462"/>
    </w:p>
    <w:p w14:paraId="52EC8579" w14:textId="5E121DD1" w:rsidR="00385D4D" w:rsidRDefault="00385D4D">
      <w:pPr>
        <w:pStyle w:val="Heading3"/>
      </w:pPr>
      <w:bookmarkStart w:id="463" w:name="_Implementation_of_Government’s"/>
      <w:bookmarkStart w:id="464" w:name="_Toc5025740"/>
      <w:bookmarkEnd w:id="463"/>
      <w:r>
        <w:t xml:space="preserve">Implementation of </w:t>
      </w:r>
      <w:r w:rsidR="008540E9">
        <w:t>the g</w:t>
      </w:r>
      <w:r>
        <w:t>overnment’s Spectrum Pricing Review</w:t>
      </w:r>
      <w:bookmarkEnd w:id="464"/>
    </w:p>
    <w:p w14:paraId="5176E5A9" w14:textId="780EB68F" w:rsidR="00AB57E5" w:rsidRDefault="006108AA" w:rsidP="00775B4A">
      <w:pPr>
        <w:spacing w:after="80"/>
      </w:pPr>
      <w:r>
        <w:rPr>
          <w:rFonts w:cs="Arial"/>
        </w:rPr>
        <w:t>Some of t</w:t>
      </w:r>
      <w:r w:rsidR="00AB57E5">
        <w:rPr>
          <w:rFonts w:cs="Arial"/>
        </w:rPr>
        <w:t xml:space="preserve">he recommendations of </w:t>
      </w:r>
      <w:r>
        <w:t xml:space="preserve">the </w:t>
      </w:r>
      <w:r w:rsidR="008540E9">
        <w:t>g</w:t>
      </w:r>
      <w:r>
        <w:t xml:space="preserve">overnment’s </w:t>
      </w:r>
      <w:r w:rsidR="00AB57E5">
        <w:rPr>
          <w:rFonts w:cs="Arial"/>
        </w:rPr>
        <w:t>Spectrum Pricing Review anticipated a new legislative framework</w:t>
      </w:r>
      <w:r>
        <w:rPr>
          <w:rFonts w:cs="Arial"/>
        </w:rPr>
        <w:t xml:space="preserve"> and a single licensing framework. However</w:t>
      </w:r>
      <w:r w:rsidR="00AB57E5">
        <w:rPr>
          <w:rFonts w:cs="Arial"/>
        </w:rPr>
        <w:t xml:space="preserve">, the ACMA considers that the policy intent </w:t>
      </w:r>
      <w:r>
        <w:rPr>
          <w:rFonts w:cs="Arial"/>
        </w:rPr>
        <w:t xml:space="preserve">of the recommendations </w:t>
      </w:r>
      <w:r w:rsidR="00AB57E5">
        <w:rPr>
          <w:rFonts w:cs="Arial"/>
        </w:rPr>
        <w:t>can also be implemented under existing legislation, and later transitioned to new legislation</w:t>
      </w:r>
      <w:r>
        <w:rPr>
          <w:rFonts w:cs="Arial"/>
        </w:rPr>
        <w:t xml:space="preserve">, and the ACMA intends to proceed in this way.  </w:t>
      </w:r>
    </w:p>
    <w:p w14:paraId="1B689763" w14:textId="3B724858" w:rsidR="00110E5C" w:rsidRDefault="00110E5C">
      <w:pPr>
        <w:spacing w:after="80"/>
      </w:pPr>
      <w:r>
        <w:t xml:space="preserve">To implement </w:t>
      </w:r>
      <w:r w:rsidR="006108AA">
        <w:t xml:space="preserve">the </w:t>
      </w:r>
      <w:r>
        <w:t xml:space="preserve">recommendations of </w:t>
      </w:r>
      <w:r w:rsidRPr="002A5E66">
        <w:t>Spectrum Pricing Review</w:t>
      </w:r>
      <w:r>
        <w:t xml:space="preserve">, the ACMA </w:t>
      </w:r>
      <w:r w:rsidR="00C775FE">
        <w:t>has</w:t>
      </w:r>
      <w:r>
        <w:t xml:space="preserve"> initiate</w:t>
      </w:r>
      <w:r w:rsidR="00C775FE">
        <w:t>d</w:t>
      </w:r>
      <w:r>
        <w:t xml:space="preserve"> four substantive programs of work:</w:t>
      </w:r>
    </w:p>
    <w:p w14:paraId="16847B85" w14:textId="01DC0AF5" w:rsidR="00110E5C" w:rsidRDefault="00110E5C" w:rsidP="00DE694D">
      <w:pPr>
        <w:pStyle w:val="ListBullet"/>
        <w:keepNext w:val="0"/>
        <w:keepLines w:val="0"/>
      </w:pPr>
      <w:r>
        <w:t>f</w:t>
      </w:r>
      <w:r w:rsidRPr="00A26767">
        <w:t xml:space="preserve">urther identify bands to transition from administratively set </w:t>
      </w:r>
      <w:r>
        <w:t>charges</w:t>
      </w:r>
      <w:r w:rsidRPr="00A26767">
        <w:t xml:space="preserve"> to competitive market-based allocation in its annual work program</w:t>
      </w:r>
      <w:r w:rsidR="00FF7E28">
        <w:t xml:space="preserve"> </w:t>
      </w:r>
      <w:r w:rsidR="00FB4044">
        <w:t>(currently</w:t>
      </w:r>
      <w:r w:rsidR="00F74C20">
        <w:t xml:space="preserve"> the FYSO</w:t>
      </w:r>
      <w:r w:rsidR="00FB4044">
        <w:t>)</w:t>
      </w:r>
      <w:r>
        <w:t xml:space="preserve"> (recommendation 4)</w:t>
      </w:r>
    </w:p>
    <w:p w14:paraId="73836CE3" w14:textId="320C173D" w:rsidR="00110E5C" w:rsidRPr="009361C2" w:rsidRDefault="00110E5C" w:rsidP="00DE694D">
      <w:pPr>
        <w:pStyle w:val="ListBullet"/>
        <w:keepNext w:val="0"/>
        <w:keepLines w:val="0"/>
      </w:pPr>
      <w:r w:rsidRPr="009361C2">
        <w:t>develop</w:t>
      </w:r>
      <w:r w:rsidR="007E055A">
        <w:t xml:space="preserve"> and publi</w:t>
      </w:r>
      <w:r w:rsidR="00CD0046">
        <w:t>sh</w:t>
      </w:r>
      <w:r w:rsidRPr="009361C2">
        <w:t xml:space="preserve"> Spectrum Pricing Guidelines to provide better transparency and help licensees better understand how the ACMA approaches spectrum pricing (recommendation 1)</w:t>
      </w:r>
      <w:r w:rsidR="00EB7076">
        <w:t>. The ACMA expects to consult on these guidelines in Q1 2019</w:t>
      </w:r>
      <w:r w:rsidR="004E64E0">
        <w:t>–</w:t>
      </w:r>
      <w:r w:rsidR="00EB7076">
        <w:t>20.</w:t>
      </w:r>
    </w:p>
    <w:p w14:paraId="13F53CEC" w14:textId="121976F9" w:rsidR="00110E5C" w:rsidRPr="009361C2" w:rsidRDefault="00110E5C" w:rsidP="00DE694D">
      <w:pPr>
        <w:pStyle w:val="ListBullet"/>
        <w:keepNext w:val="0"/>
        <w:keepLines w:val="0"/>
      </w:pPr>
      <w:r w:rsidRPr="009361C2">
        <w:t xml:space="preserve">review how the ACMA administratively prices spectrum and the formula used to set many of the current apparatus licence taxes. There is potential to improve the </w:t>
      </w:r>
      <w:r w:rsidRPr="00775B4A">
        <w:t>ACMA’s</w:t>
      </w:r>
      <w:r w:rsidRPr="009361C2">
        <w:t xml:space="preserve"> administrative pricing of spectrum </w:t>
      </w:r>
      <w:r w:rsidR="00CD0046">
        <w:t>to</w:t>
      </w:r>
      <w:r w:rsidRPr="009361C2">
        <w:t xml:space="preserve"> more closely reflect market value through approaches such as opportunity-cost</w:t>
      </w:r>
      <w:r w:rsidR="00CD0046">
        <w:t>-</w:t>
      </w:r>
      <w:r w:rsidRPr="009361C2">
        <w:t>based pricing</w:t>
      </w:r>
      <w:r>
        <w:t xml:space="preserve"> </w:t>
      </w:r>
      <w:r w:rsidRPr="009361C2">
        <w:t>(recommendation</w:t>
      </w:r>
      <w:r>
        <w:t>s</w:t>
      </w:r>
      <w:r w:rsidRPr="009361C2">
        <w:t xml:space="preserve"> 7</w:t>
      </w:r>
      <w:r>
        <w:t xml:space="preserve"> and 8</w:t>
      </w:r>
      <w:r w:rsidRPr="009361C2">
        <w:t>)</w:t>
      </w:r>
      <w:r w:rsidR="00F74C20">
        <w:t>. Th</w:t>
      </w:r>
      <w:r w:rsidR="00FB4044">
        <w:t>e</w:t>
      </w:r>
      <w:r w:rsidR="00F74C20">
        <w:t xml:space="preserve"> </w:t>
      </w:r>
      <w:r w:rsidR="00D61EDE">
        <w:t xml:space="preserve">principles guiding this review </w:t>
      </w:r>
      <w:r w:rsidR="00F74C20">
        <w:t xml:space="preserve">will be part of the Spectrum Pricing Guidelines, to be consulted on in </w:t>
      </w:r>
      <w:bookmarkStart w:id="465" w:name="_Hlk3287758"/>
      <w:r w:rsidR="00F74C20">
        <w:t>Q1 2019</w:t>
      </w:r>
      <w:r w:rsidR="000E050A">
        <w:t>–</w:t>
      </w:r>
      <w:r w:rsidR="00F74C20">
        <w:t>20.</w:t>
      </w:r>
      <w:bookmarkEnd w:id="465"/>
      <w:r w:rsidR="00D61EDE">
        <w:t xml:space="preserve"> The ACMA will then consult on reflecting these principles in a new formula in Q4 2019</w:t>
      </w:r>
      <w:r w:rsidR="000E050A">
        <w:t>–</w:t>
      </w:r>
      <w:r w:rsidR="00D61EDE">
        <w:t xml:space="preserve">20. </w:t>
      </w:r>
    </w:p>
    <w:p w14:paraId="422EF856" w14:textId="744866BC" w:rsidR="00110E5C" w:rsidRDefault="00A9339E" w:rsidP="00DE694D">
      <w:pPr>
        <w:pStyle w:val="ListBulletLast"/>
        <w:keepNext/>
        <w:keepLines/>
      </w:pPr>
      <w:r>
        <w:lastRenderedPageBreak/>
        <w:t>simplify</w:t>
      </w:r>
      <w:r w:rsidR="007E055A">
        <w:t xml:space="preserve"> industry’s</w:t>
      </w:r>
      <w:r>
        <w:t xml:space="preserve"> </w:t>
      </w:r>
      <w:r w:rsidR="00385D4D">
        <w:t xml:space="preserve">spectrum management </w:t>
      </w:r>
      <w:r w:rsidR="00110E5C" w:rsidRPr="009361C2">
        <w:t xml:space="preserve">cost recovery arrangements </w:t>
      </w:r>
      <w:r w:rsidR="00385D4D">
        <w:t xml:space="preserve">to be consistent with </w:t>
      </w:r>
      <w:r w:rsidR="00385D4D" w:rsidRPr="00775B4A">
        <w:t>the</w:t>
      </w:r>
      <w:r w:rsidR="00385D4D">
        <w:t xml:space="preserve"> Australian Government Charging Framework</w:t>
      </w:r>
      <w:r w:rsidR="007E055A">
        <w:t xml:space="preserve"> and make them more transparent</w:t>
      </w:r>
      <w:r w:rsidR="00385D4D">
        <w:t xml:space="preserve">. </w:t>
      </w:r>
      <w:r w:rsidR="0096499A">
        <w:t>This will be covered in the Spectrum Pricing Guidelines, and in addition, the ACMA proposes to consult on new cost recovery proposals in Q1 2019</w:t>
      </w:r>
      <w:r w:rsidR="000E050A">
        <w:t>–</w:t>
      </w:r>
      <w:r w:rsidR="0096499A">
        <w:t>20.</w:t>
      </w:r>
    </w:p>
    <w:p w14:paraId="3CAC5789" w14:textId="0296F6A3" w:rsidR="00E73C74" w:rsidRDefault="00E73C74" w:rsidP="00DE694D">
      <w:bookmarkStart w:id="466" w:name="_Hlk1405093"/>
      <w:r>
        <w:t xml:space="preserve">The implementation of </w:t>
      </w:r>
      <w:r w:rsidR="007D22A2">
        <w:t xml:space="preserve">the Spectrum Pricing Review </w:t>
      </w:r>
      <w:r>
        <w:t xml:space="preserve">will require analysis of current spectrum usage in bands, and forecasts of future use, taking into account trends in technology and international harmonisation. </w:t>
      </w:r>
    </w:p>
    <w:p w14:paraId="6990AB85" w14:textId="14E43C74" w:rsidR="00385D4D" w:rsidRDefault="00385D4D" w:rsidP="00DE694D">
      <w:r>
        <w:t xml:space="preserve">The ACMA intends to consult on new approaches to pricing in </w:t>
      </w:r>
      <w:r w:rsidR="00F347D6">
        <w:t xml:space="preserve">Q1 </w:t>
      </w:r>
      <w:r w:rsidR="00C775FE">
        <w:t>201</w:t>
      </w:r>
      <w:r w:rsidR="000E3CE7">
        <w:t>9</w:t>
      </w:r>
      <w:r w:rsidR="004E64E0">
        <w:t>–</w:t>
      </w:r>
      <w:r w:rsidR="000E3CE7">
        <w:t>20</w:t>
      </w:r>
      <w:r>
        <w:t xml:space="preserve"> with a view to new arrangements being implemented over the course of 2020</w:t>
      </w:r>
      <w:r w:rsidR="000E3CE7">
        <w:t xml:space="preserve"> and 2021</w:t>
      </w:r>
      <w:r>
        <w:t xml:space="preserve">. </w:t>
      </w:r>
    </w:p>
    <w:p w14:paraId="79E9DA4C" w14:textId="77DAD27A" w:rsidR="00110E5C" w:rsidRDefault="00110E5C" w:rsidP="00596594">
      <w:pPr>
        <w:pStyle w:val="Heading3"/>
      </w:pPr>
      <w:bookmarkStart w:id="467" w:name="_Toc5025741"/>
      <w:bookmarkEnd w:id="466"/>
      <w:r>
        <w:t>Commercial broadcast taxes</w:t>
      </w:r>
      <w:bookmarkEnd w:id="467"/>
    </w:p>
    <w:p w14:paraId="77D6700A" w14:textId="74A59340" w:rsidR="00F342D2" w:rsidRDefault="009477C8">
      <w:r>
        <w:t xml:space="preserve">The </w:t>
      </w:r>
      <w:r w:rsidR="0094669F">
        <w:t xml:space="preserve">ACMA </w:t>
      </w:r>
      <w:r>
        <w:t xml:space="preserve">will continue assessing commercial broadcast taxes </w:t>
      </w:r>
      <w:r w:rsidR="00362799">
        <w:t>on an ongoing basis as apparatus licences associated with a commercial broadcast service</w:t>
      </w:r>
      <w:r w:rsidR="000E3CE7">
        <w:t>s</w:t>
      </w:r>
      <w:r w:rsidR="00362799">
        <w:t xml:space="preserve"> pass </w:t>
      </w:r>
      <w:r w:rsidR="005A09C8">
        <w:t>their</w:t>
      </w:r>
      <w:r w:rsidR="00362799">
        <w:t xml:space="preserve"> anniversary date</w:t>
      </w:r>
      <w:r w:rsidR="005A09C8">
        <w:t>s</w:t>
      </w:r>
      <w:r w:rsidR="00F342D2" w:rsidRPr="00F342D2">
        <w:t>.</w:t>
      </w:r>
    </w:p>
    <w:p w14:paraId="7895377A" w14:textId="5DB8625D" w:rsidR="00F342D2" w:rsidRDefault="00F342D2">
      <w:r>
        <w:t xml:space="preserve">After 30 June 2019, the ACMA must conduct a review of the </w:t>
      </w:r>
      <w:r w:rsidRPr="005759E7">
        <w:rPr>
          <w:i/>
        </w:rPr>
        <w:t>Commercial Broadcasting (Tax) Act 2017.</w:t>
      </w:r>
      <w:r>
        <w:t xml:space="preserve"> </w:t>
      </w:r>
      <w:bookmarkStart w:id="468" w:name="_Hlk2682401"/>
      <w:r>
        <w:t>In 2018</w:t>
      </w:r>
      <w:r w:rsidR="00C15BA7">
        <w:t>–</w:t>
      </w:r>
      <w:r>
        <w:t>19</w:t>
      </w:r>
      <w:r w:rsidR="00C15BA7">
        <w:t xml:space="preserve">, </w:t>
      </w:r>
      <w:r>
        <w:t xml:space="preserve">the ACMA may make announcements about any preparation it is undertaking </w:t>
      </w:r>
      <w:r w:rsidR="00C15BA7">
        <w:t xml:space="preserve">for </w:t>
      </w:r>
      <w:r>
        <w:t>the review.</w:t>
      </w:r>
      <w:r w:rsidR="00362799">
        <w:t xml:space="preserve"> </w:t>
      </w:r>
      <w:bookmarkEnd w:id="468"/>
    </w:p>
    <w:p w14:paraId="05A2765C" w14:textId="649C62D3" w:rsidR="00385D4D" w:rsidRDefault="00385D4D" w:rsidP="00596594">
      <w:pPr>
        <w:pStyle w:val="Heading3"/>
      </w:pPr>
      <w:bookmarkStart w:id="469" w:name="_Toc5025742"/>
      <w:r>
        <w:t>Other pricing updates</w:t>
      </w:r>
      <w:bookmarkEnd w:id="469"/>
    </w:p>
    <w:p w14:paraId="3277AC03" w14:textId="677E91C5" w:rsidR="009E7038" w:rsidRPr="00D3495C" w:rsidRDefault="009E7038" w:rsidP="009E7038">
      <w:r>
        <w:rPr>
          <w:rFonts w:cs="Arial"/>
          <w:szCs w:val="20"/>
        </w:rPr>
        <w:t>As part of the ACMA’s opportunity</w:t>
      </w:r>
      <w:r w:rsidR="00CD0046">
        <w:rPr>
          <w:rFonts w:cs="Arial"/>
          <w:szCs w:val="20"/>
        </w:rPr>
        <w:t>-</w:t>
      </w:r>
      <w:r>
        <w:rPr>
          <w:rFonts w:cs="Arial"/>
          <w:szCs w:val="20"/>
        </w:rPr>
        <w:t>cost</w:t>
      </w:r>
      <w:r w:rsidR="00CD0046">
        <w:rPr>
          <w:rFonts w:cs="Arial"/>
          <w:szCs w:val="20"/>
        </w:rPr>
        <w:t>-based</w:t>
      </w:r>
      <w:r>
        <w:rPr>
          <w:rFonts w:cs="Arial"/>
          <w:szCs w:val="20"/>
        </w:rPr>
        <w:t xml:space="preserve"> pricing work</w:t>
      </w:r>
      <w:r w:rsidR="00CD0046">
        <w:rPr>
          <w:rFonts w:cs="Arial"/>
          <w:szCs w:val="20"/>
        </w:rPr>
        <w:t>,</w:t>
      </w:r>
      <w:r>
        <w:rPr>
          <w:rFonts w:cs="Arial"/>
          <w:szCs w:val="20"/>
        </w:rPr>
        <w:t xml:space="preserve"> the ACMA developed a monitoring framework for the </w:t>
      </w:r>
      <w:r w:rsidR="006B791A">
        <w:rPr>
          <w:rFonts w:cs="Arial"/>
          <w:szCs w:val="20"/>
        </w:rPr>
        <w:t xml:space="preserve">400 MHz </w:t>
      </w:r>
      <w:r>
        <w:rPr>
          <w:rFonts w:cs="Arial"/>
          <w:szCs w:val="20"/>
        </w:rPr>
        <w:t>band. This monitoring will continue on a semi</w:t>
      </w:r>
      <w:r w:rsidR="007F123E">
        <w:rPr>
          <w:rFonts w:cs="Arial"/>
          <w:szCs w:val="20"/>
        </w:rPr>
        <w:t>-</w:t>
      </w:r>
      <w:r>
        <w:rPr>
          <w:rFonts w:cs="Arial"/>
          <w:szCs w:val="20"/>
        </w:rPr>
        <w:t xml:space="preserve">regular basis. It is expected that consultation </w:t>
      </w:r>
      <w:r w:rsidR="00040D68">
        <w:rPr>
          <w:rFonts w:cs="Arial"/>
          <w:szCs w:val="20"/>
        </w:rPr>
        <w:t>on further price increases</w:t>
      </w:r>
      <w:r w:rsidR="00165F48">
        <w:rPr>
          <w:rFonts w:cs="Arial"/>
          <w:szCs w:val="20"/>
        </w:rPr>
        <w:t xml:space="preserve"> </w:t>
      </w:r>
      <w:r>
        <w:rPr>
          <w:rFonts w:cs="Arial"/>
          <w:szCs w:val="20"/>
        </w:rPr>
        <w:t>will only occur if there is evidence suggesting that demand is increasing and there is congestion in the band.</w:t>
      </w:r>
    </w:p>
    <w:p w14:paraId="309BEAE8" w14:textId="77777777" w:rsidR="008A08D8" w:rsidRDefault="00BA34A4" w:rsidP="00BA34A4">
      <w:pPr>
        <w:rPr>
          <w:szCs w:val="20"/>
        </w:rPr>
      </w:pPr>
      <w:r>
        <w:t xml:space="preserve">Feedback to the FYSO </w:t>
      </w:r>
      <w:r w:rsidR="00CD0046">
        <w:t xml:space="preserve">2018–22 </w:t>
      </w:r>
      <w:r>
        <w:t xml:space="preserve">related to potential changes to apparatus licence taxes and the flagging of information about reviews. </w:t>
      </w:r>
      <w:r w:rsidR="00CD0046">
        <w:t>Several</w:t>
      </w:r>
      <w:r w:rsidRPr="00FC654E">
        <w:t xml:space="preserve"> submissions suggested that the ACMA should review spectrum pricing for particular services (such as satellite services in </w:t>
      </w:r>
      <w:r>
        <w:rPr>
          <w:szCs w:val="20"/>
        </w:rPr>
        <w:t xml:space="preserve">Ka- and </w:t>
      </w:r>
      <w:r w:rsidRPr="00FC654E">
        <w:rPr>
          <w:szCs w:val="20"/>
        </w:rPr>
        <w:t>Ku</w:t>
      </w:r>
      <w:r>
        <w:rPr>
          <w:szCs w:val="20"/>
        </w:rPr>
        <w:t>-</w:t>
      </w:r>
      <w:r w:rsidRPr="00FC654E">
        <w:rPr>
          <w:szCs w:val="20"/>
        </w:rPr>
        <w:t>band</w:t>
      </w:r>
      <w:r>
        <w:rPr>
          <w:szCs w:val="20"/>
        </w:rPr>
        <w:t>s</w:t>
      </w:r>
      <w:r w:rsidRPr="00FC654E">
        <w:rPr>
          <w:szCs w:val="20"/>
        </w:rPr>
        <w:t xml:space="preserve">, </w:t>
      </w:r>
      <w:r w:rsidR="005D29BD">
        <w:rPr>
          <w:szCs w:val="20"/>
        </w:rPr>
        <w:t>open narrowcasting</w:t>
      </w:r>
      <w:r w:rsidRPr="00FC654E">
        <w:rPr>
          <w:szCs w:val="20"/>
        </w:rPr>
        <w:t xml:space="preserve"> services</w:t>
      </w:r>
      <w:r>
        <w:rPr>
          <w:szCs w:val="20"/>
        </w:rPr>
        <w:t xml:space="preserve"> and scientific licensing for 5G services</w:t>
      </w:r>
      <w:r w:rsidRPr="00FC654E">
        <w:rPr>
          <w:szCs w:val="20"/>
        </w:rPr>
        <w:t xml:space="preserve">). </w:t>
      </w:r>
    </w:p>
    <w:p w14:paraId="76032AB0" w14:textId="0355EBA5" w:rsidR="00BA34A4" w:rsidRDefault="00BF204E" w:rsidP="00BA34A4">
      <w:pPr>
        <w:rPr>
          <w:szCs w:val="20"/>
        </w:rPr>
      </w:pPr>
      <w:r>
        <w:rPr>
          <w:szCs w:val="20"/>
        </w:rPr>
        <w:t>In o</w:t>
      </w:r>
      <w:r w:rsidR="009477C8">
        <w:rPr>
          <w:szCs w:val="20"/>
        </w:rPr>
        <w:t>ther consultation processes such as the</w:t>
      </w:r>
      <w:r w:rsidR="00AC437D">
        <w:rPr>
          <w:szCs w:val="20"/>
        </w:rPr>
        <w:t xml:space="preserve"> 2018</w:t>
      </w:r>
      <w:r w:rsidR="009477C8">
        <w:rPr>
          <w:szCs w:val="20"/>
        </w:rPr>
        <w:t xml:space="preserve"> </w:t>
      </w:r>
      <w:r w:rsidR="00E97880">
        <w:rPr>
          <w:szCs w:val="20"/>
        </w:rPr>
        <w:t>‘</w:t>
      </w:r>
      <w:hyperlink r:id="rId72" w:history="1">
        <w:r w:rsidRPr="002460EB">
          <w:rPr>
            <w:rStyle w:val="Hyperlink"/>
            <w:rFonts w:cs="Arial"/>
            <w:color w:val="000000"/>
            <w:u w:val="none"/>
            <w:bdr w:val="none" w:sz="0" w:space="0" w:color="auto" w:frame="1"/>
            <w:shd w:val="clear" w:color="auto" w:fill="FFFFFF"/>
          </w:rPr>
          <w:t>Spectrum planning for the 28 GHz band</w:t>
        </w:r>
      </w:hyperlink>
      <w:r w:rsidR="00B45DAB">
        <w:rPr>
          <w:rFonts w:cs="Arial"/>
        </w:rPr>
        <w:t>’</w:t>
      </w:r>
      <w:r w:rsidR="009477C8" w:rsidRPr="002E3C54">
        <w:rPr>
          <w:rFonts w:cs="Arial"/>
          <w:szCs w:val="20"/>
        </w:rPr>
        <w:t xml:space="preserve"> paper</w:t>
      </w:r>
      <w:r w:rsidR="000E3CE7">
        <w:rPr>
          <w:rFonts w:cs="Arial"/>
          <w:szCs w:val="20"/>
        </w:rPr>
        <w:t>,</w:t>
      </w:r>
      <w:r w:rsidRPr="002E3C54">
        <w:rPr>
          <w:rFonts w:cs="Arial"/>
          <w:szCs w:val="20"/>
        </w:rPr>
        <w:t xml:space="preserve"> </w:t>
      </w:r>
      <w:r w:rsidR="000165A6">
        <w:rPr>
          <w:rFonts w:cs="Arial"/>
          <w:szCs w:val="20"/>
        </w:rPr>
        <w:t>it was</w:t>
      </w:r>
      <w:r w:rsidR="000165A6" w:rsidRPr="002E3C54">
        <w:rPr>
          <w:rFonts w:cs="Arial"/>
          <w:szCs w:val="20"/>
        </w:rPr>
        <w:t xml:space="preserve"> </w:t>
      </w:r>
      <w:r w:rsidRPr="002E3C54">
        <w:rPr>
          <w:rFonts w:cs="Arial"/>
          <w:szCs w:val="20"/>
        </w:rPr>
        <w:t xml:space="preserve">proposed </w:t>
      </w:r>
      <w:r w:rsidR="000165A6">
        <w:rPr>
          <w:rFonts w:cs="Arial"/>
          <w:szCs w:val="20"/>
        </w:rPr>
        <w:t xml:space="preserve">by a stakeholder </w:t>
      </w:r>
      <w:r w:rsidRPr="002E3C54">
        <w:rPr>
          <w:rFonts w:cs="Arial"/>
          <w:szCs w:val="20"/>
        </w:rPr>
        <w:t>that the ACMA c</w:t>
      </w:r>
      <w:r>
        <w:rPr>
          <w:szCs w:val="20"/>
        </w:rPr>
        <w:t xml:space="preserve">onsider alternative pricing arrangements for fixed link services. </w:t>
      </w:r>
      <w:r w:rsidR="00BA34A4" w:rsidRPr="00FC654E">
        <w:rPr>
          <w:szCs w:val="20"/>
        </w:rPr>
        <w:t>The ACMA</w:t>
      </w:r>
      <w:r w:rsidR="003A645A">
        <w:rPr>
          <w:szCs w:val="20"/>
        </w:rPr>
        <w:t xml:space="preserve">’s view is </w:t>
      </w:r>
      <w:r w:rsidR="00BA34A4" w:rsidRPr="00FC654E">
        <w:rPr>
          <w:szCs w:val="20"/>
        </w:rPr>
        <w:t xml:space="preserve">that </w:t>
      </w:r>
      <w:r w:rsidR="00385D4D">
        <w:rPr>
          <w:szCs w:val="20"/>
        </w:rPr>
        <w:t xml:space="preserve">implementation </w:t>
      </w:r>
      <w:r w:rsidR="00BA34A4" w:rsidRPr="00FC654E">
        <w:rPr>
          <w:szCs w:val="20"/>
        </w:rPr>
        <w:t xml:space="preserve">of the Spectrum Pricing Review </w:t>
      </w:r>
      <w:r w:rsidR="003A645A">
        <w:rPr>
          <w:szCs w:val="20"/>
        </w:rPr>
        <w:t>across all spectrum pricing arrangements is the best way to</w:t>
      </w:r>
      <w:r w:rsidR="003A645A" w:rsidRPr="00FC654E">
        <w:rPr>
          <w:szCs w:val="20"/>
        </w:rPr>
        <w:t xml:space="preserve"> </w:t>
      </w:r>
      <w:r w:rsidR="00BA34A4" w:rsidRPr="00FC654E">
        <w:rPr>
          <w:szCs w:val="20"/>
        </w:rPr>
        <w:t xml:space="preserve">address pricing </w:t>
      </w:r>
      <w:r w:rsidR="003A645A">
        <w:rPr>
          <w:szCs w:val="20"/>
        </w:rPr>
        <w:t xml:space="preserve">concerns recently raised regarding specific </w:t>
      </w:r>
      <w:r w:rsidR="00BA34A4" w:rsidRPr="00FC654E">
        <w:rPr>
          <w:szCs w:val="20"/>
        </w:rPr>
        <w:t>industries and spectrum bands.</w:t>
      </w:r>
      <w:r w:rsidR="00BA34A4">
        <w:rPr>
          <w:szCs w:val="20"/>
        </w:rPr>
        <w:t xml:space="preserve"> </w:t>
      </w:r>
    </w:p>
    <w:p w14:paraId="72899938" w14:textId="6942263F" w:rsidR="00D3495C" w:rsidRDefault="00E41300">
      <w:r w:rsidRPr="0056373A">
        <w:t xml:space="preserve">The ACMA will continue to </w:t>
      </w:r>
      <w:r w:rsidR="00E30A83">
        <w:t>consider</w:t>
      </w:r>
      <w:r w:rsidR="00E30A83" w:rsidRPr="0056373A">
        <w:t xml:space="preserve"> </w:t>
      </w:r>
      <w:r w:rsidRPr="0056373A">
        <w:t xml:space="preserve">changes to the apparatus licence tax regime to account for </w:t>
      </w:r>
      <w:r w:rsidR="0069057D">
        <w:t xml:space="preserve">routine </w:t>
      </w:r>
      <w:r w:rsidRPr="0056373A">
        <w:t xml:space="preserve">matters </w:t>
      </w:r>
      <w:r>
        <w:t>including</w:t>
      </w:r>
      <w:r w:rsidRPr="0056373A">
        <w:t xml:space="preserve"> adjusting taxes for inflation.</w:t>
      </w:r>
      <w:r w:rsidR="006C6342">
        <w:t xml:space="preserve"> </w:t>
      </w:r>
      <w:r w:rsidR="00CD0046">
        <w:t>T</w:t>
      </w:r>
      <w:r w:rsidR="006C6342">
        <w:t>he ACMA will also consult on a proposal</w:t>
      </w:r>
      <w:r w:rsidR="00E30A83">
        <w:t xml:space="preserve"> to remove a </w:t>
      </w:r>
      <w:r w:rsidR="00B45DAB">
        <w:t>‘</w:t>
      </w:r>
      <w:r w:rsidR="00E30A83">
        <w:t>freeze</w:t>
      </w:r>
      <w:r w:rsidR="00B45DAB">
        <w:t>’</w:t>
      </w:r>
      <w:r w:rsidR="00E30A83">
        <w:t xml:space="preserve"> on apparatus licence taxes relating to fixed services below 960 MHz in remote density areas. </w:t>
      </w:r>
      <w:r w:rsidR="006B1A31">
        <w:t>T</w:t>
      </w:r>
      <w:r w:rsidR="00E30A83">
        <w:t xml:space="preserve">he ACMA considers it </w:t>
      </w:r>
      <w:r w:rsidR="006B1A31">
        <w:t xml:space="preserve">is now </w:t>
      </w:r>
      <w:r w:rsidR="00E30A83">
        <w:t>appropriate to consult on the proposal to remove the freeze</w:t>
      </w:r>
      <w:r w:rsidR="006B1A31">
        <w:t xml:space="preserve"> as these taxes have remained unchanged since 2008</w:t>
      </w:r>
      <w:r w:rsidR="00E30A83">
        <w:t>.  It is expected that the ACMA will consult on both proposals near the end of Q1 or early in Q2</w:t>
      </w:r>
      <w:r w:rsidR="0069057D">
        <w:t xml:space="preserve"> 20</w:t>
      </w:r>
      <w:r w:rsidR="00D54277">
        <w:t>19</w:t>
      </w:r>
      <w:r w:rsidR="004E64E0">
        <w:t>–</w:t>
      </w:r>
      <w:r w:rsidR="00D54277">
        <w:t>20</w:t>
      </w:r>
      <w:r w:rsidR="00E30A83">
        <w:t>.</w:t>
      </w:r>
    </w:p>
    <w:p w14:paraId="1567FC23" w14:textId="77777777" w:rsidR="00286D6B" w:rsidRDefault="00286D6B" w:rsidP="005759E7">
      <w:pPr>
        <w:pStyle w:val="Heading1"/>
      </w:pPr>
      <w:bookmarkStart w:id="470" w:name="_Toc510104994"/>
      <w:bookmarkStart w:id="471" w:name="_Toc510105791"/>
      <w:bookmarkStart w:id="472" w:name="_Toc510795125"/>
      <w:bookmarkStart w:id="473" w:name="_Toc511716327"/>
      <w:bookmarkStart w:id="474" w:name="_Toc511719138"/>
      <w:bookmarkStart w:id="475" w:name="_Toc522794131"/>
      <w:bookmarkStart w:id="476" w:name="_Toc5025743"/>
      <w:r>
        <w:lastRenderedPageBreak/>
        <w:t>Compliance and enforcement</w:t>
      </w:r>
      <w:bookmarkEnd w:id="470"/>
      <w:bookmarkEnd w:id="471"/>
      <w:bookmarkEnd w:id="472"/>
      <w:bookmarkEnd w:id="473"/>
      <w:bookmarkEnd w:id="474"/>
      <w:bookmarkEnd w:id="475"/>
      <w:bookmarkEnd w:id="476"/>
    </w:p>
    <w:p w14:paraId="4ABA363A" w14:textId="77777777" w:rsidR="001F307F" w:rsidRPr="005759E7" w:rsidRDefault="001F307F" w:rsidP="005759E7">
      <w:pPr>
        <w:pStyle w:val="Heading2"/>
      </w:pPr>
      <w:bookmarkStart w:id="477" w:name="_Toc511716328"/>
      <w:bookmarkStart w:id="478" w:name="_Toc511719139"/>
      <w:bookmarkStart w:id="479" w:name="_Toc522794132"/>
      <w:bookmarkStart w:id="480" w:name="_Toc5025744"/>
      <w:bookmarkStart w:id="481" w:name="_Toc510104995"/>
      <w:bookmarkStart w:id="482" w:name="_Toc510105792"/>
      <w:bookmarkStart w:id="483" w:name="_Toc510795126"/>
      <w:r w:rsidRPr="005759E7">
        <w:t xml:space="preserve">Priority </w:t>
      </w:r>
      <w:r w:rsidR="00844848">
        <w:t>c</w:t>
      </w:r>
      <w:r w:rsidRPr="005759E7">
        <w:t xml:space="preserve">ompliance </w:t>
      </w:r>
      <w:r w:rsidR="00844848">
        <w:t>a</w:t>
      </w:r>
      <w:r w:rsidRPr="005759E7">
        <w:t>reas</w:t>
      </w:r>
      <w:bookmarkEnd w:id="477"/>
      <w:bookmarkEnd w:id="478"/>
      <w:bookmarkEnd w:id="479"/>
      <w:bookmarkEnd w:id="480"/>
    </w:p>
    <w:p w14:paraId="64BF1E0B" w14:textId="70113F8B" w:rsidR="001F307F" w:rsidRDefault="001F307F" w:rsidP="00E63BF5">
      <w:r w:rsidRPr="001F307F">
        <w:t xml:space="preserve">The ACMA’s </w:t>
      </w:r>
      <w:r w:rsidR="00844848">
        <w:t>p</w:t>
      </w:r>
      <w:r w:rsidRPr="001F307F">
        <w:t xml:space="preserve">riority </w:t>
      </w:r>
      <w:r w:rsidR="00844848">
        <w:t>c</w:t>
      </w:r>
      <w:r w:rsidRPr="001F307F">
        <w:t xml:space="preserve">ompliance </w:t>
      </w:r>
      <w:r w:rsidR="00844848">
        <w:t>a</w:t>
      </w:r>
      <w:r w:rsidRPr="001F307F">
        <w:t xml:space="preserve">rea (PCA) program </w:t>
      </w:r>
      <w:r w:rsidRPr="00E87F7D">
        <w:t>commenced in 2012</w:t>
      </w:r>
      <w:r w:rsidR="006A26C9">
        <w:t>–</w:t>
      </w:r>
      <w:r w:rsidRPr="00E87F7D">
        <w:t xml:space="preserve">13 and </w:t>
      </w:r>
      <w:r w:rsidR="00AA64AA">
        <w:t>has effectively guided</w:t>
      </w:r>
      <w:r w:rsidRPr="00E87F7D">
        <w:t xml:space="preserve"> </w:t>
      </w:r>
      <w:r>
        <w:t>our</w:t>
      </w:r>
      <w:r w:rsidRPr="00E87F7D">
        <w:t xml:space="preserve"> approach to compliance and enforcement. Centred on a risk-based methodology, this program aim</w:t>
      </w:r>
      <w:r w:rsidR="00AA64AA">
        <w:t>ed</w:t>
      </w:r>
      <w:r w:rsidRPr="00E87F7D">
        <w:t xml:space="preserve"> to systematically identify and address high</w:t>
      </w:r>
      <w:r w:rsidR="006A26C9">
        <w:t>-</w:t>
      </w:r>
      <w:r w:rsidRPr="00E87F7D">
        <w:t>risk compliance issues</w:t>
      </w:r>
      <w:r w:rsidR="00545E0B">
        <w:t xml:space="preserve"> by</w:t>
      </w:r>
      <w:r w:rsidRPr="00E87F7D">
        <w:t xml:space="preserve"> </w:t>
      </w:r>
      <w:r w:rsidR="00545E0B" w:rsidRPr="00E87F7D">
        <w:t>maximis</w:t>
      </w:r>
      <w:r w:rsidR="00545E0B">
        <w:t>ing</w:t>
      </w:r>
      <w:r w:rsidR="00545E0B" w:rsidRPr="00E87F7D">
        <w:t xml:space="preserve"> </w:t>
      </w:r>
      <w:r w:rsidRPr="00E87F7D">
        <w:t>the regulatory reach of the ACMA in a strategic and resource</w:t>
      </w:r>
      <w:r w:rsidR="00545E0B">
        <w:t>-</w:t>
      </w:r>
      <w:r w:rsidRPr="00E87F7D">
        <w:t xml:space="preserve">efficient manner. </w:t>
      </w:r>
    </w:p>
    <w:p w14:paraId="0D426E34" w14:textId="77777777" w:rsidR="003D7BE8" w:rsidRDefault="003D7BE8" w:rsidP="003D7BE8">
      <w:r>
        <w:t>In April 2018, the ACMA consulted with industry through tune-ups held in Sydney and Melbourne on draft PCAs for 2018–19.</w:t>
      </w:r>
    </w:p>
    <w:p w14:paraId="12F07712" w14:textId="2E941CAA" w:rsidR="001F307F" w:rsidRDefault="001F307F" w:rsidP="005759E7">
      <w:pPr>
        <w:spacing w:after="80"/>
      </w:pPr>
      <w:r>
        <w:t>PCAs are set annually. In 201</w:t>
      </w:r>
      <w:r w:rsidR="003D7BE8">
        <w:t>8</w:t>
      </w:r>
      <w:r w:rsidR="006A26C9">
        <w:t>–</w:t>
      </w:r>
      <w:r>
        <w:t>1</w:t>
      </w:r>
      <w:r w:rsidR="003D7BE8">
        <w:t>9</w:t>
      </w:r>
      <w:r>
        <w:t>, the ACMA PCA programs focused on:</w:t>
      </w:r>
    </w:p>
    <w:p w14:paraId="14896A58" w14:textId="2869280A" w:rsidR="00614686" w:rsidRDefault="00614686" w:rsidP="00DE694D">
      <w:pPr>
        <w:pStyle w:val="ListBullet"/>
        <w:rPr>
          <w:color w:val="000000" w:themeColor="text1"/>
          <w:lang w:bidi="he-IL"/>
        </w:rPr>
      </w:pPr>
      <w:r w:rsidRPr="00DE694D">
        <w:rPr>
          <w:color w:val="000000" w:themeColor="text1"/>
        </w:rPr>
        <w:t>Interference management</w:t>
      </w:r>
      <w:r w:rsidR="00457F04" w:rsidRPr="00DE694D">
        <w:rPr>
          <w:color w:val="000000" w:themeColor="text1"/>
        </w:rPr>
        <w:t>—</w:t>
      </w:r>
      <w:r w:rsidR="00457F04">
        <w:rPr>
          <w:snapToGrid w:val="0"/>
        </w:rPr>
        <w:t>t</w:t>
      </w:r>
      <w:r>
        <w:rPr>
          <w:snapToGrid w:val="0"/>
        </w:rPr>
        <w:t>his PCA will continue from 2017</w:t>
      </w:r>
      <w:r w:rsidR="004E64E0">
        <w:rPr>
          <w:snapToGrid w:val="0"/>
        </w:rPr>
        <w:t>–</w:t>
      </w:r>
      <w:r>
        <w:rPr>
          <w:snapToGrid w:val="0"/>
        </w:rPr>
        <w:t xml:space="preserve">18 and will further consider the </w:t>
      </w:r>
      <w:r w:rsidR="00A549A1">
        <w:rPr>
          <w:snapToGrid w:val="0"/>
        </w:rPr>
        <w:t xml:space="preserve">Interference Management </w:t>
      </w:r>
      <w:r>
        <w:rPr>
          <w:snapToGrid w:val="0"/>
        </w:rPr>
        <w:t xml:space="preserve">Principles through the development of procedures for accepting and investigating complaints. </w:t>
      </w:r>
    </w:p>
    <w:p w14:paraId="76C1678A" w14:textId="65B6759C" w:rsidR="00614686" w:rsidRDefault="00614686" w:rsidP="00DE694D">
      <w:pPr>
        <w:pStyle w:val="ListBullet"/>
        <w:rPr>
          <w:color w:val="000000" w:themeColor="text1"/>
        </w:rPr>
      </w:pPr>
      <w:r w:rsidRPr="00DE694D">
        <w:t xml:space="preserve">Spectrum Review </w:t>
      </w:r>
      <w:r w:rsidR="00457F04" w:rsidRPr="00DE694D">
        <w:t>i</w:t>
      </w:r>
      <w:r w:rsidRPr="00DE694D">
        <w:t>mplementation</w:t>
      </w:r>
      <w:r w:rsidR="00457F04" w:rsidRPr="00DE694D">
        <w:t>—t</w:t>
      </w:r>
      <w:r>
        <w:rPr>
          <w:snapToGrid w:val="0"/>
        </w:rPr>
        <w:t xml:space="preserve">his PCA will position </w:t>
      </w:r>
      <w:r w:rsidR="003850DD">
        <w:rPr>
          <w:snapToGrid w:val="0"/>
        </w:rPr>
        <w:t xml:space="preserve">the ACMA </w:t>
      </w:r>
      <w:r>
        <w:rPr>
          <w:snapToGrid w:val="0"/>
        </w:rPr>
        <w:t>to start a body of work relating to the practices and processes required to support the regulatory arrangements for transmitter licensing compliance; equipment rules, and interference offence provisions under the Bill.</w:t>
      </w:r>
    </w:p>
    <w:p w14:paraId="46ADEA8B" w14:textId="54551F47" w:rsidR="00614686" w:rsidRDefault="00614686" w:rsidP="00DE694D">
      <w:pPr>
        <w:pStyle w:val="ListBullet"/>
      </w:pPr>
      <w:r w:rsidRPr="00DE694D">
        <w:t>Licen</w:t>
      </w:r>
      <w:r w:rsidR="00A549A1" w:rsidRPr="00DE694D">
        <w:t>s</w:t>
      </w:r>
      <w:r w:rsidRPr="00DE694D">
        <w:t xml:space="preserve">ing </w:t>
      </w:r>
      <w:r w:rsidR="00457F04" w:rsidRPr="00DE694D">
        <w:t>i</w:t>
      </w:r>
      <w:r w:rsidRPr="00DE694D">
        <w:t>ntegrity</w:t>
      </w:r>
      <w:bookmarkStart w:id="484" w:name="_Hlk2682799"/>
      <w:r w:rsidR="00457F04">
        <w:t>—f</w:t>
      </w:r>
      <w:r>
        <w:t>eedback received at</w:t>
      </w:r>
      <w:r w:rsidR="00457F04">
        <w:t xml:space="preserve"> the</w:t>
      </w:r>
      <w:r>
        <w:t xml:space="preserve"> </w:t>
      </w:r>
      <w:proofErr w:type="spellStart"/>
      <w:r>
        <w:t>RadComms</w:t>
      </w:r>
      <w:proofErr w:type="spellEnd"/>
      <w:r>
        <w:t xml:space="preserve"> 2017 </w:t>
      </w:r>
      <w:r w:rsidR="00DD7452">
        <w:t xml:space="preserve">conference </w:t>
      </w:r>
      <w:bookmarkEnd w:id="484"/>
      <w:r>
        <w:t xml:space="preserve">and work conducted on the Gold Coast to prepare for the Commonwealth Games </w:t>
      </w:r>
      <w:r w:rsidR="003D7BE8">
        <w:t xml:space="preserve">in 2018 </w:t>
      </w:r>
      <w:r>
        <w:t>supports a compliance focus on licen</w:t>
      </w:r>
      <w:r w:rsidR="00DF6126">
        <w:t>s</w:t>
      </w:r>
      <w:r>
        <w:t xml:space="preserve">ing integrity. Licence integrity </w:t>
      </w:r>
      <w:r w:rsidR="007B79A3">
        <w:t xml:space="preserve">relates to </w:t>
      </w:r>
      <w:r>
        <w:t xml:space="preserve">the extent to which services are operating in compliance with their licence conditions. </w:t>
      </w:r>
    </w:p>
    <w:p w14:paraId="79D20B6D" w14:textId="36F3ECF9" w:rsidR="006B6F6E" w:rsidRPr="005759E7" w:rsidRDefault="007A7B25" w:rsidP="005759E7">
      <w:pPr>
        <w:pStyle w:val="Heading2"/>
      </w:pPr>
      <w:bookmarkStart w:id="485" w:name="_Toc511716329"/>
      <w:bookmarkStart w:id="486" w:name="_Toc511719140"/>
      <w:bookmarkStart w:id="487" w:name="_Toc522794133"/>
      <w:bookmarkStart w:id="488" w:name="_Toc5025745"/>
      <w:r w:rsidRPr="005759E7">
        <w:t>Progress achieved</w:t>
      </w:r>
      <w:bookmarkEnd w:id="481"/>
      <w:bookmarkEnd w:id="482"/>
      <w:bookmarkEnd w:id="483"/>
      <w:bookmarkEnd w:id="485"/>
      <w:bookmarkEnd w:id="486"/>
      <w:bookmarkEnd w:id="487"/>
      <w:bookmarkEnd w:id="488"/>
    </w:p>
    <w:p w14:paraId="0EE1D940" w14:textId="21919A65" w:rsidR="00DD7452" w:rsidRDefault="00DD7452" w:rsidP="00DE694D">
      <w:pPr>
        <w:pStyle w:val="Heading3"/>
      </w:pPr>
      <w:bookmarkStart w:id="489" w:name="_Toc5025746"/>
      <w:r>
        <w:t>Licen</w:t>
      </w:r>
      <w:r w:rsidR="008D4926">
        <w:t>s</w:t>
      </w:r>
      <w:r>
        <w:t xml:space="preserve">ing </w:t>
      </w:r>
      <w:r w:rsidR="00E73975">
        <w:t>i</w:t>
      </w:r>
      <w:r>
        <w:t>ntegrity</w:t>
      </w:r>
      <w:bookmarkEnd w:id="489"/>
      <w:r>
        <w:t xml:space="preserve"> </w:t>
      </w:r>
    </w:p>
    <w:p w14:paraId="139E65B7" w14:textId="40BB8907" w:rsidR="00DD7452" w:rsidRDefault="00DD7452" w:rsidP="002E3C54">
      <w:r>
        <w:t>The ACMA is focusing on issues relating to non-renewal of lapsed apparatus licences and compliance with licence conditions. This compl</w:t>
      </w:r>
      <w:r w:rsidR="00E86613">
        <w:t>e</w:t>
      </w:r>
      <w:r>
        <w:t>ments the work that has already been done relating to the importation of cheap two-way radios that come pre-programmed with frequencies that are not covered by a class licence</w:t>
      </w:r>
      <w:r w:rsidR="00D95467">
        <w:t>, and not apparatus-licensed,</w:t>
      </w:r>
      <w:r w:rsidR="00A549A1">
        <w:t xml:space="preserve"> operating in land mobile spectrum.</w:t>
      </w:r>
    </w:p>
    <w:p w14:paraId="56005685" w14:textId="127B0983" w:rsidR="00614686" w:rsidRDefault="00614686" w:rsidP="002E3C54">
      <w:r>
        <w:t xml:space="preserve">Spectrum </w:t>
      </w:r>
      <w:r w:rsidR="00461BD6">
        <w:t>m</w:t>
      </w:r>
      <w:r>
        <w:t xml:space="preserve">onitoring </w:t>
      </w:r>
      <w:r w:rsidR="00461BD6" w:rsidRPr="00461BD6">
        <w:t>in the 400 MHz and 5.6 GHz bands has been completed in Western Victoria, South Australia and the Sunshine coast in Queensland</w:t>
      </w:r>
      <w:r w:rsidR="00757389">
        <w:t>.</w:t>
      </w:r>
    </w:p>
    <w:p w14:paraId="1528B471" w14:textId="4CEC4A58" w:rsidR="00757389" w:rsidRDefault="00757389" w:rsidP="002E3C54">
      <w:r w:rsidRPr="00757389">
        <w:t xml:space="preserve">The 400 MHz monitoring </w:t>
      </w:r>
      <w:r>
        <w:t xml:space="preserve">program </w:t>
      </w:r>
      <w:r w:rsidRPr="00757389">
        <w:t>will</w:t>
      </w:r>
      <w:r>
        <w:t xml:space="preserve"> shortly </w:t>
      </w:r>
      <w:r w:rsidRPr="00757389">
        <w:t xml:space="preserve">be completed in Brisbane, Sydney and Melbourne. The results from this monitoring activity will be used in the next stage of the PCA to target field-based compliance activities </w:t>
      </w:r>
      <w:r w:rsidR="003D7BE8">
        <w:t xml:space="preserve">in </w:t>
      </w:r>
      <w:r w:rsidR="00AF6DCC">
        <w:t>Q</w:t>
      </w:r>
      <w:r w:rsidR="005315A6">
        <w:t>4</w:t>
      </w:r>
      <w:r w:rsidR="003D7BE8" w:rsidDel="00AF6DCC">
        <w:t xml:space="preserve"> </w:t>
      </w:r>
      <w:r w:rsidR="003D7BE8">
        <w:t>2018</w:t>
      </w:r>
      <w:r w:rsidR="004E64E0">
        <w:t>–</w:t>
      </w:r>
      <w:r w:rsidR="003D7BE8">
        <w:t xml:space="preserve">19 </w:t>
      </w:r>
      <w:r w:rsidRPr="00757389">
        <w:t xml:space="preserve">including compliance investigations </w:t>
      </w:r>
      <w:r>
        <w:t>and enforcement action.</w:t>
      </w:r>
    </w:p>
    <w:p w14:paraId="5BCEB934" w14:textId="69DCC697" w:rsidR="00614686" w:rsidRDefault="00614686" w:rsidP="002E3C54">
      <w:pPr>
        <w:pStyle w:val="Heading3"/>
      </w:pPr>
      <w:bookmarkStart w:id="490" w:name="_Toc5025747"/>
      <w:r>
        <w:t xml:space="preserve">Spectrum Review </w:t>
      </w:r>
      <w:r w:rsidR="00457F04">
        <w:t>implementation</w:t>
      </w:r>
      <w:bookmarkEnd w:id="490"/>
    </w:p>
    <w:p w14:paraId="6D1AFDD8" w14:textId="1E0D282F" w:rsidR="00DD7452" w:rsidRDefault="00DD7452" w:rsidP="00614686">
      <w:r>
        <w:t>Practices and procedures are being developed to support the</w:t>
      </w:r>
      <w:r w:rsidR="00D861D9">
        <w:t xml:space="preserve"> potential</w:t>
      </w:r>
      <w:r>
        <w:t xml:space="preserve"> implementation of a </w:t>
      </w:r>
      <w:r w:rsidR="00457F04">
        <w:t>c</w:t>
      </w:r>
      <w:r>
        <w:t xml:space="preserve">ivil </w:t>
      </w:r>
      <w:r w:rsidR="00457F04">
        <w:t>p</w:t>
      </w:r>
      <w:r>
        <w:t>enalties regime and the introduction of supply side controls including interim bans and product recalls</w:t>
      </w:r>
      <w:r w:rsidR="00D861D9">
        <w:t xml:space="preserve"> under new legislation under development. The scope and timing of this work is related to the progress of the draft legislation.</w:t>
      </w:r>
      <w:r>
        <w:t xml:space="preserve"> </w:t>
      </w:r>
    </w:p>
    <w:p w14:paraId="07F3F4EA" w14:textId="6D277BD2" w:rsidR="00DD7452" w:rsidRDefault="00DD7452" w:rsidP="002E3C54">
      <w:pPr>
        <w:pStyle w:val="Heading3"/>
        <w:rPr>
          <w:color w:val="000000" w:themeColor="text1"/>
        </w:rPr>
      </w:pPr>
      <w:bookmarkStart w:id="491" w:name="_Toc5025748"/>
      <w:r>
        <w:t>Interference management</w:t>
      </w:r>
      <w:bookmarkEnd w:id="491"/>
    </w:p>
    <w:p w14:paraId="662A4F9F" w14:textId="1FECFE8B" w:rsidR="004102B3" w:rsidRDefault="004102B3" w:rsidP="004102B3">
      <w:r>
        <w:t>The ACMA continues to consider industry feedback on its</w:t>
      </w:r>
      <w:r w:rsidDel="008023C1">
        <w:t xml:space="preserve"> </w:t>
      </w:r>
      <w:r>
        <w:t xml:space="preserve">interference management principles and expects to finalise them </w:t>
      </w:r>
      <w:r w:rsidR="003D7BE8">
        <w:t xml:space="preserve">in </w:t>
      </w:r>
      <w:r w:rsidR="00D95467">
        <w:t>Q</w:t>
      </w:r>
      <w:r w:rsidR="003D7BE8">
        <w:t>4</w:t>
      </w:r>
      <w:r w:rsidDel="003D7BE8">
        <w:t xml:space="preserve"> </w:t>
      </w:r>
      <w:r w:rsidRPr="00596594">
        <w:t>2018</w:t>
      </w:r>
      <w:r w:rsidR="004E64E0">
        <w:t>–</w:t>
      </w:r>
      <w:r w:rsidR="003D7BE8">
        <w:t>19</w:t>
      </w:r>
      <w:r>
        <w:t xml:space="preserve">. The principles will inform the </w:t>
      </w:r>
      <w:r>
        <w:lastRenderedPageBreak/>
        <w:t>development of an interference management framework, which will provide updated procedural guidance for licensees making interference complaints to the ACMA.</w:t>
      </w:r>
    </w:p>
    <w:p w14:paraId="52F12150" w14:textId="751433F4" w:rsidR="00461BD6" w:rsidRPr="002648FD" w:rsidRDefault="002C5948" w:rsidP="002E3C54">
      <w:pPr>
        <w:pStyle w:val="Heading3"/>
      </w:pPr>
      <w:bookmarkStart w:id="492" w:name="_Toc5025749"/>
      <w:bookmarkStart w:id="493" w:name="_Toc522794136"/>
      <w:bookmarkStart w:id="494" w:name="_Toc510104998"/>
      <w:bookmarkStart w:id="495" w:name="_Toc510105795"/>
      <w:bookmarkStart w:id="496" w:name="_Toc510795129"/>
      <w:bookmarkStart w:id="497" w:name="_Toc511716332"/>
      <w:bookmarkStart w:id="498" w:name="_Toc511719143"/>
      <w:r w:rsidRPr="002648FD">
        <w:t>Compliance themes</w:t>
      </w:r>
      <w:bookmarkEnd w:id="492"/>
    </w:p>
    <w:p w14:paraId="45004230" w14:textId="61EDD58A" w:rsidR="002659DF" w:rsidRDefault="002659DF" w:rsidP="00DE694D">
      <w:pPr>
        <w:spacing w:after="80"/>
      </w:pPr>
      <w:r>
        <w:t>Each year the ACMA investigates a broad range of issues and complaints relating to spectrum use, interference, licensing and device supply. During the 2018</w:t>
      </w:r>
      <w:r w:rsidR="004E64E0">
        <w:t>–</w:t>
      </w:r>
      <w:r>
        <w:t>19 year, the following themes have emerged:</w:t>
      </w:r>
    </w:p>
    <w:p w14:paraId="02D97F89" w14:textId="77777777" w:rsidR="00B62247" w:rsidRPr="00757389" w:rsidRDefault="00B62247" w:rsidP="00C808DB">
      <w:pPr>
        <w:pStyle w:val="ListBullet"/>
        <w:rPr>
          <w:rFonts w:cs="Arial"/>
          <w:sz w:val="22"/>
          <w:szCs w:val="22"/>
        </w:rPr>
      </w:pPr>
      <w:bookmarkStart w:id="499" w:name="_Hlk2683220"/>
      <w:r>
        <w:t>During the 6 months July to December 2018, ACMA compliance staff executed 3 search warrants relating to the operation of a mobile phone jammer, a GPS jammer and citizen band radio.</w:t>
      </w:r>
    </w:p>
    <w:p w14:paraId="3A5B7C0D" w14:textId="5DF95DF4" w:rsidR="00461BD6" w:rsidRPr="00596594" w:rsidRDefault="0000190B" w:rsidP="00C808DB">
      <w:pPr>
        <w:pStyle w:val="ListBullet"/>
      </w:pPr>
      <w:bookmarkStart w:id="500" w:name="_Hlk2683387"/>
      <w:bookmarkEnd w:id="499"/>
      <w:r>
        <w:t>F</w:t>
      </w:r>
      <w:r w:rsidR="00757389" w:rsidRPr="00596594">
        <w:t>ield staff conduct</w:t>
      </w:r>
      <w:r w:rsidR="007E5605">
        <w:t>ed</w:t>
      </w:r>
      <w:r w:rsidR="00757389" w:rsidRPr="00596594">
        <w:t xml:space="preserve"> signal monitoring activities to identify unlicensed operation </w:t>
      </w:r>
      <w:bookmarkEnd w:id="500"/>
      <w:r w:rsidR="00757389" w:rsidRPr="00596594">
        <w:t>under the Licensing Integrity PCA.</w:t>
      </w:r>
      <w:r w:rsidR="00757389">
        <w:t xml:space="preserve"> </w:t>
      </w:r>
      <w:r w:rsidR="007E5605">
        <w:t>As a result</w:t>
      </w:r>
      <w:r w:rsidR="004C6570">
        <w:t>,</w:t>
      </w:r>
      <w:r w:rsidR="007E5605">
        <w:t xml:space="preserve"> </w:t>
      </w:r>
      <w:r w:rsidR="004C6570">
        <w:t>f</w:t>
      </w:r>
      <w:r w:rsidR="00461BD6" w:rsidRPr="00596594">
        <w:t xml:space="preserve">ield staff are continuing to </w:t>
      </w:r>
      <w:r w:rsidR="004102B3">
        <w:t>identify</w:t>
      </w:r>
      <w:r w:rsidR="00461BD6" w:rsidRPr="00596594">
        <w:t xml:space="preserve"> hand-held radios pre-programmed with unlicensed frequencies in the 400 MHz band. </w:t>
      </w:r>
    </w:p>
    <w:p w14:paraId="0A0FE346" w14:textId="09975BC8" w:rsidR="00982E91" w:rsidRPr="00596594" w:rsidRDefault="00757389" w:rsidP="00C808DB">
      <w:pPr>
        <w:pStyle w:val="ListBulletLast"/>
        <w:rPr>
          <w:sz w:val="22"/>
          <w:szCs w:val="22"/>
        </w:rPr>
      </w:pPr>
      <w:r w:rsidRPr="00757389">
        <w:t>Interference c</w:t>
      </w:r>
      <w:r w:rsidR="00461BD6" w:rsidRPr="00596594">
        <w:t>omplaints from MNOs have increased. This increase can be attributed to reports of interference in the 700 MHz band</w:t>
      </w:r>
      <w:r w:rsidR="0070682A">
        <w:t xml:space="preserve"> attributable to emissions from computer monitors.</w:t>
      </w:r>
      <w:r w:rsidRPr="00596594">
        <w:t xml:space="preserve"> </w:t>
      </w:r>
    </w:p>
    <w:p w14:paraId="6DBDB640" w14:textId="05637F9C" w:rsidR="002C5948" w:rsidRPr="002C5948" w:rsidRDefault="00C603FF" w:rsidP="00596594">
      <w:r>
        <w:t>F</w:t>
      </w:r>
      <w:r w:rsidR="002C5948">
        <w:t xml:space="preserve">ull reporting on the number of </w:t>
      </w:r>
      <w:r w:rsidR="00457F04">
        <w:t>c</w:t>
      </w:r>
      <w:r>
        <w:t xml:space="preserve">ompliance and enforcement </w:t>
      </w:r>
      <w:r w:rsidR="002C5948">
        <w:t>activities can be found in the</w:t>
      </w:r>
      <w:r>
        <w:t xml:space="preserve"> ACMA’s</w:t>
      </w:r>
      <w:r w:rsidR="002C5948">
        <w:t xml:space="preserve"> </w:t>
      </w:r>
      <w:hyperlink r:id="rId73" w:history="1">
        <w:r w:rsidR="002C5948" w:rsidRPr="00457F04">
          <w:rPr>
            <w:rStyle w:val="Hyperlink"/>
          </w:rPr>
          <w:t>2018</w:t>
        </w:r>
        <w:r w:rsidR="004E64E0" w:rsidRPr="00457F04">
          <w:rPr>
            <w:rStyle w:val="Hyperlink"/>
          </w:rPr>
          <w:t>–</w:t>
        </w:r>
        <w:r w:rsidR="002C5948" w:rsidRPr="00457F04">
          <w:rPr>
            <w:rStyle w:val="Hyperlink"/>
          </w:rPr>
          <w:t xml:space="preserve">19 </w:t>
        </w:r>
        <w:r w:rsidR="00457F04" w:rsidRPr="00457F04">
          <w:rPr>
            <w:rStyle w:val="Hyperlink"/>
          </w:rPr>
          <w:t>a</w:t>
        </w:r>
        <w:r w:rsidR="002C5948" w:rsidRPr="00457F04">
          <w:rPr>
            <w:rStyle w:val="Hyperlink"/>
          </w:rPr>
          <w:t xml:space="preserve">nnual </w:t>
        </w:r>
        <w:r w:rsidR="00457F04" w:rsidRPr="00457F04">
          <w:rPr>
            <w:rStyle w:val="Hyperlink"/>
          </w:rPr>
          <w:t>r</w:t>
        </w:r>
        <w:r w:rsidR="002C5948" w:rsidRPr="00457F04">
          <w:rPr>
            <w:rStyle w:val="Hyperlink"/>
          </w:rPr>
          <w:t>eport</w:t>
        </w:r>
      </w:hyperlink>
      <w:r w:rsidR="002C5948">
        <w:t>.</w:t>
      </w:r>
    </w:p>
    <w:p w14:paraId="53D83BD7" w14:textId="7F4B1923" w:rsidR="006B6F6E" w:rsidRPr="005759E7" w:rsidRDefault="006B6F6E" w:rsidP="005759E7">
      <w:pPr>
        <w:pStyle w:val="Heading2"/>
        <w:keepLines/>
      </w:pPr>
      <w:bookmarkStart w:id="501" w:name="_Toc5025750"/>
      <w:bookmarkStart w:id="502" w:name="_Hlk4584854"/>
      <w:r w:rsidRPr="005759E7">
        <w:t xml:space="preserve">New/ongoing activities planned for </w:t>
      </w:r>
      <w:r w:rsidR="006A26C9">
        <w:t>20</w:t>
      </w:r>
      <w:r w:rsidRPr="005759E7">
        <w:t>1</w:t>
      </w:r>
      <w:r w:rsidR="00B52324">
        <w:t>9</w:t>
      </w:r>
      <w:r w:rsidR="006A26C9">
        <w:t>–</w:t>
      </w:r>
      <w:bookmarkEnd w:id="493"/>
      <w:r w:rsidR="00B52324">
        <w:t>2</w:t>
      </w:r>
      <w:r w:rsidR="00041CA4">
        <w:t>0</w:t>
      </w:r>
      <w:bookmarkEnd w:id="501"/>
      <w:r w:rsidRPr="005759E7">
        <w:t xml:space="preserve"> </w:t>
      </w:r>
      <w:bookmarkEnd w:id="494"/>
      <w:bookmarkEnd w:id="495"/>
      <w:bookmarkEnd w:id="496"/>
      <w:bookmarkEnd w:id="497"/>
      <w:bookmarkEnd w:id="498"/>
    </w:p>
    <w:p w14:paraId="36F71AFC" w14:textId="28D38280" w:rsidR="00DB102A" w:rsidRPr="00E93A04" w:rsidRDefault="00DB102A" w:rsidP="00DB102A">
      <w:pPr>
        <w:rPr>
          <w:rFonts w:ascii="Calibri" w:hAnsi="Calibri"/>
        </w:rPr>
      </w:pPr>
      <w:bookmarkStart w:id="503" w:name="_Toc510104999"/>
      <w:bookmarkStart w:id="504" w:name="_Toc510105796"/>
      <w:bookmarkStart w:id="505" w:name="_Toc510795130"/>
      <w:bookmarkStart w:id="506" w:name="_Toc511716333"/>
      <w:bookmarkStart w:id="507" w:name="_Toc511719144"/>
      <w:bookmarkStart w:id="508" w:name="_Toc522794137"/>
      <w:r>
        <w:t>For the 2019–20 period the ACMA is adopting a whole</w:t>
      </w:r>
      <w:r w:rsidR="00A7610E">
        <w:t>-</w:t>
      </w:r>
      <w:r>
        <w:t>of</w:t>
      </w:r>
      <w:r w:rsidR="00A7610E">
        <w:t>-</w:t>
      </w:r>
      <w:r>
        <w:t>agency approach to setting priorities</w:t>
      </w:r>
      <w:r w:rsidR="00E743C9">
        <w:t xml:space="preserve"> to guide our compliance and enforcement activities</w:t>
      </w:r>
      <w:r>
        <w:t>.</w:t>
      </w:r>
      <w:r w:rsidR="00E743C9">
        <w:t xml:space="preserve"> </w:t>
      </w:r>
      <w:r w:rsidR="00E743C9" w:rsidRPr="00DE694D">
        <w:t>This new approach will replace the setting of annual priority compliance areas for radiocommunications that has guided our approach in recent years.</w:t>
      </w:r>
      <w:r w:rsidRPr="00883E7F">
        <w:t xml:space="preserve"> There are three </w:t>
      </w:r>
      <w:r w:rsidR="00561D76">
        <w:t>c</w:t>
      </w:r>
      <w:r w:rsidRPr="00883E7F">
        <w:t>ompliance</w:t>
      </w:r>
      <w:r w:rsidR="00E743C9" w:rsidRPr="00883E7F">
        <w:t xml:space="preserve"> </w:t>
      </w:r>
      <w:r w:rsidR="00561D76">
        <w:t>p</w:t>
      </w:r>
      <w:r w:rsidR="00E743C9" w:rsidRPr="00883E7F">
        <w:t>riorities</w:t>
      </w:r>
      <w:r w:rsidRPr="00216F58">
        <w:t xml:space="preserve"> identified in relation to our spectrum functions. </w:t>
      </w:r>
    </w:p>
    <w:p w14:paraId="7A784C5A" w14:textId="063C5A26" w:rsidR="00DB102A" w:rsidRDefault="00E743C9" w:rsidP="00DE694D">
      <w:pPr>
        <w:rPr>
          <w:rFonts w:cs="Arial"/>
        </w:rPr>
      </w:pPr>
      <w:r w:rsidRPr="00DE694D">
        <w:t>With the expected increase in small cell deployments as 5G technology is implemented, t</w:t>
      </w:r>
      <w:r w:rsidR="00DB102A" w:rsidRPr="00883E7F">
        <w:rPr>
          <w:rFonts w:cs="Arial"/>
        </w:rPr>
        <w:t>he ACMA will conduct a program of compliance audits</w:t>
      </w:r>
      <w:r w:rsidR="00DB102A">
        <w:rPr>
          <w:rFonts w:cs="Arial"/>
        </w:rPr>
        <w:t xml:space="preserve"> focused on small cell deployments by mobile network operators in the 2019–20 year. The purpose of this audit program will be to test compliance with the Electromagnetic Energy </w:t>
      </w:r>
      <w:r w:rsidR="00003CFD">
        <w:rPr>
          <w:rFonts w:cs="Arial"/>
        </w:rPr>
        <w:t>(EME) e</w:t>
      </w:r>
      <w:r w:rsidR="00DB102A">
        <w:rPr>
          <w:rFonts w:cs="Arial"/>
        </w:rPr>
        <w:t>xposure obligations placed on mobile network operators and provide a baseline of compliance data. This data will complement the EME base station audit program conducted in 2013–14 and other previous EME priority compliance area programs relating to Smart Meters, Mobile Handsets and Wi-Fi devices.</w:t>
      </w:r>
    </w:p>
    <w:p w14:paraId="0D13F4C2" w14:textId="554225CA" w:rsidR="00DB102A" w:rsidRDefault="00DB102A" w:rsidP="00DE694D">
      <w:pPr>
        <w:rPr>
          <w:rFonts w:cs="Arial"/>
        </w:rPr>
      </w:pPr>
      <w:r>
        <w:rPr>
          <w:rFonts w:cs="Arial"/>
        </w:rPr>
        <w:t>The ACMA will extend its Licensing Integrity priority compliance area program into 2019</w:t>
      </w:r>
      <w:r w:rsidR="00FA620C">
        <w:rPr>
          <w:rFonts w:cs="Arial"/>
        </w:rPr>
        <w:t>–</w:t>
      </w:r>
      <w:r>
        <w:rPr>
          <w:rFonts w:cs="Arial"/>
        </w:rPr>
        <w:t>20</w:t>
      </w:r>
      <w:r w:rsidR="00E743C9">
        <w:rPr>
          <w:rFonts w:cs="Arial"/>
        </w:rPr>
        <w:t xml:space="preserve"> with a Compliance Priority aimed at</w:t>
      </w:r>
      <w:r>
        <w:rPr>
          <w:rFonts w:cs="Arial"/>
        </w:rPr>
        <w:t xml:space="preserve"> maximising the utility of licensed spectrum use by addressing various sources of unlicensed activit</w:t>
      </w:r>
      <w:r w:rsidR="00E743C9">
        <w:rPr>
          <w:rFonts w:cs="Arial"/>
        </w:rPr>
        <w:t>y. This Compliance Priority will</w:t>
      </w:r>
      <w:r>
        <w:rPr>
          <w:rFonts w:cs="Arial"/>
        </w:rPr>
        <w:t xml:space="preserve"> focus on services operating unlawfully in the 5.6 GHz band and the operation of non-compliant devices in the 400 MHz bands</w:t>
      </w:r>
      <w:r w:rsidR="00FA620C">
        <w:rPr>
          <w:rFonts w:cs="Arial"/>
        </w:rPr>
        <w:t>,</w:t>
      </w:r>
      <w:r w:rsidR="00F65D31" w:rsidRPr="00057119">
        <w:rPr>
          <w:rFonts w:cs="Arial"/>
        </w:rPr>
        <w:t xml:space="preserve"> </w:t>
      </w:r>
      <w:r w:rsidR="00F65D31" w:rsidRPr="004D0F4E">
        <w:rPr>
          <w:rFonts w:cs="Arial"/>
          <w:szCs w:val="20"/>
        </w:rPr>
        <w:t>and interference caused by solar inverters</w:t>
      </w:r>
      <w:r>
        <w:rPr>
          <w:rFonts w:cs="Arial"/>
        </w:rPr>
        <w:t xml:space="preserve">. </w:t>
      </w:r>
    </w:p>
    <w:p w14:paraId="3E8B66C8" w14:textId="77777777" w:rsidR="00E743C9" w:rsidRDefault="00E743C9" w:rsidP="00E743C9">
      <w:pPr>
        <w:spacing w:line="252" w:lineRule="auto"/>
        <w:rPr>
          <w:rFonts w:cs="Arial"/>
          <w:szCs w:val="20"/>
        </w:rPr>
      </w:pPr>
      <w:r w:rsidRPr="00DE694D">
        <w:rPr>
          <w:rFonts w:cs="Arial"/>
          <w:szCs w:val="20"/>
        </w:rPr>
        <w:t>As part of our ongoing priorities, the ACMA will also undertake activities that support communications network safety and reduce threats of disruption by operating well established regulatory and non-regulatory strategies targeting unauthorised cellular repeaters and prohibited devices (mobile phone and GPS jammers).</w:t>
      </w:r>
      <w:r>
        <w:rPr>
          <w:rFonts w:cs="Arial"/>
          <w:szCs w:val="20"/>
        </w:rPr>
        <w:t xml:space="preserve">  </w:t>
      </w:r>
      <w:bookmarkEnd w:id="502"/>
    </w:p>
    <w:tbl>
      <w:tblPr>
        <w:tblStyle w:val="TableGrid"/>
        <w:tblW w:w="0" w:type="auto"/>
        <w:tblLook w:val="04A0" w:firstRow="1" w:lastRow="0" w:firstColumn="1" w:lastColumn="0" w:noHBand="0" w:noVBand="1"/>
      </w:tblPr>
      <w:tblGrid>
        <w:gridCol w:w="7661"/>
      </w:tblGrid>
      <w:tr w:rsidR="00DA4557" w14:paraId="6B1E6E4E" w14:textId="77777777" w:rsidTr="00DE694D">
        <w:tc>
          <w:tcPr>
            <w:tcW w:w="7661" w:type="dxa"/>
            <w:shd w:val="clear" w:color="auto" w:fill="F2F2F2" w:themeFill="background1" w:themeFillShade="F2"/>
          </w:tcPr>
          <w:p w14:paraId="78A55BDA" w14:textId="2AE74A11" w:rsidR="00DA4557" w:rsidRDefault="00DA4557" w:rsidP="00DA4557">
            <w:pPr>
              <w:rPr>
                <w:b/>
              </w:rPr>
            </w:pPr>
            <w:r>
              <w:rPr>
                <w:b/>
              </w:rPr>
              <w:t>Consultation question</w:t>
            </w:r>
          </w:p>
          <w:p w14:paraId="1E7E375B" w14:textId="37BD6A57" w:rsidR="00DA4557" w:rsidRPr="00155D31" w:rsidRDefault="00DA4557" w:rsidP="00DE694D">
            <w:pPr>
              <w:pStyle w:val="ListParagraph"/>
              <w:numPr>
                <w:ilvl w:val="0"/>
                <w:numId w:val="60"/>
              </w:numPr>
              <w:spacing w:after="360"/>
            </w:pPr>
            <w:r w:rsidRPr="00DE694D">
              <w:t>Do you have any comments about the ACMA’s planned activities for licensing and licensing systems, pricing, and compliance and enforcement?</w:t>
            </w:r>
          </w:p>
        </w:tc>
      </w:tr>
    </w:tbl>
    <w:p w14:paraId="72A029E4" w14:textId="2D2D34E5" w:rsidR="00ED67AC" w:rsidRDefault="00ED67AC" w:rsidP="002E3C54">
      <w:pPr>
        <w:pStyle w:val="Heading1"/>
      </w:pPr>
      <w:bookmarkStart w:id="509" w:name="_Making_a_submission"/>
      <w:bookmarkStart w:id="510" w:name="_Toc5025751"/>
      <w:bookmarkStart w:id="511" w:name="_Toc463351358"/>
      <w:bookmarkStart w:id="512" w:name="_Toc491854141"/>
      <w:bookmarkStart w:id="513" w:name="_Toc494115206"/>
      <w:bookmarkStart w:id="514" w:name="_Toc509581840"/>
      <w:bookmarkStart w:id="515" w:name="_Toc509585156"/>
      <w:bookmarkStart w:id="516" w:name="_Toc509585692"/>
      <w:bookmarkStart w:id="517" w:name="_Toc510105012"/>
      <w:bookmarkStart w:id="518" w:name="_Toc510105809"/>
      <w:bookmarkStart w:id="519" w:name="_Toc510795139"/>
      <w:bookmarkStart w:id="520" w:name="_Toc511716342"/>
      <w:bookmarkStart w:id="521" w:name="_Toc511719153"/>
      <w:bookmarkStart w:id="522" w:name="_Toc514156760"/>
      <w:bookmarkEnd w:id="503"/>
      <w:bookmarkEnd w:id="504"/>
      <w:bookmarkEnd w:id="505"/>
      <w:bookmarkEnd w:id="506"/>
      <w:bookmarkEnd w:id="507"/>
      <w:bookmarkEnd w:id="508"/>
      <w:bookmarkEnd w:id="509"/>
      <w:r>
        <w:lastRenderedPageBreak/>
        <w:t>Invitation to comment</w:t>
      </w:r>
      <w:bookmarkEnd w:id="510"/>
    </w:p>
    <w:p w14:paraId="7489A659" w14:textId="77777777" w:rsidR="00C76E06" w:rsidRDefault="00C76E06" w:rsidP="00C76E06">
      <w:pPr>
        <w:pStyle w:val="Heading2"/>
      </w:pPr>
      <w:bookmarkStart w:id="523" w:name="_Toc442879670"/>
      <w:bookmarkStart w:id="524" w:name="_Toc433122131"/>
      <w:bookmarkStart w:id="525" w:name="_Toc348105637"/>
      <w:bookmarkStart w:id="526" w:name="_Toc300909556"/>
      <w:bookmarkStart w:id="527" w:name="_Toc298924673"/>
      <w:bookmarkStart w:id="528" w:name="_Toc5025752"/>
      <w:bookmarkStart w:id="529" w:name="_Toc348105638"/>
      <w:bookmarkStart w:id="530" w:name="_Toc300909557"/>
      <w:bookmarkStart w:id="531" w:name="_Toc298924674"/>
      <w:bookmarkStart w:id="532" w:name="_Toc274296357"/>
      <w:r>
        <w:t>Making a submission</w:t>
      </w:r>
      <w:bookmarkEnd w:id="523"/>
      <w:bookmarkEnd w:id="524"/>
      <w:bookmarkEnd w:id="525"/>
      <w:bookmarkEnd w:id="526"/>
      <w:bookmarkEnd w:id="527"/>
      <w:bookmarkEnd w:id="528"/>
    </w:p>
    <w:p w14:paraId="5FBF99F8" w14:textId="77777777" w:rsidR="00C76E06" w:rsidRDefault="00C76E06" w:rsidP="00C76E06">
      <w:r>
        <w:t xml:space="preserve">The ACMA invites comments on the issues set out in this discussion paper. </w:t>
      </w:r>
    </w:p>
    <w:p w14:paraId="54829FD3" w14:textId="77777777" w:rsidR="00C76E06" w:rsidRDefault="005D06D9" w:rsidP="00DE694D">
      <w:pPr>
        <w:pStyle w:val="ListBullet"/>
      </w:pPr>
      <w:hyperlink r:id="rId74" w:history="1">
        <w:r w:rsidR="00C76E06">
          <w:rPr>
            <w:rStyle w:val="Hyperlink"/>
          </w:rPr>
          <w:t>Online submissions</w:t>
        </w:r>
      </w:hyperlink>
      <w:r w:rsidR="00C76E06">
        <w:t xml:space="preserve"> can be made via the comment function or by uploading a document. Submissions in Microsoft Word or Rich Text Format are preferred.</w:t>
      </w:r>
    </w:p>
    <w:p w14:paraId="323A4E99" w14:textId="77777777" w:rsidR="00C76E06" w:rsidRDefault="00C76E06" w:rsidP="00DE694D">
      <w:pPr>
        <w:pStyle w:val="ListBullet"/>
      </w:pPr>
      <w:r>
        <w:t xml:space="preserve">Submissions by post can be sent to: </w:t>
      </w:r>
    </w:p>
    <w:p w14:paraId="01E62179" w14:textId="77777777" w:rsidR="00C76E06" w:rsidRPr="002D2528" w:rsidRDefault="00C76E06" w:rsidP="00C76E06">
      <w:pPr>
        <w:pStyle w:val="ACMANormalTabbed"/>
        <w:tabs>
          <w:tab w:val="num" w:pos="295"/>
        </w:tabs>
        <w:spacing w:after="0"/>
        <w:ind w:left="295"/>
      </w:pPr>
      <w:r w:rsidRPr="002D2528">
        <w:t>The Manager</w:t>
      </w:r>
    </w:p>
    <w:p w14:paraId="749EC2EB" w14:textId="77777777" w:rsidR="00C76E06" w:rsidRPr="002D2528" w:rsidRDefault="00C76E06" w:rsidP="00C76E06">
      <w:pPr>
        <w:pStyle w:val="ACMANormalTabbed"/>
        <w:spacing w:after="0"/>
        <w:ind w:left="295"/>
      </w:pPr>
      <w:r w:rsidRPr="002D2528">
        <w:t>Strategy and Transition Section</w:t>
      </w:r>
    </w:p>
    <w:p w14:paraId="09A8B8C6" w14:textId="77777777" w:rsidR="00C76E06" w:rsidRPr="002D2528" w:rsidRDefault="00C76E06" w:rsidP="00C76E06">
      <w:pPr>
        <w:pStyle w:val="ACMANormalTabbed"/>
        <w:spacing w:after="0"/>
        <w:ind w:left="295"/>
      </w:pPr>
      <w:r w:rsidRPr="002D2528">
        <w:t>Spectrum Review Implementation Branch</w:t>
      </w:r>
    </w:p>
    <w:p w14:paraId="28C530AA" w14:textId="77777777" w:rsidR="00C76E06" w:rsidRPr="002D2528" w:rsidRDefault="00C76E06" w:rsidP="00C76E06">
      <w:pPr>
        <w:pStyle w:val="ACMANormalTabbed"/>
        <w:spacing w:after="0"/>
        <w:ind w:left="295"/>
      </w:pPr>
      <w:r w:rsidRPr="002D2528">
        <w:t>Australian Communications and Media Authority</w:t>
      </w:r>
    </w:p>
    <w:p w14:paraId="2FE8AE18" w14:textId="77777777" w:rsidR="00C76E06" w:rsidRPr="002D2528" w:rsidRDefault="00C76E06" w:rsidP="00C76E06">
      <w:pPr>
        <w:pStyle w:val="ACMANormalTabbed"/>
        <w:spacing w:after="0"/>
        <w:ind w:left="295"/>
      </w:pPr>
      <w:r w:rsidRPr="002D2528">
        <w:t>PO Box Q500</w:t>
      </w:r>
    </w:p>
    <w:p w14:paraId="0C6B9B60" w14:textId="77777777" w:rsidR="00C76E06" w:rsidRPr="005E7226" w:rsidRDefault="00C76E06" w:rsidP="00C76E06">
      <w:pPr>
        <w:pStyle w:val="ACMANormalTabbed"/>
        <w:ind w:left="295"/>
      </w:pPr>
      <w:r w:rsidRPr="002D2528">
        <w:t>Queen Victoria Building NSW 1230</w:t>
      </w:r>
    </w:p>
    <w:p w14:paraId="17345E63" w14:textId="4FC595A1" w:rsidR="00C76E06" w:rsidRDefault="00C76E06" w:rsidP="00C76E06">
      <w:pPr>
        <w:rPr>
          <w:rStyle w:val="Strong"/>
        </w:rPr>
      </w:pPr>
      <w:r>
        <w:rPr>
          <w:rStyle w:val="Strong"/>
        </w:rPr>
        <w:t>The closing date for submissions is COB,</w:t>
      </w:r>
      <w:r w:rsidR="00FA620C">
        <w:rPr>
          <w:rStyle w:val="Strong"/>
        </w:rPr>
        <w:t xml:space="preserve"> T</w:t>
      </w:r>
      <w:r w:rsidR="009622AB">
        <w:rPr>
          <w:rStyle w:val="Strong"/>
        </w:rPr>
        <w:t>hur</w:t>
      </w:r>
      <w:r w:rsidR="00FA620C">
        <w:rPr>
          <w:rStyle w:val="Strong"/>
        </w:rPr>
        <w:t>sday 1</w:t>
      </w:r>
      <w:r w:rsidR="009622AB">
        <w:rPr>
          <w:rStyle w:val="Strong"/>
        </w:rPr>
        <w:t>6</w:t>
      </w:r>
      <w:r w:rsidR="00FA620C">
        <w:rPr>
          <w:rStyle w:val="Strong"/>
        </w:rPr>
        <w:t xml:space="preserve"> </w:t>
      </w:r>
      <w:r w:rsidR="005D06D9">
        <w:rPr>
          <w:rStyle w:val="Strong"/>
        </w:rPr>
        <w:t>May</w:t>
      </w:r>
      <w:bookmarkStart w:id="533" w:name="_GoBack"/>
      <w:bookmarkEnd w:id="533"/>
      <w:r w:rsidR="00FA620C">
        <w:rPr>
          <w:rStyle w:val="Strong"/>
        </w:rPr>
        <w:t xml:space="preserve"> 2019.</w:t>
      </w:r>
    </w:p>
    <w:p w14:paraId="4F15AB65" w14:textId="77777777" w:rsidR="00C76E06" w:rsidRDefault="00C76E06" w:rsidP="00C76E06">
      <w:pPr>
        <w:rPr>
          <w:szCs w:val="20"/>
        </w:rPr>
      </w:pPr>
      <w:r>
        <w:t xml:space="preserve">Consultation enquiries can be emailed </w:t>
      </w:r>
      <w:r w:rsidRPr="002D2528">
        <w:rPr>
          <w:szCs w:val="20"/>
        </w:rPr>
        <w:t xml:space="preserve">to </w:t>
      </w:r>
      <w:hyperlink r:id="rId75" w:history="1">
        <w:r w:rsidRPr="002D2528">
          <w:rPr>
            <w:rStyle w:val="Hyperlink"/>
          </w:rPr>
          <w:t>spectrumworkprogram@acma.gov.au</w:t>
        </w:r>
      </w:hyperlink>
      <w:r>
        <w:rPr>
          <w:szCs w:val="20"/>
        </w:rPr>
        <w:t>.</w:t>
      </w:r>
    </w:p>
    <w:bookmarkEnd w:id="529"/>
    <w:bookmarkEnd w:id="530"/>
    <w:p w14:paraId="0D5D1AB6" w14:textId="77777777" w:rsidR="00C76E06" w:rsidRDefault="00C76E06" w:rsidP="00C76E06">
      <w:pPr>
        <w:pStyle w:val="BodySubHeader"/>
      </w:pPr>
      <w:r>
        <w:t>Publication of submissions</w:t>
      </w:r>
      <w:bookmarkEnd w:id="531"/>
      <w:bookmarkEnd w:id="532"/>
    </w:p>
    <w:p w14:paraId="47D66380" w14:textId="77777777" w:rsidR="00C76E06" w:rsidRDefault="00C76E06" w:rsidP="00C76E06">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06B405DD" w14:textId="77777777" w:rsidR="00C76E06" w:rsidRDefault="00C76E06" w:rsidP="00C76E06">
      <w:r>
        <w:t>Confidential information will not be published or otherwise released unless required or authorised by law.</w:t>
      </w:r>
    </w:p>
    <w:p w14:paraId="43519307" w14:textId="77777777" w:rsidR="00C76E06" w:rsidRDefault="00C76E06" w:rsidP="00C76E06">
      <w:pPr>
        <w:pStyle w:val="BodySubHeader"/>
      </w:pPr>
      <w:r>
        <w:t>Privacy</w:t>
      </w:r>
    </w:p>
    <w:p w14:paraId="2B823FAC" w14:textId="6CE5E8A7" w:rsidR="00C76E06" w:rsidRDefault="005D06D9" w:rsidP="002D2528">
      <w:hyperlink r:id="rId76" w:history="1">
        <w:r w:rsidR="00C76E06">
          <w:rPr>
            <w:rStyle w:val="Hyperlink"/>
            <w:i/>
          </w:rPr>
          <w:t>Privacy and consultation</w:t>
        </w:r>
      </w:hyperlink>
      <w:r w:rsidR="00C76E06">
        <w:t xml:space="preserve"> provides information about the ACMA’s collection of personal information during consultation and how we handle that information.</w:t>
      </w:r>
    </w:p>
    <w:p w14:paraId="040CF6D5" w14:textId="77777777" w:rsidR="00C76E06" w:rsidRPr="0041233F" w:rsidRDefault="00C76E06" w:rsidP="00C76E06">
      <w:r>
        <w:t xml:space="preserve">Information on the </w:t>
      </w:r>
      <w:r>
        <w:rPr>
          <w:i/>
        </w:rPr>
        <w:t xml:space="preserve">Privacy Act 1988 </w:t>
      </w:r>
      <w:r>
        <w:t xml:space="preserve">and the ACMA’s privacy policy (including how to access or correct personal information, how to make a privacy complaint and how we will deal with the complaint) is available at </w:t>
      </w:r>
      <w:hyperlink r:id="rId77" w:tooltip="ACMA Privacy Policy" w:history="1">
        <w:r>
          <w:rPr>
            <w:rStyle w:val="Hyperlink"/>
          </w:rPr>
          <w:t>acma.gov.au/</w:t>
        </w:r>
        <w:proofErr w:type="spellStart"/>
        <w:r>
          <w:rPr>
            <w:rStyle w:val="Hyperlink"/>
          </w:rPr>
          <w:t>privacypolicy</w:t>
        </w:r>
        <w:proofErr w:type="spellEnd"/>
      </w:hyperlink>
      <w:r>
        <w:t xml:space="preserve">. </w:t>
      </w:r>
    </w:p>
    <w:p w14:paraId="2F2FF33B" w14:textId="77777777" w:rsidR="00197E92" w:rsidRPr="005467AD" w:rsidRDefault="00197E92" w:rsidP="00197E92">
      <w:pPr>
        <w:pStyle w:val="Heading1"/>
      </w:pPr>
      <w:bookmarkStart w:id="534" w:name="_Toc522794142"/>
      <w:bookmarkStart w:id="535" w:name="_Toc5025753"/>
      <w:bookmarkEnd w:id="511"/>
      <w:bookmarkEnd w:id="512"/>
      <w:bookmarkEnd w:id="513"/>
      <w:bookmarkEnd w:id="514"/>
      <w:bookmarkEnd w:id="515"/>
      <w:bookmarkEnd w:id="516"/>
      <w:bookmarkEnd w:id="517"/>
      <w:bookmarkEnd w:id="518"/>
      <w:bookmarkEnd w:id="519"/>
      <w:bookmarkEnd w:id="520"/>
      <w:bookmarkEnd w:id="521"/>
      <w:bookmarkEnd w:id="522"/>
      <w:r w:rsidRPr="005467AD">
        <w:lastRenderedPageBreak/>
        <w:t>Appendix A—Sunsetting instruments</w:t>
      </w:r>
      <w:bookmarkEnd w:id="534"/>
      <w:bookmarkEnd w:id="535"/>
    </w:p>
    <w:p w14:paraId="5D92E670" w14:textId="61A37CB4" w:rsidR="00197E92" w:rsidRDefault="00DD201B" w:rsidP="00197E92">
      <w:pPr>
        <w:pStyle w:val="Heading2"/>
      </w:pPr>
      <w:bookmarkStart w:id="536" w:name="_Toc491854137"/>
      <w:bookmarkStart w:id="537" w:name="_Toc494115204"/>
      <w:bookmarkStart w:id="538" w:name="_Toc509581839"/>
      <w:bookmarkStart w:id="539" w:name="_Toc509585155"/>
      <w:bookmarkStart w:id="540" w:name="_Toc509585691"/>
      <w:bookmarkStart w:id="541" w:name="_Toc510105009"/>
      <w:bookmarkStart w:id="542" w:name="_Toc510105806"/>
      <w:bookmarkStart w:id="543" w:name="_Toc510795138"/>
      <w:bookmarkStart w:id="544" w:name="_Toc511716341"/>
      <w:bookmarkStart w:id="545" w:name="_Toc511719152"/>
      <w:bookmarkStart w:id="546" w:name="_Toc522794143"/>
      <w:bookmarkStart w:id="547" w:name="_Toc5025754"/>
      <w:r>
        <w:t>Radiocommunications-related i</w:t>
      </w:r>
      <w:r w:rsidR="00197E92" w:rsidRPr="008C37D5">
        <w:t xml:space="preserve">nstruments due to sunset </w:t>
      </w:r>
      <w:r w:rsidR="00C15BB6">
        <w:t>in 2019</w:t>
      </w:r>
      <w:r w:rsidR="009C0761">
        <w:t>–</w:t>
      </w:r>
      <w:r w:rsidR="00C15BB6">
        <w:t>20</w:t>
      </w:r>
      <w:bookmarkEnd w:id="536"/>
      <w:bookmarkEnd w:id="537"/>
      <w:bookmarkEnd w:id="538"/>
      <w:bookmarkEnd w:id="539"/>
      <w:bookmarkEnd w:id="540"/>
      <w:bookmarkEnd w:id="541"/>
      <w:bookmarkEnd w:id="542"/>
      <w:bookmarkEnd w:id="543"/>
      <w:bookmarkEnd w:id="544"/>
      <w:bookmarkEnd w:id="545"/>
      <w:bookmarkEnd w:id="546"/>
      <w:bookmarkEnd w:id="547"/>
    </w:p>
    <w:p w14:paraId="679F45E1" w14:textId="4B1B40B6" w:rsidR="00197E92" w:rsidRPr="00A01828" w:rsidRDefault="00197E92" w:rsidP="00197E92">
      <w:pPr>
        <w:pStyle w:val="ACMATableHeader"/>
      </w:pPr>
      <w:r w:rsidRPr="00A01828">
        <w:t xml:space="preserve">Instruments </w:t>
      </w:r>
      <w:r>
        <w:t xml:space="preserve">due to </w:t>
      </w:r>
      <w:r w:rsidRPr="00A01828">
        <w:t xml:space="preserve">sunset on </w:t>
      </w:r>
      <w:r w:rsidRPr="00EC5C76">
        <w:t>1 October 201</w:t>
      </w:r>
      <w:r w:rsidR="001F53C6" w:rsidRPr="00EC5C76">
        <w:t>9</w:t>
      </w:r>
    </w:p>
    <w:tbl>
      <w:tblP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Caption w:val="Shows name of instrument, enabling legislation and status."/>
      </w:tblPr>
      <w:tblGrid>
        <w:gridCol w:w="3141"/>
        <w:gridCol w:w="2298"/>
        <w:gridCol w:w="1778"/>
      </w:tblGrid>
      <w:tr w:rsidR="00197E92" w:rsidRPr="00E027D3" w14:paraId="23410214" w14:textId="77777777" w:rsidTr="00DE694D">
        <w:trPr>
          <w:tblHeader/>
        </w:trPr>
        <w:tc>
          <w:tcPr>
            <w:tcW w:w="2176" w:type="pct"/>
            <w:shd w:val="clear" w:color="auto" w:fill="404040" w:themeFill="text1" w:themeFillTint="BF"/>
          </w:tcPr>
          <w:p w14:paraId="6448B7DB" w14:textId="77777777" w:rsidR="00197E92" w:rsidRPr="00BE6916" w:rsidRDefault="00197E92" w:rsidP="00197E92">
            <w:pPr>
              <w:pStyle w:val="TableHeading"/>
            </w:pPr>
            <w:r w:rsidRPr="00BE6916">
              <w:t>Instrument</w:t>
            </w:r>
          </w:p>
        </w:tc>
        <w:tc>
          <w:tcPr>
            <w:tcW w:w="1592" w:type="pct"/>
            <w:shd w:val="clear" w:color="auto" w:fill="404040" w:themeFill="text1" w:themeFillTint="BF"/>
          </w:tcPr>
          <w:p w14:paraId="54C234B5" w14:textId="77777777" w:rsidR="00197E92" w:rsidRPr="00BE6916" w:rsidRDefault="00197E92" w:rsidP="00197E92">
            <w:pPr>
              <w:pStyle w:val="TableHeading"/>
            </w:pPr>
            <w:r w:rsidRPr="00BE6916">
              <w:t>Enabling provision</w:t>
            </w:r>
          </w:p>
        </w:tc>
        <w:tc>
          <w:tcPr>
            <w:tcW w:w="1232" w:type="pct"/>
            <w:shd w:val="clear" w:color="auto" w:fill="404040" w:themeFill="text1" w:themeFillTint="BF"/>
          </w:tcPr>
          <w:p w14:paraId="396CF007" w14:textId="77777777" w:rsidR="00197E92" w:rsidRPr="00BE6916" w:rsidRDefault="00197E92" w:rsidP="00197E92">
            <w:pPr>
              <w:pStyle w:val="TableHeading"/>
            </w:pPr>
            <w:r w:rsidRPr="00BE6916">
              <w:t>Status</w:t>
            </w:r>
          </w:p>
        </w:tc>
      </w:tr>
      <w:tr w:rsidR="00197E92" w:rsidRPr="00A76A7A" w14:paraId="417505C8" w14:textId="77777777" w:rsidTr="00DE694D">
        <w:tc>
          <w:tcPr>
            <w:tcW w:w="2176" w:type="pct"/>
            <w:shd w:val="clear" w:color="auto" w:fill="auto"/>
          </w:tcPr>
          <w:p w14:paraId="0FF98253" w14:textId="654C0812" w:rsidR="00197E92" w:rsidRPr="005759E7" w:rsidRDefault="001F53C6" w:rsidP="00DE694D">
            <w:pPr>
              <w:rPr>
                <w:rFonts w:cs="Arial"/>
              </w:rPr>
            </w:pPr>
            <w:r w:rsidRPr="00AF43AC">
              <w:t xml:space="preserve">Broadcasting Services (Amalgamated Remote Television Licence Areas </w:t>
            </w:r>
            <w:r w:rsidR="000D68E0">
              <w:t>–</w:t>
            </w:r>
            <w:r w:rsidRPr="00AF43AC">
              <w:t xml:space="preserve"> Remote Central and Eastern Australia TV1 and Mt Isa TV1) Determination 2009</w:t>
            </w:r>
          </w:p>
        </w:tc>
        <w:tc>
          <w:tcPr>
            <w:tcW w:w="1592" w:type="pct"/>
            <w:shd w:val="clear" w:color="auto" w:fill="auto"/>
          </w:tcPr>
          <w:p w14:paraId="72096172" w14:textId="6F8E6234" w:rsidR="00197E92" w:rsidRPr="005759E7" w:rsidRDefault="001F53C6" w:rsidP="00DE694D">
            <w:pPr>
              <w:rPr>
                <w:rFonts w:cs="Arial"/>
                <w:i/>
              </w:rPr>
            </w:pPr>
            <w:r w:rsidRPr="00AF43AC">
              <w:t>Broadcasting Services Act 1992</w:t>
            </w:r>
            <w:r w:rsidR="00C76E06">
              <w:t>—</w:t>
            </w:r>
            <w:r w:rsidRPr="00AF43AC">
              <w:t>s 38B(14)</w:t>
            </w:r>
          </w:p>
        </w:tc>
        <w:tc>
          <w:tcPr>
            <w:tcW w:w="1232" w:type="pct"/>
            <w:shd w:val="clear" w:color="auto" w:fill="auto"/>
          </w:tcPr>
          <w:p w14:paraId="6CEC5490" w14:textId="19435F56" w:rsidR="00197E92" w:rsidRPr="005759E7" w:rsidRDefault="001F53C6" w:rsidP="00DE694D">
            <w:pPr>
              <w:rPr>
                <w:rFonts w:cs="Arial"/>
              </w:rPr>
            </w:pPr>
            <w:r>
              <w:t>Instrument will be allowed to sunset</w:t>
            </w:r>
          </w:p>
        </w:tc>
      </w:tr>
      <w:tr w:rsidR="00197E92" w:rsidRPr="00A76A7A" w14:paraId="6A846C6A" w14:textId="77777777" w:rsidTr="00DE694D">
        <w:tc>
          <w:tcPr>
            <w:tcW w:w="2176" w:type="pct"/>
            <w:shd w:val="clear" w:color="auto" w:fill="auto"/>
          </w:tcPr>
          <w:p w14:paraId="416BB208" w14:textId="30DE7940" w:rsidR="00197E92" w:rsidRPr="005759E7" w:rsidRDefault="001F53C6" w:rsidP="00DE694D">
            <w:pPr>
              <w:rPr>
                <w:rFonts w:cs="Arial"/>
              </w:rPr>
            </w:pPr>
            <w:r w:rsidRPr="00AF43AC">
              <w:t xml:space="preserve">Broadcasting Services (Amalgamated Remote Television Licence Areas </w:t>
            </w:r>
            <w:r w:rsidR="000D68E0">
              <w:t>–</w:t>
            </w:r>
            <w:r w:rsidRPr="00AF43AC">
              <w:t xml:space="preserve"> Remote Central and Eastern Australia TV1 and Remote Central and Eastern Australia TV2) Determination 2009</w:t>
            </w:r>
          </w:p>
        </w:tc>
        <w:tc>
          <w:tcPr>
            <w:tcW w:w="1592" w:type="pct"/>
            <w:shd w:val="clear" w:color="auto" w:fill="auto"/>
          </w:tcPr>
          <w:p w14:paraId="5B99B7B8" w14:textId="445A47CC" w:rsidR="00197E92" w:rsidRPr="005759E7" w:rsidRDefault="001F53C6" w:rsidP="00DE694D">
            <w:pPr>
              <w:rPr>
                <w:rFonts w:cs="Arial"/>
              </w:rPr>
            </w:pPr>
            <w:r w:rsidRPr="00AF43AC">
              <w:t>Broadcasting Services Act 1992</w:t>
            </w:r>
            <w:r w:rsidR="00C76E06">
              <w:t>—</w:t>
            </w:r>
            <w:r w:rsidRPr="00AF43AC">
              <w:t>s 38B(14)</w:t>
            </w:r>
          </w:p>
        </w:tc>
        <w:tc>
          <w:tcPr>
            <w:tcW w:w="1232" w:type="pct"/>
            <w:shd w:val="clear" w:color="auto" w:fill="auto"/>
          </w:tcPr>
          <w:p w14:paraId="3329ED61" w14:textId="02A97AB3" w:rsidR="00197E92" w:rsidRPr="005759E7" w:rsidRDefault="001F53C6" w:rsidP="00DE694D">
            <w:pPr>
              <w:rPr>
                <w:rFonts w:cs="Arial"/>
              </w:rPr>
            </w:pPr>
            <w:r>
              <w:t>Instrument will be allowed to sunset</w:t>
            </w:r>
          </w:p>
        </w:tc>
      </w:tr>
    </w:tbl>
    <w:p w14:paraId="7D096E1D" w14:textId="7F138B76" w:rsidR="006D3D21" w:rsidRDefault="006D3D21" w:rsidP="00DE694D">
      <w:pPr>
        <w:spacing w:after="0" w:line="240" w:lineRule="auto"/>
      </w:pPr>
    </w:p>
    <w:sectPr w:rsidR="006D3D21" w:rsidSect="00E97880">
      <w:headerReference w:type="even" r:id="rId78"/>
      <w:headerReference w:type="default" r:id="rId79"/>
      <w:footerReference w:type="even" r:id="rId80"/>
      <w:footerReference w:type="default" r:id="rId81"/>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66D87" w14:textId="77777777" w:rsidR="00E97880" w:rsidRDefault="00E97880">
      <w:r>
        <w:separator/>
      </w:r>
    </w:p>
    <w:p w14:paraId="7F54CE19" w14:textId="77777777" w:rsidR="00E97880" w:rsidRDefault="00E97880"/>
  </w:endnote>
  <w:endnote w:type="continuationSeparator" w:id="0">
    <w:p w14:paraId="3394CA4E" w14:textId="77777777" w:rsidR="00E97880" w:rsidRDefault="00E97880">
      <w:r>
        <w:continuationSeparator/>
      </w:r>
    </w:p>
    <w:p w14:paraId="6E21E847" w14:textId="77777777" w:rsidR="00E97880" w:rsidRDefault="00E97880"/>
  </w:endnote>
  <w:endnote w:type="continuationNotice" w:id="1">
    <w:p w14:paraId="0A19B30B" w14:textId="77777777" w:rsidR="00E97880" w:rsidRDefault="00E97880">
      <w:pPr>
        <w:spacing w:after="0" w:line="240" w:lineRule="auto"/>
      </w:pPr>
    </w:p>
    <w:p w14:paraId="16F675AE" w14:textId="77777777" w:rsidR="00E97880" w:rsidRDefault="00E97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Times New Roman"/>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CC74" w14:textId="77777777" w:rsidR="00E97880" w:rsidRDefault="00E97880">
    <w:pPr>
      <w:pStyle w:val="Footer"/>
    </w:pPr>
    <w:r>
      <w:rPr>
        <w:noProof/>
      </w:rPr>
      <w:drawing>
        <wp:inline distT="0" distB="0" distL="0" distR="0" wp14:anchorId="73800B89" wp14:editId="124789D3">
          <wp:extent cx="3483864" cy="249613"/>
          <wp:effectExtent l="0" t="0" r="0" b="0"/>
          <wp:docPr id="4" name="Picture 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442D" w14:textId="77777777" w:rsidR="00E97880" w:rsidRPr="00622A3B" w:rsidRDefault="00E9788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75</w:t>
    </w:r>
    <w:r w:rsidRPr="00575AC5">
      <w:rPr>
        <w:color w:val="505050"/>
      </w:rPr>
      <w:fldChar w:fldCharType="end"/>
    </w:r>
  </w:p>
  <w:p w14:paraId="59DD72D9" w14:textId="77777777" w:rsidR="00E97880" w:rsidRPr="00A5474E" w:rsidRDefault="00E97880" w:rsidP="00A5474E">
    <w:pPr>
      <w:pStyle w:val="Footer"/>
    </w:pPr>
  </w:p>
  <w:p w14:paraId="1F8BDC74" w14:textId="77777777" w:rsidR="00E97880" w:rsidRDefault="00E978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EE80" w14:textId="77777777" w:rsidR="00E97880" w:rsidRDefault="00E97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D81D" w14:textId="77777777" w:rsidR="00E97880" w:rsidRDefault="00E978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4286" w14:textId="77777777" w:rsidR="00E97880" w:rsidRPr="00622A3B" w:rsidRDefault="00E97880"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D11E6E0" w14:textId="77777777" w:rsidR="00E97880" w:rsidRPr="00A5474E" w:rsidRDefault="00E97880"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34B4" w14:textId="77777777" w:rsidR="00E97880" w:rsidRPr="00622A3B" w:rsidRDefault="00E97880"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E3EC9BE" w14:textId="77777777" w:rsidR="00E97880" w:rsidRPr="00A5474E" w:rsidRDefault="00E97880"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7C5C" w14:textId="77777777" w:rsidR="00E97880" w:rsidRPr="00622A3B" w:rsidRDefault="00E9788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6186B029" w14:textId="77777777" w:rsidR="00E97880" w:rsidRPr="00A5474E" w:rsidRDefault="00E97880"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55FB" w14:textId="77777777" w:rsidR="00E97880" w:rsidRPr="00622A3B" w:rsidRDefault="00E9788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30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7454B23" w14:textId="77777777" w:rsidR="00E97880" w:rsidRDefault="00E9788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F265" w14:textId="77777777" w:rsidR="00E97880" w:rsidRPr="00622A3B" w:rsidRDefault="00E97880" w:rsidP="00947E20">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31</w:t>
    </w:r>
    <w:r w:rsidRPr="00575AC5">
      <w:rPr>
        <w:color w:val="505050"/>
      </w:rPr>
      <w:fldChar w:fldCharType="end"/>
    </w:r>
  </w:p>
  <w:p w14:paraId="14F8C0D8" w14:textId="77777777" w:rsidR="00E97880" w:rsidRDefault="00E97880" w:rsidP="0037046B">
    <w:pPr>
      <w:pStyle w:val="Footer"/>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A104" w14:textId="77777777" w:rsidR="00E97880" w:rsidRPr="00622A3B" w:rsidRDefault="00E9788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74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B04D850" w14:textId="77777777" w:rsidR="00E97880" w:rsidRPr="00A5474E" w:rsidRDefault="00E97880" w:rsidP="00A5474E">
    <w:pPr>
      <w:pStyle w:val="Footer"/>
    </w:pPr>
  </w:p>
  <w:p w14:paraId="63EB684D" w14:textId="77777777" w:rsidR="00E97880" w:rsidRDefault="00E978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096B3" w14:textId="77777777" w:rsidR="00E97880" w:rsidRDefault="00E97880">
      <w:r>
        <w:separator/>
      </w:r>
    </w:p>
  </w:footnote>
  <w:footnote w:type="continuationSeparator" w:id="0">
    <w:p w14:paraId="71A81313" w14:textId="77777777" w:rsidR="00E97880" w:rsidRDefault="00E97880">
      <w:r>
        <w:continuationSeparator/>
      </w:r>
    </w:p>
  </w:footnote>
  <w:footnote w:type="continuationNotice" w:id="1">
    <w:p w14:paraId="47ADD8A9" w14:textId="77777777" w:rsidR="00E97880" w:rsidRPr="00716DE9" w:rsidRDefault="00E97880" w:rsidP="00716DE9">
      <w:pPr>
        <w:pStyle w:val="Footer"/>
      </w:pPr>
    </w:p>
  </w:footnote>
  <w:footnote w:id="2">
    <w:p w14:paraId="4EAEDB4E" w14:textId="46CFEE0E" w:rsidR="00E97880" w:rsidRDefault="00E97880">
      <w:pPr>
        <w:pStyle w:val="FootnoteText"/>
      </w:pPr>
      <w:r>
        <w:rPr>
          <w:rStyle w:val="FootnoteReference"/>
        </w:rPr>
        <w:footnoteRef/>
      </w:r>
      <w:r>
        <w:t xml:space="preserve"> </w:t>
      </w:r>
      <w:hyperlink r:id="rId1" w:history="1">
        <w:r>
          <w:rPr>
            <w:rStyle w:val="Hyperlink"/>
          </w:rPr>
          <w:t>ACMA c</w:t>
        </w:r>
        <w:r w:rsidRPr="00B62FA6">
          <w:rPr>
            <w:rStyle w:val="Hyperlink"/>
          </w:rPr>
          <w:t xml:space="preserve">orporate </w:t>
        </w:r>
        <w:r>
          <w:rPr>
            <w:rStyle w:val="Hyperlink"/>
          </w:rPr>
          <w:t>p</w:t>
        </w:r>
        <w:r w:rsidRPr="00B62FA6">
          <w:rPr>
            <w:rStyle w:val="Hyperlink"/>
          </w:rPr>
          <w:t>lan</w:t>
        </w:r>
      </w:hyperlink>
      <w:r>
        <w:t>.</w:t>
      </w:r>
    </w:p>
  </w:footnote>
  <w:footnote w:id="3">
    <w:p w14:paraId="562964C6" w14:textId="55E9991D" w:rsidR="00E97880" w:rsidRDefault="00E97880">
      <w:pPr>
        <w:pStyle w:val="FootnoteText"/>
      </w:pPr>
      <w:r>
        <w:rPr>
          <w:rStyle w:val="FootnoteReference"/>
        </w:rPr>
        <w:footnoteRef/>
      </w:r>
      <w:r>
        <w:t xml:space="preserve"> </w:t>
      </w:r>
      <w:hyperlink r:id="rId2" w:history="1">
        <w:r>
          <w:rPr>
            <w:rStyle w:val="Hyperlink"/>
          </w:rPr>
          <w:t>ACMA a</w:t>
        </w:r>
        <w:r w:rsidRPr="00B62FA6">
          <w:rPr>
            <w:rStyle w:val="Hyperlink"/>
          </w:rPr>
          <w:t xml:space="preserve">nnual </w:t>
        </w:r>
        <w:r>
          <w:rPr>
            <w:rStyle w:val="Hyperlink"/>
          </w:rPr>
          <w:t>r</w:t>
        </w:r>
        <w:r w:rsidRPr="00B62FA6">
          <w:rPr>
            <w:rStyle w:val="Hyperlink"/>
          </w:rPr>
          <w:t>eport</w:t>
        </w:r>
      </w:hyperlink>
      <w:r>
        <w:t>.</w:t>
      </w:r>
    </w:p>
  </w:footnote>
  <w:footnote w:id="4">
    <w:p w14:paraId="6F9B9F2D" w14:textId="77777777" w:rsidR="00E97880" w:rsidRPr="007342CC" w:rsidRDefault="00E97880" w:rsidP="00C11FCB">
      <w:pPr>
        <w:pStyle w:val="Footer"/>
        <w:spacing w:after="0" w:line="200" w:lineRule="atLeast"/>
        <w:rPr>
          <w:rFonts w:cs="Arial"/>
          <w:szCs w:val="16"/>
        </w:rPr>
      </w:pPr>
      <w:r w:rsidRPr="007342CC">
        <w:rPr>
          <w:rStyle w:val="FootnoteReference"/>
          <w:rFonts w:cs="Arial"/>
          <w:szCs w:val="16"/>
        </w:rPr>
        <w:footnoteRef/>
      </w:r>
      <w:r w:rsidRPr="007342CC">
        <w:rPr>
          <w:rFonts w:cs="Arial"/>
          <w:szCs w:val="16"/>
        </w:rPr>
        <w:t xml:space="preserve"> </w:t>
      </w:r>
      <w:r w:rsidRPr="004A0EC1">
        <w:rPr>
          <w:rFonts w:cs="Arial"/>
          <w:szCs w:val="16"/>
        </w:rPr>
        <w:t xml:space="preserve">Report </w:t>
      </w:r>
      <w:hyperlink r:id="rId3" w:history="1">
        <w:r w:rsidRPr="004A0EC1">
          <w:rPr>
            <w:rStyle w:val="Hyperlink"/>
            <w:rFonts w:cs="Arial"/>
            <w:szCs w:val="16"/>
          </w:rPr>
          <w:t>ITU-R M.2410-0</w:t>
        </w:r>
      </w:hyperlink>
      <w:r w:rsidRPr="004A0EC1">
        <w:rPr>
          <w:rFonts w:cs="Arial"/>
          <w:szCs w:val="16"/>
        </w:rPr>
        <w:t xml:space="preserve"> Minimum requirements related to technical performance </w:t>
      </w:r>
      <w:r>
        <w:rPr>
          <w:rFonts w:cs="Arial"/>
          <w:szCs w:val="16"/>
        </w:rPr>
        <w:t xml:space="preserve">for IMT-2020 radio interface(s), </w:t>
      </w:r>
      <w:r w:rsidRPr="004A0EC1">
        <w:rPr>
          <w:rFonts w:cs="Arial"/>
          <w:szCs w:val="16"/>
        </w:rPr>
        <w:t>completed in November 2017</w:t>
      </w:r>
      <w:r>
        <w:rPr>
          <w:rFonts w:cs="Arial"/>
          <w:szCs w:val="16"/>
        </w:rPr>
        <w:t>.</w:t>
      </w:r>
    </w:p>
  </w:footnote>
  <w:footnote w:id="5">
    <w:p w14:paraId="40366B39" w14:textId="77777777" w:rsidR="00E97880" w:rsidRPr="00E25DFF" w:rsidRDefault="00E97880" w:rsidP="00C11FCB">
      <w:pPr>
        <w:pStyle w:val="Footer"/>
        <w:spacing w:after="0" w:line="200" w:lineRule="atLeast"/>
        <w:rPr>
          <w:lang w:val="en-US"/>
        </w:rPr>
      </w:pPr>
      <w:r w:rsidRPr="007342CC">
        <w:rPr>
          <w:rStyle w:val="FootnoteReference"/>
          <w:rFonts w:cs="Arial"/>
          <w:szCs w:val="16"/>
        </w:rPr>
        <w:footnoteRef/>
      </w:r>
      <w:r w:rsidRPr="007342CC">
        <w:rPr>
          <w:rFonts w:cs="Arial"/>
          <w:szCs w:val="16"/>
        </w:rPr>
        <w:t xml:space="preserve"> See </w:t>
      </w:r>
      <w:hyperlink r:id="rId4" w:history="1">
        <w:r w:rsidRPr="007342CC">
          <w:rPr>
            <w:rStyle w:val="Hyperlink"/>
            <w:rFonts w:cs="Arial"/>
            <w:szCs w:val="16"/>
          </w:rPr>
          <w:t>5G-NR workplan for eMBB</w:t>
        </w:r>
      </w:hyperlink>
      <w:r w:rsidRPr="007342CC">
        <w:rPr>
          <w:rFonts w:cs="Arial"/>
          <w:szCs w:val="16"/>
          <w:lang w:val="en-US"/>
        </w:rPr>
        <w:t>.</w:t>
      </w:r>
    </w:p>
  </w:footnote>
  <w:footnote w:id="6">
    <w:p w14:paraId="1E5F9008" w14:textId="30ABF329" w:rsidR="00E97880" w:rsidRDefault="00E97880">
      <w:pPr>
        <w:pStyle w:val="FootnoteText"/>
      </w:pPr>
      <w:r>
        <w:rPr>
          <w:rStyle w:val="FootnoteReference"/>
        </w:rPr>
        <w:footnoteRef/>
      </w:r>
      <w:r>
        <w:t xml:space="preserve"> </w:t>
      </w:r>
      <w:r w:rsidRPr="006F542F">
        <w:t>mmWaves span 30 to 300 GHz (i.e. a wavelength of 1 cm to 1 mm), however</w:t>
      </w:r>
      <w:r>
        <w:t>,</w:t>
      </w:r>
      <w:r w:rsidRPr="006F542F">
        <w:t xml:space="preserve"> in the current 5G context, mmWave bands in consideration span from around 24 GHz up to 86 GHz.</w:t>
      </w:r>
    </w:p>
  </w:footnote>
  <w:footnote w:id="7">
    <w:p w14:paraId="271BF8D3" w14:textId="6512AB2B" w:rsidR="00E97880" w:rsidRDefault="00E97880" w:rsidP="00C11FCB">
      <w:pPr>
        <w:pStyle w:val="FootnoteText"/>
      </w:pPr>
      <w:r>
        <w:rPr>
          <w:rStyle w:val="FootnoteReference"/>
        </w:rPr>
        <w:footnoteRef/>
      </w:r>
      <w:r>
        <w:t xml:space="preserve"> See </w:t>
      </w:r>
      <w:hyperlink r:id="rId5" w:history="1">
        <w:r w:rsidRPr="001F5B9C">
          <w:rPr>
            <w:rStyle w:val="Hyperlink"/>
          </w:rPr>
          <w:t>https://www.communications.gov.au/departmental-news/5g-working-group-convenes</w:t>
        </w:r>
      </w:hyperlink>
      <w:r>
        <w:t>.</w:t>
      </w:r>
    </w:p>
  </w:footnote>
  <w:footnote w:id="8">
    <w:p w14:paraId="5118C1E5" w14:textId="77777777" w:rsidR="00E97880" w:rsidRDefault="00E97880" w:rsidP="00D431CC">
      <w:pPr>
        <w:pStyle w:val="FootnoteText"/>
      </w:pPr>
      <w:r>
        <w:rPr>
          <w:rStyle w:val="FootnoteReference"/>
        </w:rPr>
        <w:footnoteRef/>
      </w:r>
      <w:r>
        <w:t xml:space="preserve"> See </w:t>
      </w:r>
      <w:hyperlink r:id="rId6" w:history="1">
        <w:r w:rsidRPr="00D2614F">
          <w:rPr>
            <w:rStyle w:val="Hyperlink"/>
          </w:rPr>
          <w:t>https://www.acma.gov.au/theACMA/class-licensing-updates-supporting-5g-and-other-technology-innovations</w:t>
        </w:r>
      </w:hyperlink>
      <w:r>
        <w:t xml:space="preserve"> </w:t>
      </w:r>
    </w:p>
  </w:footnote>
  <w:footnote w:id="9">
    <w:p w14:paraId="72DA55AE" w14:textId="44B2BF24" w:rsidR="00E97880" w:rsidRDefault="00E97880">
      <w:pPr>
        <w:pStyle w:val="FootnoteText"/>
      </w:pPr>
      <w:r>
        <w:rPr>
          <w:rStyle w:val="FootnoteReference"/>
        </w:rPr>
        <w:footnoteRef/>
      </w:r>
      <w:r>
        <w:t xml:space="preserve"> For information on IoT technologies see IoT Alliance Australia publication </w:t>
      </w:r>
      <w:hyperlink r:id="rId7" w:history="1">
        <w:r>
          <w:rPr>
            <w:rStyle w:val="Hyperlink"/>
          </w:rPr>
          <w:t>IoTAA_IoT Platform Selection Guideline</w:t>
        </w:r>
      </w:hyperlink>
      <w:r>
        <w:t>.</w:t>
      </w:r>
    </w:p>
  </w:footnote>
  <w:footnote w:id="10">
    <w:p w14:paraId="72BD4CC8" w14:textId="0C9C594A" w:rsidR="00E97880" w:rsidRDefault="00E97880" w:rsidP="00A96482">
      <w:pPr>
        <w:pStyle w:val="FootnoteText"/>
      </w:pPr>
      <w:r>
        <w:rPr>
          <w:rStyle w:val="FootnoteReference"/>
        </w:rPr>
        <w:footnoteRef/>
      </w:r>
      <w:r>
        <w:t xml:space="preserve"> See </w:t>
      </w:r>
      <w:hyperlink r:id="rId8" w:history="1">
        <w:r w:rsidRPr="0025664D">
          <w:rPr>
            <w:rStyle w:val="Hyperlink"/>
          </w:rPr>
          <w:t>https://www.acma.gov.au/Home/theACMA/changes-to-legislation-supporting-space-based-communications</w:t>
        </w:r>
      </w:hyperlink>
      <w:r>
        <w:rPr>
          <w:rStyle w:val="Hyperlink"/>
        </w:rPr>
        <w:t>.</w:t>
      </w:r>
    </w:p>
  </w:footnote>
  <w:footnote w:id="11">
    <w:p w14:paraId="1F972B5C" w14:textId="77777777" w:rsidR="00E97880" w:rsidRDefault="00E97880" w:rsidP="009962F3">
      <w:pPr>
        <w:pStyle w:val="FootnoteText"/>
      </w:pPr>
      <w:r>
        <w:rPr>
          <w:rStyle w:val="FootnoteReference"/>
          <w:rFonts w:eastAsiaTheme="majorEastAsia"/>
        </w:rPr>
        <w:footnoteRef/>
      </w:r>
      <w:r>
        <w:t xml:space="preserve"> FSS earth stations (as the name suggests) are intended to be at fixed locations on land. Spectrum planning, coordination and regulatory arrangements for FSS are designed on the principle that earth stations are at a fixed location and as such, moving earth stations are not typically supported by existing FSS arrangements.</w:t>
      </w:r>
    </w:p>
  </w:footnote>
  <w:footnote w:id="12">
    <w:p w14:paraId="1A94647D" w14:textId="2206B9AE" w:rsidR="00E97880" w:rsidRDefault="00E97880">
      <w:pPr>
        <w:pStyle w:val="FootnoteText"/>
      </w:pPr>
      <w:r>
        <w:rPr>
          <w:rStyle w:val="FootnoteReference"/>
        </w:rPr>
        <w:footnoteRef/>
      </w:r>
      <w:r>
        <w:t xml:space="preserve"> For example in advance of WRC-19 (see </w:t>
      </w:r>
      <w:r w:rsidRPr="005F669A">
        <w:rPr>
          <w:rStyle w:val="Hyperlink"/>
        </w:rPr>
        <w:t>IFC 11/2017</w:t>
      </w:r>
      <w:r>
        <w:t>) and WRC-15.</w:t>
      </w:r>
    </w:p>
  </w:footnote>
  <w:footnote w:id="13">
    <w:p w14:paraId="481E97E4" w14:textId="77777777" w:rsidR="00E97880" w:rsidRDefault="00E97880" w:rsidP="00EA54D5">
      <w:pPr>
        <w:pStyle w:val="FootnoteText"/>
      </w:pPr>
      <w:r>
        <w:rPr>
          <w:rStyle w:val="FootnoteReference"/>
        </w:rPr>
        <w:footnoteRef/>
      </w:r>
      <w:r>
        <w:t xml:space="preserve"> In this context, a lower-tier user is a user that has lower priority compared to another user under a DSA arrangement. </w:t>
      </w:r>
    </w:p>
  </w:footnote>
  <w:footnote w:id="14">
    <w:p w14:paraId="01ECFE96" w14:textId="3EF0FC18" w:rsidR="00E97880" w:rsidRPr="00AC568A" w:rsidRDefault="00E97880">
      <w:pPr>
        <w:pStyle w:val="FootnoteText"/>
      </w:pPr>
      <w:r>
        <w:rPr>
          <w:rStyle w:val="FootnoteReference"/>
        </w:rPr>
        <w:footnoteRef/>
      </w:r>
      <w:r>
        <w:t xml:space="preserve"> See also M Cave and W Webb, </w:t>
      </w:r>
      <w:r>
        <w:rPr>
          <w:i/>
        </w:rPr>
        <w:t>Spectrum Management</w:t>
      </w:r>
      <w:r>
        <w:t>, Cambridge University Press, Cambridge, 2015, p. 5 and Chapter 8.</w:t>
      </w:r>
    </w:p>
  </w:footnote>
  <w:footnote w:id="15">
    <w:p w14:paraId="58B5D0C1" w14:textId="7007309D" w:rsidR="00E97880" w:rsidRDefault="00E97880" w:rsidP="00EA54D5">
      <w:pPr>
        <w:pStyle w:val="FootnoteText"/>
      </w:pPr>
      <w:r>
        <w:rPr>
          <w:rStyle w:val="FootnoteReference"/>
        </w:rPr>
        <w:footnoteRef/>
      </w:r>
      <w:r>
        <w:t xml:space="preserve"> </w:t>
      </w:r>
      <w:r>
        <w:rPr>
          <w:i/>
          <w:iCs/>
        </w:rPr>
        <w:t>Cisco Visual Networking Index: Global Mobile Data Traffic Forecast Update</w:t>
      </w:r>
      <w:r>
        <w:t xml:space="preserve">, </w:t>
      </w:r>
      <w:r w:rsidRPr="005C7720">
        <w:rPr>
          <w:i/>
        </w:rPr>
        <w:t>2015-2020</w:t>
      </w:r>
      <w:r>
        <w:t xml:space="preserve">, 3 Feb. 2016, pp. 24-25, available at </w:t>
      </w:r>
      <w:hyperlink r:id="rId9" w:history="1">
        <w:r>
          <w:rPr>
            <w:rStyle w:val="Hyperlink"/>
          </w:rPr>
          <w:t>http://www.cisco.com/c/en/us/solutions/collateral/service-provider/visual-networking-index-vni/mobile-white-paper-c11-520862.pdf</w:t>
        </w:r>
      </w:hyperlink>
      <w:r>
        <w:t>.</w:t>
      </w:r>
    </w:p>
  </w:footnote>
  <w:footnote w:id="16">
    <w:p w14:paraId="52166E87" w14:textId="29A96CEE" w:rsidR="00E97880" w:rsidRDefault="00E97880" w:rsidP="00EA54D5">
      <w:pPr>
        <w:pStyle w:val="FootnoteText"/>
      </w:pPr>
      <w:r>
        <w:rPr>
          <w:rStyle w:val="FootnoteReference"/>
        </w:rPr>
        <w:footnoteRef/>
      </w:r>
      <w:r>
        <w:t xml:space="preserve"> See FCC preceding ET </w:t>
      </w:r>
      <w:hyperlink r:id="rId10" w:history="1">
        <w:r>
          <w:rPr>
            <w:rStyle w:val="Hyperlink"/>
          </w:rPr>
          <w:t xml:space="preserve">18-295 </w:t>
        </w:r>
      </w:hyperlink>
      <w:r>
        <w:t xml:space="preserve"> ‘</w:t>
      </w:r>
      <w:r>
        <w:rPr>
          <w:szCs w:val="22"/>
        </w:rPr>
        <w:t>Unlicensed Use of the 6 GHz Band’ and summary fact sheet at</w:t>
      </w:r>
      <w:r>
        <w:t xml:space="preserve"> </w:t>
      </w:r>
      <w:hyperlink r:id="rId11" w:history="1">
        <w:r>
          <w:rPr>
            <w:rStyle w:val="Hyperlink"/>
          </w:rPr>
          <w:t>https://docs.fcc.gov/public/attachments/DOC-354364A1.pdf</w:t>
        </w:r>
      </w:hyperlink>
      <w:r>
        <w:t xml:space="preserve"> </w:t>
      </w:r>
    </w:p>
  </w:footnote>
  <w:footnote w:id="17">
    <w:p w14:paraId="5A000350" w14:textId="55AEA40E" w:rsidR="00E97880" w:rsidRDefault="00E97880" w:rsidP="00115791">
      <w:pPr>
        <w:pStyle w:val="FootnoteText"/>
      </w:pPr>
      <w:r>
        <w:rPr>
          <w:rStyle w:val="FootnoteReference"/>
        </w:rPr>
        <w:footnoteRef/>
      </w:r>
      <w:r>
        <w:t xml:space="preserve"> This lower boundary (617 MHz) is based on the bottom edge of the 2 x 35 MHz plan identified for the US 600 MHz band. The size of any guard band between the bottom of possible 600 MHz arrangements and the upper edge of ongoing broadcasting would need to be considered as part of any review of the band. The upper boundary aligns with the top edge of the US 600 MHz band plan, noting that the top edge of the highest channel used for broadcasting in Australia ceases at 694 MHz.</w:t>
      </w:r>
    </w:p>
  </w:footnote>
  <w:footnote w:id="18">
    <w:p w14:paraId="6155D81C" w14:textId="44597044" w:rsidR="00E97880" w:rsidRDefault="00E97880" w:rsidP="00115791">
      <w:pPr>
        <w:pStyle w:val="FootnoteText"/>
      </w:pPr>
      <w:r>
        <w:rPr>
          <w:rStyle w:val="FootnoteReference"/>
        </w:rPr>
        <w:footnoteRef/>
      </w:r>
      <w:r>
        <w:t xml:space="preserve"> See the former </w:t>
      </w:r>
      <w:r>
        <w:rPr>
          <w:rStyle w:val="FooterChar"/>
        </w:rPr>
        <w:t xml:space="preserve">Minister for Communications Malcolm Turnbull’s speech to RadComms 2014, available at </w:t>
      </w:r>
      <w:hyperlink r:id="rId12" w:history="1">
        <w:r>
          <w:rPr>
            <w:rStyle w:val="Hyperlink"/>
            <w:rFonts w:eastAsiaTheme="majorEastAsia"/>
          </w:rPr>
          <w:t>www.malcolmturnbull.com.au/media/radcomms-2014-spectrum-in-the-age-of-digital-innovation</w:t>
        </w:r>
      </w:hyperlink>
      <w:r>
        <w:rPr>
          <w:rStyle w:val="FooterChar"/>
        </w:rPr>
        <w:t xml:space="preserve">. </w:t>
      </w:r>
    </w:p>
  </w:footnote>
  <w:footnote w:id="19">
    <w:p w14:paraId="35509240" w14:textId="77777777" w:rsidR="00E97880" w:rsidRDefault="00E97880" w:rsidP="00115791">
      <w:pPr>
        <w:pStyle w:val="FootnoteText"/>
      </w:pPr>
      <w:r>
        <w:rPr>
          <w:rStyle w:val="FootnoteReference"/>
        </w:rPr>
        <w:footnoteRef/>
      </w:r>
      <w:r>
        <w:t xml:space="preserve"> Information available on the </w:t>
      </w:r>
      <w:hyperlink r:id="rId13" w:anchor="block-menu-block-4" w:history="1">
        <w:r>
          <w:rPr>
            <w:rStyle w:val="Hyperlink"/>
            <w:rFonts w:eastAsiaTheme="majorEastAsia"/>
          </w:rPr>
          <w:t>FCC website</w:t>
        </w:r>
      </w:hyperlink>
      <w:r>
        <w:t>.</w:t>
      </w:r>
    </w:p>
  </w:footnote>
  <w:footnote w:id="20">
    <w:p w14:paraId="7F2C22D5" w14:textId="77777777" w:rsidR="00E97880" w:rsidRDefault="00E97880" w:rsidP="00115791">
      <w:pPr>
        <w:pStyle w:val="FootnoteText"/>
      </w:pPr>
      <w:r>
        <w:rPr>
          <w:rStyle w:val="FootnoteReference"/>
        </w:rPr>
        <w:footnoteRef/>
      </w:r>
      <w:r>
        <w:t xml:space="preserve"> GSA–Global mobile Suppliers Association, </w:t>
      </w:r>
      <w:hyperlink r:id="rId14" w:history="1">
        <w:r>
          <w:rPr>
            <w:rStyle w:val="Hyperlink"/>
            <w:rFonts w:eastAsiaTheme="majorEastAsia"/>
          </w:rPr>
          <w:t>The case for new 5G spectrum</w:t>
        </w:r>
      </w:hyperlink>
      <w:r>
        <w:t>, November 2016.</w:t>
      </w:r>
    </w:p>
  </w:footnote>
  <w:footnote w:id="21">
    <w:p w14:paraId="33E8576D" w14:textId="77777777" w:rsidR="00E97880" w:rsidRDefault="00E97880" w:rsidP="00064A98">
      <w:pPr>
        <w:pStyle w:val="FootnoteText"/>
        <w:rPr>
          <w:rFonts w:cs="Arial"/>
        </w:rPr>
      </w:pPr>
      <w:r>
        <w:rPr>
          <w:rStyle w:val="FootnoteReference"/>
        </w:rPr>
        <w:footnoteRef/>
      </w:r>
      <w:r>
        <w:rPr>
          <w:rFonts w:cs="Arial"/>
        </w:rPr>
        <w:t xml:space="preserve"> In accordance with ITU-R Resolution </w:t>
      </w:r>
      <w:r>
        <w:rPr>
          <w:rFonts w:cs="Arial"/>
          <w:b/>
        </w:rPr>
        <w:t>646</w:t>
      </w:r>
      <w:r>
        <w:rPr>
          <w:rFonts w:cs="Arial"/>
        </w:rPr>
        <w:t>.</w:t>
      </w:r>
    </w:p>
  </w:footnote>
  <w:footnote w:id="22">
    <w:p w14:paraId="0BFAE28B" w14:textId="77777777" w:rsidR="00E97880" w:rsidRDefault="00E97880" w:rsidP="00064A98">
      <w:pPr>
        <w:pStyle w:val="FootnoteText"/>
      </w:pPr>
      <w:r>
        <w:rPr>
          <w:rStyle w:val="FootnoteReference"/>
        </w:rPr>
        <w:footnoteRef/>
      </w:r>
      <w:r>
        <w:t xml:space="preserve"> The Radio Spectrum Policy Group (RSPG) is a high-level advisory group that assists the European Commission in the development of radio spectrum policy.</w:t>
      </w:r>
    </w:p>
  </w:footnote>
  <w:footnote w:id="23">
    <w:p w14:paraId="72F1E005" w14:textId="77777777" w:rsidR="00E97880" w:rsidRDefault="00E97880" w:rsidP="00D9739D">
      <w:pPr>
        <w:pStyle w:val="FootnoteText"/>
        <w:ind w:left="113" w:hanging="113"/>
      </w:pPr>
      <w:r>
        <w:rPr>
          <w:rStyle w:val="FootnoteReference"/>
        </w:rPr>
        <w:footnoteRef/>
      </w:r>
      <w:r>
        <w:t xml:space="preserve"> Refer to </w:t>
      </w:r>
      <w:hyperlink r:id="rId15" w:history="1">
        <w:r>
          <w:rPr>
            <w:rStyle w:val="Hyperlink"/>
            <w:rFonts w:eastAsiaTheme="majorEastAsia"/>
          </w:rPr>
          <w:t>www.acma.gov.au/theACMA/25-ghz-band-review</w:t>
        </w:r>
      </w:hyperlink>
      <w:r>
        <w:t>.</w:t>
      </w:r>
    </w:p>
  </w:footnote>
  <w:footnote w:id="24">
    <w:p w14:paraId="442C1A19" w14:textId="77777777" w:rsidR="00E97880" w:rsidRDefault="00E97880" w:rsidP="00D9739D">
      <w:pPr>
        <w:pStyle w:val="FootnoteText"/>
        <w:ind w:left="113" w:hanging="113"/>
      </w:pPr>
      <w:r>
        <w:rPr>
          <w:rStyle w:val="FootnoteReference"/>
        </w:rPr>
        <w:footnoteRef/>
      </w:r>
      <w:r>
        <w:t xml:space="preserve"> Available from the </w:t>
      </w:r>
      <w:hyperlink r:id="rId16" w:history="1">
        <w:r>
          <w:rPr>
            <w:rStyle w:val="Hyperlink"/>
            <w:rFonts w:eastAsiaTheme="majorEastAsia"/>
          </w:rPr>
          <w:t>ACMA website</w:t>
        </w:r>
      </w:hyperlink>
      <w:r>
        <w:t xml:space="preserve"> and last revised September 2013.</w:t>
      </w:r>
    </w:p>
  </w:footnote>
  <w:footnote w:id="25">
    <w:p w14:paraId="6AF21BB4" w14:textId="77777777" w:rsidR="00E97880" w:rsidRDefault="00E97880" w:rsidP="00D9739D">
      <w:pPr>
        <w:pStyle w:val="FootnoteText"/>
      </w:pPr>
      <w:r>
        <w:rPr>
          <w:rStyle w:val="FootnoteReference"/>
        </w:rPr>
        <w:footnoteRef/>
      </w:r>
      <w:r>
        <w:t xml:space="preserve"> Available on the ITU-R website at </w:t>
      </w:r>
      <w:hyperlink r:id="rId17" w:history="1">
        <w:r>
          <w:rPr>
            <w:rStyle w:val="Hyperlink"/>
            <w:rFonts w:eastAsiaTheme="majorEastAsia"/>
          </w:rPr>
          <w:t>www.itu.int/rec/R-REC-M.1036/en</w:t>
        </w:r>
      </w:hyperlink>
      <w:r w:rsidRPr="005759E7">
        <w:rPr>
          <w:rStyle w:val="Hyperlink"/>
          <w:rFonts w:eastAsiaTheme="majorEastAsia"/>
          <w:color w:val="auto"/>
          <w:u w:val="none"/>
        </w:rPr>
        <w:t>.</w:t>
      </w:r>
      <w:r>
        <w:t xml:space="preserve"> </w:t>
      </w:r>
    </w:p>
  </w:footnote>
  <w:footnote w:id="26">
    <w:p w14:paraId="1175CE66" w14:textId="77777777" w:rsidR="00E97880" w:rsidRDefault="00E97880" w:rsidP="00D9739D">
      <w:pPr>
        <w:pStyle w:val="FootnoteText"/>
      </w:pPr>
      <w:r>
        <w:rPr>
          <w:rStyle w:val="FootnoteReference"/>
        </w:rPr>
        <w:footnoteRef/>
      </w:r>
      <w:r>
        <w:t xml:space="preserve"> GSA—Global mobile Suppliers Association, </w:t>
      </w:r>
      <w:hyperlink r:id="rId18" w:history="1">
        <w:r>
          <w:rPr>
            <w:rStyle w:val="Hyperlink"/>
            <w:rFonts w:eastAsiaTheme="majorEastAsia"/>
          </w:rPr>
          <w:t>The case for new 5G spectrum</w:t>
        </w:r>
      </w:hyperlink>
      <w:r>
        <w:t xml:space="preserve">, November </w:t>
      </w:r>
      <w:r w:rsidRPr="004F48A6">
        <w:t>2016.</w:t>
      </w:r>
    </w:p>
  </w:footnote>
  <w:footnote w:id="27">
    <w:p w14:paraId="6F7BE902" w14:textId="77777777" w:rsidR="00E97880" w:rsidRDefault="00E97880" w:rsidP="00D9739D">
      <w:pPr>
        <w:pStyle w:val="FootnoteText"/>
      </w:pPr>
      <w:r>
        <w:rPr>
          <w:rStyle w:val="FootnoteReference"/>
        </w:rPr>
        <w:footnoteRef/>
      </w:r>
      <w:r>
        <w:t xml:space="preserve"> </w:t>
      </w:r>
      <w:hyperlink r:id="rId19" w:history="1">
        <w:r w:rsidRPr="000A66CC">
          <w:rPr>
            <w:rStyle w:val="Hyperlink"/>
          </w:rPr>
          <w:t>Order and notice of proposed rulemaking – FCC 1</w:t>
        </w:r>
        <w:r>
          <w:rPr>
            <w:rStyle w:val="Hyperlink"/>
          </w:rPr>
          <w:t>8</w:t>
        </w:r>
        <w:r w:rsidRPr="000A66CC">
          <w:rPr>
            <w:rStyle w:val="Hyperlink"/>
          </w:rPr>
          <w:t>-91</w:t>
        </w:r>
      </w:hyperlink>
    </w:p>
  </w:footnote>
  <w:footnote w:id="28">
    <w:p w14:paraId="7FA6D647" w14:textId="77777777" w:rsidR="00E97880" w:rsidRDefault="00E97880" w:rsidP="00D9739D">
      <w:pPr>
        <w:pStyle w:val="FootnoteText"/>
      </w:pPr>
      <w:r>
        <w:rPr>
          <w:rStyle w:val="FootnoteReference"/>
        </w:rPr>
        <w:footnoteRef/>
      </w:r>
      <w:r>
        <w:t xml:space="preserve"> </w:t>
      </w:r>
      <w:hyperlink r:id="rId20" w:history="1">
        <w:r w:rsidRPr="00DC6AA5">
          <w:rPr>
            <w:rStyle w:val="Hyperlink"/>
            <w:rFonts w:cs="Arial"/>
            <w:lang w:val="en"/>
          </w:rPr>
          <w:t>3.8 GHz to 4.2 GHz band: Opportunities for Innovation, Ofcom</w:t>
        </w:r>
      </w:hyperlink>
    </w:p>
  </w:footnote>
  <w:footnote w:id="29">
    <w:p w14:paraId="2C392A3F" w14:textId="77777777" w:rsidR="00E97880" w:rsidRDefault="00E97880" w:rsidP="00C53C74">
      <w:pPr>
        <w:pStyle w:val="FootnoteText"/>
      </w:pPr>
      <w:r>
        <w:rPr>
          <w:rStyle w:val="FootnoteReference"/>
        </w:rPr>
        <w:footnoteRef/>
      </w:r>
      <w:r>
        <w:t xml:space="preserve"> For example, those of </w:t>
      </w:r>
      <w:r w:rsidRPr="00552CAE">
        <w:rPr>
          <w:rFonts w:cs="Arial"/>
          <w:szCs w:val="20"/>
        </w:rPr>
        <w:t xml:space="preserve">the </w:t>
      </w:r>
      <w:r w:rsidRPr="00E325A7">
        <w:rPr>
          <w:rFonts w:cs="Arial"/>
          <w:szCs w:val="20"/>
        </w:rPr>
        <w:t>Radiocommunications (Communication with Space Object) Class Licence 2015</w:t>
      </w:r>
      <w:r>
        <w:rPr>
          <w:rFonts w:cs="Arial"/>
          <w:szCs w:val="20"/>
        </w:rPr>
        <w:t xml:space="preserve">, </w:t>
      </w:r>
      <w:hyperlink r:id="rId21" w:history="1">
        <w:r w:rsidRPr="00D220D6">
          <w:rPr>
            <w:rStyle w:val="Hyperlink"/>
            <w:rFonts w:cs="Arial"/>
            <w:szCs w:val="20"/>
            <w:lang w:val="en"/>
          </w:rPr>
          <w:t>Radiocommunications (Foreign Space Objects) Determination 2014</w:t>
        </w:r>
      </w:hyperlink>
      <w:r>
        <w:rPr>
          <w:rFonts w:cs="Arial"/>
          <w:szCs w:val="20"/>
          <w:lang w:val="en"/>
        </w:rPr>
        <w:t xml:space="preserve">, </w:t>
      </w:r>
      <w:r w:rsidRPr="00D220D6">
        <w:rPr>
          <w:rFonts w:cs="Arial"/>
          <w:szCs w:val="20"/>
          <w:lang w:val="en"/>
        </w:rPr>
        <w:t>Radiocommunications (Australian Space Objects) Determination 2</w:t>
      </w:r>
      <w:r w:rsidRPr="00C53C74">
        <w:t>0</w:t>
      </w:r>
      <w:r w:rsidRPr="00D220D6">
        <w:rPr>
          <w:rFonts w:cs="Arial"/>
          <w:szCs w:val="20"/>
          <w:lang w:val="en"/>
        </w:rPr>
        <w:t>14</w:t>
      </w:r>
      <w:r>
        <w:rPr>
          <w:rFonts w:cs="Arial"/>
          <w:szCs w:val="20"/>
          <w:lang w:val="en"/>
        </w:rPr>
        <w:t>.</w:t>
      </w:r>
    </w:p>
  </w:footnote>
  <w:footnote w:id="30">
    <w:p w14:paraId="28167B1F" w14:textId="77777777" w:rsidR="00E97880" w:rsidRDefault="00E97880" w:rsidP="000B35F0">
      <w:pPr>
        <w:pStyle w:val="FootnoteText"/>
      </w:pPr>
      <w:r>
        <w:rPr>
          <w:rStyle w:val="FootnoteReference"/>
        </w:rPr>
        <w:footnoteRef/>
      </w:r>
      <w:r>
        <w:t xml:space="preserve"> </w:t>
      </w:r>
      <w:hyperlink r:id="rId22" w:history="1">
        <w:r>
          <w:rPr>
            <w:rStyle w:val="Hyperlink"/>
          </w:rPr>
          <w:t>Business operating procedures</w:t>
        </w:r>
      </w:hyperlink>
      <w:r>
        <w:t>, including those related to space licensing, are available on the ACMA website.</w:t>
      </w:r>
    </w:p>
  </w:footnote>
  <w:footnote w:id="31">
    <w:p w14:paraId="3F6F3427" w14:textId="3245BD2F" w:rsidR="00E97880" w:rsidRDefault="00E97880">
      <w:pPr>
        <w:pStyle w:val="FootnoteText"/>
      </w:pPr>
      <w:r>
        <w:rPr>
          <w:rStyle w:val="FootnoteReference"/>
        </w:rPr>
        <w:footnoteRef/>
      </w:r>
      <w:r>
        <w:t xml:space="preserve"> Refer ITU Radio Regulation 5.133B. Note</w:t>
      </w:r>
      <w:r w:rsidDel="00F11130">
        <w:t xml:space="preserve"> </w:t>
      </w:r>
      <w:r>
        <w:t>some Region 2 countries alternative limits of 20 or 25 watts apply.</w:t>
      </w:r>
    </w:p>
  </w:footnote>
  <w:footnote w:id="32">
    <w:p w14:paraId="792FE0FF" w14:textId="77777777" w:rsidR="00E97880" w:rsidRDefault="00E97880" w:rsidP="003335E7">
      <w:pPr>
        <w:pStyle w:val="FootnoteText"/>
      </w:pPr>
      <w:r>
        <w:rPr>
          <w:rStyle w:val="FootnoteReference"/>
        </w:rPr>
        <w:footnoteRef/>
      </w:r>
      <w:r>
        <w:t xml:space="preserve"> </w:t>
      </w:r>
      <w:bookmarkStart w:id="329" w:name="_Hlk524341942"/>
      <w:r>
        <w:t xml:space="preserve">ACMA, </w:t>
      </w:r>
      <w:r w:rsidRPr="001360C6">
        <w:rPr>
          <w:i/>
        </w:rPr>
        <w:t>Future approach to the 3.6 GHz band</w:t>
      </w:r>
      <w:r>
        <w:t xml:space="preserve"> (IFC:9/2017), 2017. </w:t>
      </w:r>
      <w:bookmarkEnd w:id="32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B60C" w14:textId="77777777" w:rsidR="00E97880" w:rsidRPr="00A5474E" w:rsidRDefault="00E97880" w:rsidP="00A5474E">
    <w:pPr>
      <w:pStyle w:val="Header"/>
    </w:pPr>
    <w:r>
      <w:rPr>
        <w:noProof/>
      </w:rPr>
      <w:drawing>
        <wp:inline distT="0" distB="0" distL="0" distR="0" wp14:anchorId="05253C7E" wp14:editId="008E708A">
          <wp:extent cx="6388100" cy="520700"/>
          <wp:effectExtent l="0" t="0" r="0" b="12700"/>
          <wp:docPr id="2" name="Picture 2"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8F57" w14:textId="77777777" w:rsidR="00E97880" w:rsidRPr="00A5474E" w:rsidRDefault="00E97880" w:rsidP="0054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F73C" w14:textId="77777777" w:rsidR="00E97880" w:rsidRDefault="00E97880" w:rsidP="005759E7">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E870" w14:textId="77777777" w:rsidR="00E97880" w:rsidRDefault="00E978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FF63" w14:textId="77777777" w:rsidR="00E97880" w:rsidRDefault="00E978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E97880" w14:paraId="1318C046" w14:textId="77777777" w:rsidTr="005435F9">
      <w:trPr>
        <w:trHeight w:hRule="exact" w:val="988"/>
      </w:trPr>
      <w:tc>
        <w:tcPr>
          <w:tcW w:w="7678" w:type="dxa"/>
          <w:shd w:val="clear" w:color="auto" w:fill="auto"/>
        </w:tcPr>
        <w:p w14:paraId="0F24D554" w14:textId="77777777" w:rsidR="00E97880" w:rsidRDefault="00E97880" w:rsidP="005435F9">
          <w:pPr>
            <w:pStyle w:val="Header"/>
          </w:pPr>
        </w:p>
      </w:tc>
    </w:tr>
    <w:tr w:rsidR="00E97880" w14:paraId="6A0FCD40" w14:textId="77777777" w:rsidTr="005435F9">
      <w:tc>
        <w:tcPr>
          <w:tcW w:w="7678" w:type="dxa"/>
          <w:shd w:val="clear" w:color="auto" w:fill="auto"/>
        </w:tcPr>
        <w:p w14:paraId="3794FF38" w14:textId="77777777" w:rsidR="00E97880" w:rsidRDefault="00E97880" w:rsidP="005435F9">
          <w:pPr>
            <w:pStyle w:val="GridTable31"/>
          </w:pPr>
          <w:r>
            <w:t xml:space="preserve">Contents </w:t>
          </w:r>
          <w:r w:rsidRPr="00915B1C">
            <w:rPr>
              <w:b w:val="0"/>
              <w:spacing w:val="0"/>
              <w:sz w:val="28"/>
              <w:szCs w:val="28"/>
            </w:rPr>
            <w:t>(Continued)</w:t>
          </w:r>
        </w:p>
      </w:tc>
    </w:tr>
    <w:tr w:rsidR="00E97880" w14:paraId="2D7306DC" w14:textId="77777777" w:rsidTr="005435F9">
      <w:trPr>
        <w:trHeight w:val="1220"/>
      </w:trPr>
      <w:tc>
        <w:tcPr>
          <w:tcW w:w="7678" w:type="dxa"/>
          <w:shd w:val="clear" w:color="auto" w:fill="auto"/>
        </w:tcPr>
        <w:p w14:paraId="7B41FC25" w14:textId="77777777" w:rsidR="00E97880" w:rsidRDefault="00E97880" w:rsidP="005435F9"/>
      </w:tc>
    </w:tr>
  </w:tbl>
  <w:p w14:paraId="30DB03A9" w14:textId="77777777" w:rsidR="00E97880" w:rsidRPr="00652FC3" w:rsidRDefault="00E97880" w:rsidP="004C4F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E97880" w14:paraId="7F7DDCF3" w14:textId="77777777" w:rsidTr="00F16F31">
      <w:trPr>
        <w:trHeight w:hRule="exact" w:val="988"/>
      </w:trPr>
      <w:tc>
        <w:tcPr>
          <w:tcW w:w="7678" w:type="dxa"/>
          <w:shd w:val="clear" w:color="auto" w:fill="auto"/>
        </w:tcPr>
        <w:p w14:paraId="6864D64B" w14:textId="77777777" w:rsidR="00E97880" w:rsidRDefault="00E97880" w:rsidP="00F16F31">
          <w:pPr>
            <w:pStyle w:val="Header"/>
          </w:pPr>
        </w:p>
      </w:tc>
    </w:tr>
    <w:tr w:rsidR="00E97880" w14:paraId="7A3D87BD" w14:textId="77777777" w:rsidTr="00F16F31">
      <w:tc>
        <w:tcPr>
          <w:tcW w:w="7678" w:type="dxa"/>
          <w:shd w:val="clear" w:color="auto" w:fill="auto"/>
        </w:tcPr>
        <w:p w14:paraId="1A925116" w14:textId="77777777" w:rsidR="00E97880" w:rsidRDefault="00E97880" w:rsidP="00F16F31">
          <w:pPr>
            <w:pStyle w:val="GridTable31"/>
          </w:pPr>
          <w:r>
            <w:t xml:space="preserve">Contents </w:t>
          </w:r>
          <w:r w:rsidRPr="00915B1C">
            <w:rPr>
              <w:b w:val="0"/>
              <w:spacing w:val="0"/>
              <w:sz w:val="28"/>
              <w:szCs w:val="28"/>
            </w:rPr>
            <w:t>(Continued)</w:t>
          </w:r>
        </w:p>
      </w:tc>
    </w:tr>
    <w:tr w:rsidR="00E97880" w14:paraId="3AC9DF72" w14:textId="77777777" w:rsidTr="00F16F31">
      <w:trPr>
        <w:trHeight w:val="1220"/>
      </w:trPr>
      <w:tc>
        <w:tcPr>
          <w:tcW w:w="7678" w:type="dxa"/>
          <w:shd w:val="clear" w:color="auto" w:fill="auto"/>
        </w:tcPr>
        <w:p w14:paraId="258D5A31" w14:textId="77777777" w:rsidR="00E97880" w:rsidRDefault="00E97880" w:rsidP="00F16F31"/>
      </w:tc>
    </w:tr>
  </w:tbl>
  <w:p w14:paraId="6D8DE37D" w14:textId="77777777" w:rsidR="00E97880" w:rsidRPr="00A5474E" w:rsidRDefault="00E97880" w:rsidP="005435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962C" w14:textId="77777777" w:rsidR="00E97880" w:rsidRDefault="00E978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71D4" w14:textId="77777777" w:rsidR="00E97880" w:rsidRDefault="00E97880">
    <w:pPr>
      <w:pStyle w:val="Header"/>
    </w:pPr>
  </w:p>
  <w:p w14:paraId="17168CE9" w14:textId="77777777" w:rsidR="00E97880" w:rsidRDefault="00E9788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F228" w14:textId="77777777" w:rsidR="00E97880" w:rsidRPr="006F542F" w:rsidRDefault="00E97880" w:rsidP="00704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AE6C4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7A8CB43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990FF14"/>
    <w:lvl w:ilvl="0">
      <w:start w:val="1"/>
      <w:numFmt w:val="bullet"/>
      <w:pStyle w:val="ListBullet"/>
      <w:lvlText w:val="&gt;"/>
      <w:lvlJc w:val="left"/>
      <w:pPr>
        <w:tabs>
          <w:tab w:val="num" w:pos="1854"/>
        </w:tabs>
        <w:ind w:left="1854" w:hanging="295"/>
      </w:pPr>
      <w:rPr>
        <w:rFonts w:ascii="HelveticaNeueLT Std Lt" w:hAnsi="HelveticaNeueLT Std Lt" w:hint="default"/>
        <w:sz w:val="20"/>
      </w:rPr>
    </w:lvl>
  </w:abstractNum>
  <w:abstractNum w:abstractNumId="4" w15:restartNumberingAfterBreak="0">
    <w:nsid w:val="01C77057"/>
    <w:multiLevelType w:val="hybridMultilevel"/>
    <w:tmpl w:val="3086ECFE"/>
    <w:lvl w:ilvl="0" w:tplc="08D2AB58">
      <w:start w:val="1"/>
      <w:numFmt w:val="bullet"/>
      <w:lvlText w:val="&gt;"/>
      <w:lvlJc w:val="left"/>
      <w:pPr>
        <w:ind w:left="1800" w:hanging="360"/>
      </w:pPr>
      <w:rPr>
        <w:rFonts w:ascii="HelveticaNeueLT Std Lt" w:hAnsi="HelveticaNeueLT Std Lt" w:hint="default"/>
        <w:sz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9EC57DB"/>
    <w:multiLevelType w:val="hybridMultilevel"/>
    <w:tmpl w:val="710EA874"/>
    <w:lvl w:ilvl="0" w:tplc="08D2AB58">
      <w:start w:val="1"/>
      <w:numFmt w:val="bullet"/>
      <w:lvlText w:val="&gt;"/>
      <w:lvlJc w:val="left"/>
      <w:pPr>
        <w:ind w:left="928" w:hanging="360"/>
      </w:pPr>
      <w:rPr>
        <w:rFonts w:ascii="HelveticaNeueLT Std Lt" w:hAnsi="HelveticaNeueLT Std Lt" w:hint="default"/>
        <w:sz w:val="2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15:restartNumberingAfterBreak="0">
    <w:nsid w:val="0A03458B"/>
    <w:multiLevelType w:val="hybridMultilevel"/>
    <w:tmpl w:val="5E681AF4"/>
    <w:lvl w:ilvl="0" w:tplc="44EEC084">
      <w:start w:val="1"/>
      <w:numFmt w:val="bullet"/>
      <w:lvlText w:val="&gt;"/>
      <w:lvlJc w:val="left"/>
      <w:pPr>
        <w:ind w:left="1015" w:hanging="360"/>
      </w:pPr>
      <w:rPr>
        <w:rFonts w:ascii="HelveticaNeueLT Std" w:hAnsi="HelveticaNeueLT Std"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7" w15:restartNumberingAfterBreak="0">
    <w:nsid w:val="0FE86CD1"/>
    <w:multiLevelType w:val="hybridMultilevel"/>
    <w:tmpl w:val="2AB6C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797208"/>
    <w:multiLevelType w:val="hybridMultilevel"/>
    <w:tmpl w:val="CF662D16"/>
    <w:lvl w:ilvl="0" w:tplc="44EEC084">
      <w:start w:val="1"/>
      <w:numFmt w:val="bullet"/>
      <w:lvlText w:val="&gt;"/>
      <w:lvlJc w:val="left"/>
      <w:pPr>
        <w:ind w:left="1015" w:hanging="360"/>
      </w:pPr>
      <w:rPr>
        <w:rFonts w:ascii="HelveticaNeueLT Std" w:hAnsi="HelveticaNeueLT Std"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9" w15:restartNumberingAfterBreak="0">
    <w:nsid w:val="1ADF1905"/>
    <w:multiLevelType w:val="hybridMultilevel"/>
    <w:tmpl w:val="26BA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133DA"/>
    <w:multiLevelType w:val="hybridMultilevel"/>
    <w:tmpl w:val="02A6D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2C05A96"/>
    <w:multiLevelType w:val="hybridMultilevel"/>
    <w:tmpl w:val="CE32E20A"/>
    <w:lvl w:ilvl="0" w:tplc="08D2AB58">
      <w:start w:val="1"/>
      <w:numFmt w:val="bullet"/>
      <w:lvlText w:val="&gt;"/>
      <w:lvlJc w:val="left"/>
      <w:pPr>
        <w:ind w:left="1211" w:hanging="360"/>
      </w:pPr>
      <w:rPr>
        <w:rFonts w:ascii="HelveticaNeueLT Std Lt" w:hAnsi="HelveticaNeueLT Std Lt" w:hint="default"/>
        <w:sz w:val="20"/>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235768EA"/>
    <w:multiLevelType w:val="hybridMultilevel"/>
    <w:tmpl w:val="5A4EE660"/>
    <w:lvl w:ilvl="0" w:tplc="33BE7B98">
      <w:start w:val="1"/>
      <w:numFmt w:val="bullet"/>
      <w:lvlText w:val="&gt;"/>
      <w:lvlJc w:val="left"/>
      <w:pPr>
        <w:ind w:left="720" w:hanging="360"/>
      </w:pPr>
      <w:rPr>
        <w:rFonts w:ascii="HelveticaNeueLT Std Lt" w:hAnsi="HelveticaNeueLT Std L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37F86"/>
    <w:multiLevelType w:val="hybridMultilevel"/>
    <w:tmpl w:val="2F0AF8E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6A60E4"/>
    <w:multiLevelType w:val="hybridMultilevel"/>
    <w:tmpl w:val="C4A8E1EE"/>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B525FB"/>
    <w:multiLevelType w:val="hybridMultilevel"/>
    <w:tmpl w:val="D0922840"/>
    <w:lvl w:ilvl="0" w:tplc="5746A350">
      <w:numFmt w:val="bullet"/>
      <w:lvlText w:val=""/>
      <w:lvlJc w:val="left"/>
      <w:pPr>
        <w:ind w:left="655" w:hanging="360"/>
      </w:pPr>
      <w:rPr>
        <w:rFonts w:ascii="Wingdings" w:eastAsia="Times New Roman" w:hAnsi="Wingdings" w:cs="Arial" w:hint="default"/>
        <w:b/>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16" w15:restartNumberingAfterBreak="0">
    <w:nsid w:val="2B940C89"/>
    <w:multiLevelType w:val="hybridMultilevel"/>
    <w:tmpl w:val="0C22B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AC02DE"/>
    <w:multiLevelType w:val="hybridMultilevel"/>
    <w:tmpl w:val="85989592"/>
    <w:lvl w:ilvl="0" w:tplc="08D2AB58">
      <w:start w:val="1"/>
      <w:numFmt w:val="bullet"/>
      <w:lvlText w:val="&gt;"/>
      <w:lvlJc w:val="left"/>
      <w:pPr>
        <w:ind w:left="1015" w:hanging="360"/>
      </w:pPr>
      <w:rPr>
        <w:rFonts w:ascii="HelveticaNeueLT Std Lt" w:hAnsi="HelveticaNeueLT Std Lt" w:hint="default"/>
        <w:sz w:val="20"/>
      </w:rPr>
    </w:lvl>
    <w:lvl w:ilvl="1" w:tplc="08D2AB58">
      <w:start w:val="1"/>
      <w:numFmt w:val="bullet"/>
      <w:lvlText w:val="&gt;"/>
      <w:lvlJc w:val="left"/>
      <w:pPr>
        <w:ind w:left="1735" w:hanging="360"/>
      </w:pPr>
      <w:rPr>
        <w:rFonts w:ascii="HelveticaNeueLT Std Lt" w:hAnsi="HelveticaNeueLT Std Lt" w:hint="default"/>
        <w:sz w:val="20"/>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8" w15:restartNumberingAfterBreak="0">
    <w:nsid w:val="2CBD1A11"/>
    <w:multiLevelType w:val="hybridMultilevel"/>
    <w:tmpl w:val="58C858FA"/>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F10F3"/>
    <w:multiLevelType w:val="hybridMultilevel"/>
    <w:tmpl w:val="FBAEFEA0"/>
    <w:lvl w:ilvl="0" w:tplc="08D2AB58">
      <w:start w:val="1"/>
      <w:numFmt w:val="bullet"/>
      <w:lvlText w:val="&gt;"/>
      <w:lvlJc w:val="left"/>
      <w:pPr>
        <w:ind w:left="1469" w:hanging="360"/>
      </w:pPr>
      <w:rPr>
        <w:rFonts w:ascii="HelveticaNeueLT Std Lt" w:hAnsi="HelveticaNeueLT Std Lt" w:hint="default"/>
        <w:sz w:val="20"/>
      </w:rPr>
    </w:lvl>
    <w:lvl w:ilvl="1" w:tplc="0C090003">
      <w:start w:val="1"/>
      <w:numFmt w:val="bullet"/>
      <w:lvlText w:val="o"/>
      <w:lvlJc w:val="left"/>
      <w:pPr>
        <w:ind w:left="2189" w:hanging="360"/>
      </w:pPr>
      <w:rPr>
        <w:rFonts w:ascii="Courier New" w:hAnsi="Courier New" w:cs="Courier New" w:hint="default"/>
      </w:rPr>
    </w:lvl>
    <w:lvl w:ilvl="2" w:tplc="0C090005" w:tentative="1">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20"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30530E9F"/>
    <w:multiLevelType w:val="hybridMultilevel"/>
    <w:tmpl w:val="3D94D9F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FF50AE"/>
    <w:multiLevelType w:val="hybridMultilevel"/>
    <w:tmpl w:val="DC8C9312"/>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884D83"/>
    <w:multiLevelType w:val="hybridMultilevel"/>
    <w:tmpl w:val="F53471AE"/>
    <w:lvl w:ilvl="0" w:tplc="4A20005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31102D"/>
    <w:multiLevelType w:val="hybridMultilevel"/>
    <w:tmpl w:val="95CAD8B2"/>
    <w:lvl w:ilvl="0" w:tplc="08D2AB58">
      <w:start w:val="1"/>
      <w:numFmt w:val="bullet"/>
      <w:lvlText w:val="&gt;"/>
      <w:lvlJc w:val="left"/>
      <w:pPr>
        <w:ind w:left="720" w:hanging="360"/>
      </w:pPr>
      <w:rPr>
        <w:rFonts w:ascii="HelveticaNeueLT Std Lt" w:hAnsi="HelveticaNeueLT Std L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D6398"/>
    <w:multiLevelType w:val="hybridMultilevel"/>
    <w:tmpl w:val="0FE87A82"/>
    <w:lvl w:ilvl="0" w:tplc="08D2AB58">
      <w:start w:val="1"/>
      <w:numFmt w:val="bullet"/>
      <w:lvlText w:val="&gt;"/>
      <w:lvlJc w:val="left"/>
      <w:pPr>
        <w:ind w:left="928" w:hanging="360"/>
      </w:pPr>
      <w:rPr>
        <w:rFonts w:ascii="HelveticaNeueLT Std Lt" w:hAnsi="HelveticaNeueLT Std Lt" w:hint="default"/>
        <w:sz w:val="2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6" w15:restartNumberingAfterBreak="0">
    <w:nsid w:val="401E0F29"/>
    <w:multiLevelType w:val="hybridMultilevel"/>
    <w:tmpl w:val="700262EE"/>
    <w:lvl w:ilvl="0" w:tplc="44EEC084">
      <w:start w:val="1"/>
      <w:numFmt w:val="bullet"/>
      <w:lvlText w:val="&gt;"/>
      <w:lvlJc w:val="left"/>
      <w:pPr>
        <w:ind w:left="1015" w:hanging="360"/>
      </w:pPr>
      <w:rPr>
        <w:rFonts w:ascii="HelveticaNeueLT Std" w:hAnsi="HelveticaNeueLT Std"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7" w15:restartNumberingAfterBreak="0">
    <w:nsid w:val="40CD36C9"/>
    <w:multiLevelType w:val="hybridMultilevel"/>
    <w:tmpl w:val="917AA308"/>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A5262F"/>
    <w:multiLevelType w:val="hybridMultilevel"/>
    <w:tmpl w:val="2C96ECD8"/>
    <w:lvl w:ilvl="0" w:tplc="08D2AB58">
      <w:start w:val="1"/>
      <w:numFmt w:val="bullet"/>
      <w:lvlText w:val="&gt;"/>
      <w:lvlJc w:val="left"/>
      <w:pPr>
        <w:ind w:left="2279" w:hanging="360"/>
      </w:pPr>
      <w:rPr>
        <w:rFonts w:ascii="HelveticaNeueLT Std Lt" w:hAnsi="HelveticaNeueLT Std Lt" w:hint="default"/>
        <w:sz w:val="20"/>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29" w15:restartNumberingAfterBreak="0">
    <w:nsid w:val="49870DDE"/>
    <w:multiLevelType w:val="hybridMultilevel"/>
    <w:tmpl w:val="86B08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9D11D7D"/>
    <w:multiLevelType w:val="hybridMultilevel"/>
    <w:tmpl w:val="DAEC4232"/>
    <w:lvl w:ilvl="0" w:tplc="08D2AB58">
      <w:start w:val="1"/>
      <w:numFmt w:val="bullet"/>
      <w:lvlText w:val="&gt;"/>
      <w:lvlJc w:val="left"/>
      <w:pPr>
        <w:ind w:left="1583" w:hanging="360"/>
      </w:pPr>
      <w:rPr>
        <w:rFonts w:ascii="HelveticaNeueLT Std Lt" w:hAnsi="HelveticaNeueLT Std Lt"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31" w15:restartNumberingAfterBreak="0">
    <w:nsid w:val="4CE36CE1"/>
    <w:multiLevelType w:val="hybridMultilevel"/>
    <w:tmpl w:val="E89EAA62"/>
    <w:lvl w:ilvl="0" w:tplc="3CD2D18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42593D"/>
    <w:multiLevelType w:val="hybridMultilevel"/>
    <w:tmpl w:val="66400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D56CDF"/>
    <w:multiLevelType w:val="hybridMultilevel"/>
    <w:tmpl w:val="008C419C"/>
    <w:lvl w:ilvl="0" w:tplc="08D2AB58">
      <w:start w:val="1"/>
      <w:numFmt w:val="bullet"/>
      <w:lvlText w:val="&gt;"/>
      <w:lvlJc w:val="left"/>
      <w:pPr>
        <w:ind w:left="1211" w:hanging="360"/>
      </w:pPr>
      <w:rPr>
        <w:rFonts w:ascii="HelveticaNeueLT Std Lt" w:hAnsi="HelveticaNeueLT Std Lt" w:hint="default"/>
        <w:sz w:val="20"/>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4" w15:restartNumberingAfterBreak="0">
    <w:nsid w:val="53F650F1"/>
    <w:multiLevelType w:val="hybridMultilevel"/>
    <w:tmpl w:val="0A12CBDC"/>
    <w:lvl w:ilvl="0" w:tplc="08D2AB58">
      <w:start w:val="1"/>
      <w:numFmt w:val="bullet"/>
      <w:lvlText w:val="&gt;"/>
      <w:lvlJc w:val="left"/>
      <w:pPr>
        <w:ind w:left="644" w:hanging="360"/>
      </w:pPr>
      <w:rPr>
        <w:rFonts w:ascii="HelveticaNeueLT Std Lt" w:hAnsi="HelveticaNeueLT Std Lt" w:hint="default"/>
        <w:sz w:val="20"/>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55AA21F0"/>
    <w:multiLevelType w:val="hybridMultilevel"/>
    <w:tmpl w:val="D42E77D2"/>
    <w:lvl w:ilvl="0" w:tplc="141483F2">
      <w:start w:val="1"/>
      <w:numFmt w:val="decimal"/>
      <w:pStyle w:val="ACMATableHeader"/>
      <w:lvlText w:val="Table %1:"/>
      <w:lvlJc w:val="left"/>
      <w:pPr>
        <w:tabs>
          <w:tab w:val="num" w:pos="964"/>
        </w:tabs>
        <w:ind w:left="964" w:hanging="96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00D8E"/>
    <w:multiLevelType w:val="hybridMultilevel"/>
    <w:tmpl w:val="783063A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3F170F"/>
    <w:multiLevelType w:val="hybridMultilevel"/>
    <w:tmpl w:val="8BDCDBEA"/>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5F3496"/>
    <w:multiLevelType w:val="multilevel"/>
    <w:tmpl w:val="4A143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2F94169"/>
    <w:multiLevelType w:val="hybridMultilevel"/>
    <w:tmpl w:val="34CAACA8"/>
    <w:lvl w:ilvl="0" w:tplc="08D2AB58">
      <w:start w:val="1"/>
      <w:numFmt w:val="bullet"/>
      <w:lvlText w:val="&gt;"/>
      <w:lvlJc w:val="left"/>
      <w:pPr>
        <w:ind w:left="1004" w:hanging="360"/>
      </w:pPr>
      <w:rPr>
        <w:rFonts w:ascii="HelveticaNeueLT Std Lt" w:hAnsi="HelveticaNeueLT Std Lt" w:hint="default"/>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63AA41DB"/>
    <w:multiLevelType w:val="hybridMultilevel"/>
    <w:tmpl w:val="A4085218"/>
    <w:lvl w:ilvl="0" w:tplc="DE3062E0">
      <w:start w:val="1"/>
      <w:numFmt w:val="decimal"/>
      <w:pStyle w:val="ListNumber"/>
      <w:lvlText w:val="%1."/>
      <w:lvlJc w:val="left"/>
      <w:pPr>
        <w:ind w:left="360" w:hanging="360"/>
      </w:pPr>
      <w:rPr>
        <w:rFonts w:eastAsia="Times New Roman" w:hint="default"/>
        <w:b w:val="0"/>
      </w:rPr>
    </w:lvl>
    <w:lvl w:ilvl="1" w:tplc="0C090019">
      <w:start w:val="1"/>
      <w:numFmt w:val="lowerLetter"/>
      <w:lvlText w:val="%2."/>
      <w:lvlJc w:val="left"/>
      <w:pPr>
        <w:ind w:left="-3314" w:hanging="360"/>
      </w:pPr>
    </w:lvl>
    <w:lvl w:ilvl="2" w:tplc="0C09001B">
      <w:start w:val="1"/>
      <w:numFmt w:val="lowerRoman"/>
      <w:lvlText w:val="%3."/>
      <w:lvlJc w:val="right"/>
      <w:pPr>
        <w:ind w:left="-2594" w:hanging="180"/>
      </w:pPr>
    </w:lvl>
    <w:lvl w:ilvl="3" w:tplc="0C09000F">
      <w:start w:val="1"/>
      <w:numFmt w:val="decimal"/>
      <w:lvlText w:val="%4."/>
      <w:lvlJc w:val="left"/>
      <w:pPr>
        <w:ind w:left="-1874" w:hanging="360"/>
      </w:pPr>
    </w:lvl>
    <w:lvl w:ilvl="4" w:tplc="0C090019">
      <w:start w:val="1"/>
      <w:numFmt w:val="lowerLetter"/>
      <w:lvlText w:val="%5."/>
      <w:lvlJc w:val="left"/>
      <w:pPr>
        <w:ind w:left="-1154" w:hanging="360"/>
      </w:pPr>
    </w:lvl>
    <w:lvl w:ilvl="5" w:tplc="0C09001B">
      <w:start w:val="1"/>
      <w:numFmt w:val="lowerRoman"/>
      <w:lvlText w:val="%6."/>
      <w:lvlJc w:val="right"/>
      <w:pPr>
        <w:ind w:left="-434" w:hanging="180"/>
      </w:pPr>
    </w:lvl>
    <w:lvl w:ilvl="6" w:tplc="6FE4F18C">
      <w:start w:val="2"/>
      <w:numFmt w:val="decimal"/>
      <w:lvlText w:val="%7."/>
      <w:lvlJc w:val="left"/>
      <w:pPr>
        <w:ind w:left="286" w:hanging="360"/>
      </w:pPr>
      <w:rPr>
        <w:rFonts w:hint="default"/>
      </w:rPr>
    </w:lvl>
    <w:lvl w:ilvl="7" w:tplc="0C090019">
      <w:start w:val="1"/>
      <w:numFmt w:val="lowerLetter"/>
      <w:lvlText w:val="%8."/>
      <w:lvlJc w:val="left"/>
      <w:pPr>
        <w:ind w:left="1006" w:hanging="360"/>
      </w:pPr>
    </w:lvl>
    <w:lvl w:ilvl="8" w:tplc="0C09001B" w:tentative="1">
      <w:start w:val="1"/>
      <w:numFmt w:val="lowerRoman"/>
      <w:lvlText w:val="%9."/>
      <w:lvlJc w:val="right"/>
      <w:pPr>
        <w:ind w:left="1726" w:hanging="180"/>
      </w:pPr>
    </w:lvl>
  </w:abstractNum>
  <w:abstractNum w:abstractNumId="4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71478"/>
    <w:multiLevelType w:val="hybridMultilevel"/>
    <w:tmpl w:val="6B3444A0"/>
    <w:lvl w:ilvl="0" w:tplc="01D2533A">
      <w:start w:val="1"/>
      <w:numFmt w:val="decimal"/>
      <w:pStyle w:val="ACMAFigureHeader"/>
      <w:lvlText w:val="Figure %1: "/>
      <w:lvlJc w:val="left"/>
      <w:pPr>
        <w:tabs>
          <w:tab w:val="num" w:pos="1021"/>
        </w:tabs>
        <w:ind w:left="1021" w:hanging="1021"/>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0799E"/>
    <w:multiLevelType w:val="hybridMultilevel"/>
    <w:tmpl w:val="DB62E6B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596A34"/>
    <w:multiLevelType w:val="hybridMultilevel"/>
    <w:tmpl w:val="D1E24E2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3854EE"/>
    <w:multiLevelType w:val="hybridMultilevel"/>
    <w:tmpl w:val="D290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A8A4413"/>
    <w:multiLevelType w:val="multilevel"/>
    <w:tmpl w:val="8D2A1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41"/>
  </w:num>
  <w:num w:numId="4">
    <w:abstractNumId w:val="44"/>
  </w:num>
  <w:num w:numId="5">
    <w:abstractNumId w:val="20"/>
  </w:num>
  <w:num w:numId="6">
    <w:abstractNumId w:val="45"/>
  </w:num>
  <w:num w:numId="7">
    <w:abstractNumId w:val="21"/>
  </w:num>
  <w:num w:numId="8">
    <w:abstractNumId w:val="42"/>
  </w:num>
  <w:num w:numId="9">
    <w:abstractNumId w:val="35"/>
  </w:num>
  <w:num w:numId="10">
    <w:abstractNumId w:val="40"/>
  </w:num>
  <w:num w:numId="11">
    <w:abstractNumId w:val="4"/>
  </w:num>
  <w:num w:numId="12">
    <w:abstractNumId w:val="40"/>
  </w:num>
  <w:num w:numId="13">
    <w:abstractNumId w:val="14"/>
  </w:num>
  <w:num w:numId="14">
    <w:abstractNumId w:val="27"/>
  </w:num>
  <w:num w:numId="15">
    <w:abstractNumId w:val="12"/>
  </w:num>
  <w:num w:numId="16">
    <w:abstractNumId w:val="10"/>
  </w:num>
  <w:num w:numId="17">
    <w:abstractNumId w:val="9"/>
  </w:num>
  <w:num w:numId="18">
    <w:abstractNumId w:val="31"/>
  </w:num>
  <w:num w:numId="19">
    <w:abstractNumId w:val="46"/>
  </w:num>
  <w:num w:numId="20">
    <w:abstractNumId w:val="46"/>
  </w:num>
  <w:num w:numId="21">
    <w:abstractNumId w:val="25"/>
  </w:num>
  <w:num w:numId="22">
    <w:abstractNumId w:val="39"/>
  </w:num>
  <w:num w:numId="23">
    <w:abstractNumId w:val="5"/>
  </w:num>
  <w:num w:numId="24">
    <w:abstractNumId w:val="33"/>
  </w:num>
  <w:num w:numId="25">
    <w:abstractNumId w:val="11"/>
  </w:num>
  <w:num w:numId="26">
    <w:abstractNumId w:val="38"/>
  </w:num>
  <w:num w:numId="27">
    <w:abstractNumId w:val="34"/>
  </w:num>
  <w:num w:numId="28">
    <w:abstractNumId w:val="3"/>
  </w:num>
  <w:num w:numId="29">
    <w:abstractNumId w:val="0"/>
  </w:num>
  <w:num w:numId="30">
    <w:abstractNumId w:val="22"/>
  </w:num>
  <w:num w:numId="31">
    <w:abstractNumId w:val="3"/>
  </w:num>
  <w:num w:numId="32">
    <w:abstractNumId w:val="3"/>
  </w:num>
  <w:num w:numId="33">
    <w:abstractNumId w:val="29"/>
  </w:num>
  <w:num w:numId="34">
    <w:abstractNumId w:val="29"/>
  </w:num>
  <w:num w:numId="35">
    <w:abstractNumId w:val="40"/>
    <w:lvlOverride w:ilvl="0">
      <w:startOverride w:val="1"/>
    </w:lvlOverride>
  </w:num>
  <w:num w:numId="36">
    <w:abstractNumId w:val="3"/>
  </w:num>
  <w:num w:numId="37">
    <w:abstractNumId w:val="3"/>
  </w:num>
  <w:num w:numId="38">
    <w:abstractNumId w:val="47"/>
  </w:num>
  <w:num w:numId="39">
    <w:abstractNumId w:val="2"/>
  </w:num>
  <w:num w:numId="40">
    <w:abstractNumId w:val="32"/>
  </w:num>
  <w:num w:numId="41">
    <w:abstractNumId w:val="36"/>
  </w:num>
  <w:num w:numId="42">
    <w:abstractNumId w:val="26"/>
  </w:num>
  <w:num w:numId="43">
    <w:abstractNumId w:val="8"/>
  </w:num>
  <w:num w:numId="44">
    <w:abstractNumId w:val="15"/>
  </w:num>
  <w:num w:numId="45">
    <w:abstractNumId w:val="6"/>
  </w:num>
  <w:num w:numId="46">
    <w:abstractNumId w:val="17"/>
  </w:num>
  <w:num w:numId="47">
    <w:abstractNumId w:val="24"/>
  </w:num>
  <w:num w:numId="48">
    <w:abstractNumId w:val="19"/>
  </w:num>
  <w:num w:numId="49">
    <w:abstractNumId w:val="3"/>
  </w:num>
  <w:num w:numId="50">
    <w:abstractNumId w:val="3"/>
  </w:num>
  <w:num w:numId="51">
    <w:abstractNumId w:val="3"/>
  </w:num>
  <w:num w:numId="52">
    <w:abstractNumId w:val="30"/>
  </w:num>
  <w:num w:numId="53">
    <w:abstractNumId w:val="3"/>
  </w:num>
  <w:num w:numId="54">
    <w:abstractNumId w:val="7"/>
  </w:num>
  <w:num w:numId="55">
    <w:abstractNumId w:val="23"/>
  </w:num>
  <w:num w:numId="56">
    <w:abstractNumId w:val="36"/>
  </w:num>
  <w:num w:numId="57">
    <w:abstractNumId w:val="40"/>
    <w:lvlOverride w:ilvl="0">
      <w:startOverride w:val="3"/>
    </w:lvlOverride>
  </w:num>
  <w:num w:numId="58">
    <w:abstractNumId w:val="28"/>
  </w:num>
  <w:num w:numId="59">
    <w:abstractNumId w:val="40"/>
  </w:num>
  <w:num w:numId="60">
    <w:abstractNumId w:val="16"/>
  </w:num>
  <w:num w:numId="61">
    <w:abstractNumId w:val="13"/>
  </w:num>
  <w:num w:numId="62">
    <w:abstractNumId w:val="37"/>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284"/>
  <w:evenAndOddHeaders/>
  <w:drawingGridHorizontalSpacing w:val="100"/>
  <w:displayHorizontalDrawingGridEvery w:val="2"/>
  <w:characterSpacingControl w:val="doNotCompress"/>
  <w:hdrShapeDefaults>
    <o:shapedefaults v:ext="edit" spidmax="22118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NTQ1MzW2MLMwNjNV0lEKTi0uzszPAykwMqwFAJIM//ItAAAA"/>
  </w:docVars>
  <w:rsids>
    <w:rsidRoot w:val="00835321"/>
    <w:rsid w:val="00000432"/>
    <w:rsid w:val="00000A63"/>
    <w:rsid w:val="00000C59"/>
    <w:rsid w:val="000010A8"/>
    <w:rsid w:val="00001230"/>
    <w:rsid w:val="00001253"/>
    <w:rsid w:val="000017BB"/>
    <w:rsid w:val="000018BA"/>
    <w:rsid w:val="0000190B"/>
    <w:rsid w:val="000020A8"/>
    <w:rsid w:val="00002633"/>
    <w:rsid w:val="0000263D"/>
    <w:rsid w:val="00002B03"/>
    <w:rsid w:val="00002BAF"/>
    <w:rsid w:val="00002E62"/>
    <w:rsid w:val="00002FBA"/>
    <w:rsid w:val="00003B1B"/>
    <w:rsid w:val="00003CFD"/>
    <w:rsid w:val="00004D7C"/>
    <w:rsid w:val="00004E6F"/>
    <w:rsid w:val="00005275"/>
    <w:rsid w:val="00005734"/>
    <w:rsid w:val="000063D7"/>
    <w:rsid w:val="000066D7"/>
    <w:rsid w:val="0000676B"/>
    <w:rsid w:val="00006D8C"/>
    <w:rsid w:val="00007BD1"/>
    <w:rsid w:val="00007E63"/>
    <w:rsid w:val="0001012F"/>
    <w:rsid w:val="000101C6"/>
    <w:rsid w:val="00010667"/>
    <w:rsid w:val="0001077C"/>
    <w:rsid w:val="000111F4"/>
    <w:rsid w:val="000113B7"/>
    <w:rsid w:val="00011B67"/>
    <w:rsid w:val="00011BDD"/>
    <w:rsid w:val="00011E1E"/>
    <w:rsid w:val="00011FC0"/>
    <w:rsid w:val="0001205D"/>
    <w:rsid w:val="0001229F"/>
    <w:rsid w:val="000127CC"/>
    <w:rsid w:val="000129D5"/>
    <w:rsid w:val="000130D4"/>
    <w:rsid w:val="00013233"/>
    <w:rsid w:val="0001327C"/>
    <w:rsid w:val="0001389F"/>
    <w:rsid w:val="00014090"/>
    <w:rsid w:val="000148CE"/>
    <w:rsid w:val="00014AF5"/>
    <w:rsid w:val="0001563E"/>
    <w:rsid w:val="00015AD4"/>
    <w:rsid w:val="00015AE7"/>
    <w:rsid w:val="0001610A"/>
    <w:rsid w:val="000163AE"/>
    <w:rsid w:val="000163DF"/>
    <w:rsid w:val="00016561"/>
    <w:rsid w:val="000165A6"/>
    <w:rsid w:val="00016A25"/>
    <w:rsid w:val="00016E21"/>
    <w:rsid w:val="0001719C"/>
    <w:rsid w:val="00017411"/>
    <w:rsid w:val="00017D3B"/>
    <w:rsid w:val="0002060C"/>
    <w:rsid w:val="000206D5"/>
    <w:rsid w:val="00020C3E"/>
    <w:rsid w:val="00020CC6"/>
    <w:rsid w:val="0002172A"/>
    <w:rsid w:val="00021D6C"/>
    <w:rsid w:val="0002224D"/>
    <w:rsid w:val="0002224E"/>
    <w:rsid w:val="0002229B"/>
    <w:rsid w:val="000222DF"/>
    <w:rsid w:val="000229F7"/>
    <w:rsid w:val="00023468"/>
    <w:rsid w:val="00023B7B"/>
    <w:rsid w:val="000242D7"/>
    <w:rsid w:val="0002443B"/>
    <w:rsid w:val="00024681"/>
    <w:rsid w:val="000246DF"/>
    <w:rsid w:val="00024F5C"/>
    <w:rsid w:val="00025E4A"/>
    <w:rsid w:val="00025F2D"/>
    <w:rsid w:val="000260EB"/>
    <w:rsid w:val="0002661A"/>
    <w:rsid w:val="00026F91"/>
    <w:rsid w:val="000270BE"/>
    <w:rsid w:val="00027F41"/>
    <w:rsid w:val="000301A7"/>
    <w:rsid w:val="000301E8"/>
    <w:rsid w:val="0003043A"/>
    <w:rsid w:val="00031269"/>
    <w:rsid w:val="00031CC2"/>
    <w:rsid w:val="000320C9"/>
    <w:rsid w:val="00032439"/>
    <w:rsid w:val="00032946"/>
    <w:rsid w:val="00033A65"/>
    <w:rsid w:val="00033EF9"/>
    <w:rsid w:val="00033F3C"/>
    <w:rsid w:val="0003411E"/>
    <w:rsid w:val="00034324"/>
    <w:rsid w:val="000345D2"/>
    <w:rsid w:val="00034F62"/>
    <w:rsid w:val="0003548E"/>
    <w:rsid w:val="000361CE"/>
    <w:rsid w:val="00036358"/>
    <w:rsid w:val="000366A5"/>
    <w:rsid w:val="00036E61"/>
    <w:rsid w:val="0003712D"/>
    <w:rsid w:val="000374D8"/>
    <w:rsid w:val="00037A1C"/>
    <w:rsid w:val="00037CCC"/>
    <w:rsid w:val="00037D60"/>
    <w:rsid w:val="0004000E"/>
    <w:rsid w:val="000403CD"/>
    <w:rsid w:val="00040782"/>
    <w:rsid w:val="000409DA"/>
    <w:rsid w:val="00040AD7"/>
    <w:rsid w:val="00040D68"/>
    <w:rsid w:val="00040EE8"/>
    <w:rsid w:val="00040F5C"/>
    <w:rsid w:val="00040F6A"/>
    <w:rsid w:val="00041640"/>
    <w:rsid w:val="00041A60"/>
    <w:rsid w:val="00041CA4"/>
    <w:rsid w:val="00041FC9"/>
    <w:rsid w:val="00042376"/>
    <w:rsid w:val="00042A3E"/>
    <w:rsid w:val="00042C68"/>
    <w:rsid w:val="00043E19"/>
    <w:rsid w:val="00043F7E"/>
    <w:rsid w:val="0004462A"/>
    <w:rsid w:val="00044639"/>
    <w:rsid w:val="000454CA"/>
    <w:rsid w:val="000458E6"/>
    <w:rsid w:val="00045F5A"/>
    <w:rsid w:val="00045FA7"/>
    <w:rsid w:val="000469EF"/>
    <w:rsid w:val="00046F64"/>
    <w:rsid w:val="0004735B"/>
    <w:rsid w:val="0004764C"/>
    <w:rsid w:val="00047667"/>
    <w:rsid w:val="000476A7"/>
    <w:rsid w:val="000478C7"/>
    <w:rsid w:val="00047EA2"/>
    <w:rsid w:val="000500E9"/>
    <w:rsid w:val="0005011A"/>
    <w:rsid w:val="00050196"/>
    <w:rsid w:val="0005045A"/>
    <w:rsid w:val="00050DB6"/>
    <w:rsid w:val="000510EB"/>
    <w:rsid w:val="00051696"/>
    <w:rsid w:val="00051B3B"/>
    <w:rsid w:val="00051BCF"/>
    <w:rsid w:val="00051C1E"/>
    <w:rsid w:val="00051EBE"/>
    <w:rsid w:val="00052715"/>
    <w:rsid w:val="00052E1E"/>
    <w:rsid w:val="000539F9"/>
    <w:rsid w:val="00053BAC"/>
    <w:rsid w:val="00053BAF"/>
    <w:rsid w:val="000542B9"/>
    <w:rsid w:val="00054AEF"/>
    <w:rsid w:val="00054C27"/>
    <w:rsid w:val="00055CFE"/>
    <w:rsid w:val="00055D50"/>
    <w:rsid w:val="00055EB2"/>
    <w:rsid w:val="00055EC3"/>
    <w:rsid w:val="000563CE"/>
    <w:rsid w:val="00056B79"/>
    <w:rsid w:val="0005707A"/>
    <w:rsid w:val="0005707C"/>
    <w:rsid w:val="0005708D"/>
    <w:rsid w:val="000570E4"/>
    <w:rsid w:val="00057119"/>
    <w:rsid w:val="00057C54"/>
    <w:rsid w:val="00057F1C"/>
    <w:rsid w:val="00057F49"/>
    <w:rsid w:val="00057FA4"/>
    <w:rsid w:val="00060315"/>
    <w:rsid w:val="00060551"/>
    <w:rsid w:val="00060686"/>
    <w:rsid w:val="000609CE"/>
    <w:rsid w:val="00060CC9"/>
    <w:rsid w:val="000610F4"/>
    <w:rsid w:val="00061255"/>
    <w:rsid w:val="0006198B"/>
    <w:rsid w:val="00061A3C"/>
    <w:rsid w:val="00061DEE"/>
    <w:rsid w:val="000629D9"/>
    <w:rsid w:val="00062A60"/>
    <w:rsid w:val="00062A94"/>
    <w:rsid w:val="000632B1"/>
    <w:rsid w:val="00063F57"/>
    <w:rsid w:val="00063F94"/>
    <w:rsid w:val="00064057"/>
    <w:rsid w:val="000643CB"/>
    <w:rsid w:val="000646F0"/>
    <w:rsid w:val="00064A98"/>
    <w:rsid w:val="00064C61"/>
    <w:rsid w:val="00064F89"/>
    <w:rsid w:val="000650F2"/>
    <w:rsid w:val="000651E8"/>
    <w:rsid w:val="000654CA"/>
    <w:rsid w:val="000655FE"/>
    <w:rsid w:val="000656BD"/>
    <w:rsid w:val="000659B6"/>
    <w:rsid w:val="00065DA9"/>
    <w:rsid w:val="00065DE2"/>
    <w:rsid w:val="000661FE"/>
    <w:rsid w:val="0006686F"/>
    <w:rsid w:val="00066AA0"/>
    <w:rsid w:val="00066DD0"/>
    <w:rsid w:val="0006722A"/>
    <w:rsid w:val="00067332"/>
    <w:rsid w:val="000673C8"/>
    <w:rsid w:val="00067AE6"/>
    <w:rsid w:val="00067CE0"/>
    <w:rsid w:val="00070934"/>
    <w:rsid w:val="00070ABF"/>
    <w:rsid w:val="00071368"/>
    <w:rsid w:val="00071FEB"/>
    <w:rsid w:val="000724A6"/>
    <w:rsid w:val="00072815"/>
    <w:rsid w:val="000729C4"/>
    <w:rsid w:val="00072C10"/>
    <w:rsid w:val="00072D47"/>
    <w:rsid w:val="000732CF"/>
    <w:rsid w:val="00073827"/>
    <w:rsid w:val="00074165"/>
    <w:rsid w:val="00074B4A"/>
    <w:rsid w:val="00074CE7"/>
    <w:rsid w:val="000752EF"/>
    <w:rsid w:val="000755F7"/>
    <w:rsid w:val="0007580F"/>
    <w:rsid w:val="00075B96"/>
    <w:rsid w:val="0007620C"/>
    <w:rsid w:val="000769AB"/>
    <w:rsid w:val="00076A6C"/>
    <w:rsid w:val="000774DC"/>
    <w:rsid w:val="00077B95"/>
    <w:rsid w:val="00077EE8"/>
    <w:rsid w:val="0008031D"/>
    <w:rsid w:val="00080B2A"/>
    <w:rsid w:val="00080B90"/>
    <w:rsid w:val="00080DA2"/>
    <w:rsid w:val="00080E40"/>
    <w:rsid w:val="000810FF"/>
    <w:rsid w:val="000818BF"/>
    <w:rsid w:val="0008196A"/>
    <w:rsid w:val="00081979"/>
    <w:rsid w:val="00082070"/>
    <w:rsid w:val="00082247"/>
    <w:rsid w:val="00082995"/>
    <w:rsid w:val="00082A09"/>
    <w:rsid w:val="00082B03"/>
    <w:rsid w:val="000834A6"/>
    <w:rsid w:val="000836B5"/>
    <w:rsid w:val="00083D0E"/>
    <w:rsid w:val="00084498"/>
    <w:rsid w:val="0008463B"/>
    <w:rsid w:val="00084C98"/>
    <w:rsid w:val="00084E0E"/>
    <w:rsid w:val="00085711"/>
    <w:rsid w:val="00085DC0"/>
    <w:rsid w:val="00085F83"/>
    <w:rsid w:val="00086467"/>
    <w:rsid w:val="00086611"/>
    <w:rsid w:val="00086D27"/>
    <w:rsid w:val="000901C6"/>
    <w:rsid w:val="00090794"/>
    <w:rsid w:val="000908EE"/>
    <w:rsid w:val="000915ED"/>
    <w:rsid w:val="0009177C"/>
    <w:rsid w:val="00091E8B"/>
    <w:rsid w:val="0009209D"/>
    <w:rsid w:val="0009247A"/>
    <w:rsid w:val="0009281A"/>
    <w:rsid w:val="00092847"/>
    <w:rsid w:val="00092D6A"/>
    <w:rsid w:val="000934C7"/>
    <w:rsid w:val="000936D7"/>
    <w:rsid w:val="0009395C"/>
    <w:rsid w:val="00093E88"/>
    <w:rsid w:val="000942DA"/>
    <w:rsid w:val="000946DD"/>
    <w:rsid w:val="0009498C"/>
    <w:rsid w:val="00095194"/>
    <w:rsid w:val="00095457"/>
    <w:rsid w:val="00095482"/>
    <w:rsid w:val="0009633A"/>
    <w:rsid w:val="000963FF"/>
    <w:rsid w:val="000969BD"/>
    <w:rsid w:val="000969BF"/>
    <w:rsid w:val="000973CA"/>
    <w:rsid w:val="00097539"/>
    <w:rsid w:val="0009761F"/>
    <w:rsid w:val="000977F0"/>
    <w:rsid w:val="0009789D"/>
    <w:rsid w:val="000A04B1"/>
    <w:rsid w:val="000A0BEB"/>
    <w:rsid w:val="000A0C22"/>
    <w:rsid w:val="000A1113"/>
    <w:rsid w:val="000A1400"/>
    <w:rsid w:val="000A27F5"/>
    <w:rsid w:val="000A2A58"/>
    <w:rsid w:val="000A2BE0"/>
    <w:rsid w:val="000A2E74"/>
    <w:rsid w:val="000A2E85"/>
    <w:rsid w:val="000A30D4"/>
    <w:rsid w:val="000A34CE"/>
    <w:rsid w:val="000A38F5"/>
    <w:rsid w:val="000A3C43"/>
    <w:rsid w:val="000A4138"/>
    <w:rsid w:val="000A4A51"/>
    <w:rsid w:val="000A4B84"/>
    <w:rsid w:val="000A4CA2"/>
    <w:rsid w:val="000A4F28"/>
    <w:rsid w:val="000A52AC"/>
    <w:rsid w:val="000A52BA"/>
    <w:rsid w:val="000A5336"/>
    <w:rsid w:val="000A5A3C"/>
    <w:rsid w:val="000A5B13"/>
    <w:rsid w:val="000A5B2C"/>
    <w:rsid w:val="000A5D2B"/>
    <w:rsid w:val="000A5DD6"/>
    <w:rsid w:val="000A641D"/>
    <w:rsid w:val="000A66DA"/>
    <w:rsid w:val="000A6CA9"/>
    <w:rsid w:val="000A6F02"/>
    <w:rsid w:val="000A7916"/>
    <w:rsid w:val="000A7C27"/>
    <w:rsid w:val="000B0939"/>
    <w:rsid w:val="000B09DA"/>
    <w:rsid w:val="000B0F65"/>
    <w:rsid w:val="000B121E"/>
    <w:rsid w:val="000B195C"/>
    <w:rsid w:val="000B286C"/>
    <w:rsid w:val="000B2E24"/>
    <w:rsid w:val="000B3167"/>
    <w:rsid w:val="000B35E5"/>
    <w:rsid w:val="000B35F0"/>
    <w:rsid w:val="000B36B8"/>
    <w:rsid w:val="000B392C"/>
    <w:rsid w:val="000B3A6E"/>
    <w:rsid w:val="000B3AE7"/>
    <w:rsid w:val="000B4149"/>
    <w:rsid w:val="000B490E"/>
    <w:rsid w:val="000B4A3B"/>
    <w:rsid w:val="000B4D0B"/>
    <w:rsid w:val="000B53C9"/>
    <w:rsid w:val="000B56A7"/>
    <w:rsid w:val="000B5DE3"/>
    <w:rsid w:val="000B6534"/>
    <w:rsid w:val="000B6880"/>
    <w:rsid w:val="000B6C9B"/>
    <w:rsid w:val="000B7554"/>
    <w:rsid w:val="000B7781"/>
    <w:rsid w:val="000B7B73"/>
    <w:rsid w:val="000C080F"/>
    <w:rsid w:val="000C0A57"/>
    <w:rsid w:val="000C0BD4"/>
    <w:rsid w:val="000C0CA1"/>
    <w:rsid w:val="000C0D3C"/>
    <w:rsid w:val="000C10CF"/>
    <w:rsid w:val="000C1A29"/>
    <w:rsid w:val="000C230C"/>
    <w:rsid w:val="000C23F6"/>
    <w:rsid w:val="000C24A6"/>
    <w:rsid w:val="000C2A2F"/>
    <w:rsid w:val="000C2F4B"/>
    <w:rsid w:val="000C3113"/>
    <w:rsid w:val="000C353A"/>
    <w:rsid w:val="000C3771"/>
    <w:rsid w:val="000C3803"/>
    <w:rsid w:val="000C39C1"/>
    <w:rsid w:val="000C4B19"/>
    <w:rsid w:val="000C4D88"/>
    <w:rsid w:val="000C4ED6"/>
    <w:rsid w:val="000C5674"/>
    <w:rsid w:val="000C56AF"/>
    <w:rsid w:val="000C5D75"/>
    <w:rsid w:val="000C5F00"/>
    <w:rsid w:val="000C600D"/>
    <w:rsid w:val="000C6AB4"/>
    <w:rsid w:val="000C6B74"/>
    <w:rsid w:val="000C6CCF"/>
    <w:rsid w:val="000C6CE5"/>
    <w:rsid w:val="000C6DAD"/>
    <w:rsid w:val="000C70F6"/>
    <w:rsid w:val="000C7185"/>
    <w:rsid w:val="000C76E0"/>
    <w:rsid w:val="000C7EBD"/>
    <w:rsid w:val="000D00D0"/>
    <w:rsid w:val="000D016D"/>
    <w:rsid w:val="000D0B29"/>
    <w:rsid w:val="000D1444"/>
    <w:rsid w:val="000D16D6"/>
    <w:rsid w:val="000D183B"/>
    <w:rsid w:val="000D27B0"/>
    <w:rsid w:val="000D292F"/>
    <w:rsid w:val="000D2F88"/>
    <w:rsid w:val="000D3200"/>
    <w:rsid w:val="000D38C1"/>
    <w:rsid w:val="000D396A"/>
    <w:rsid w:val="000D39EB"/>
    <w:rsid w:val="000D4773"/>
    <w:rsid w:val="000D4A26"/>
    <w:rsid w:val="000D4EE2"/>
    <w:rsid w:val="000D4F5C"/>
    <w:rsid w:val="000D5AAB"/>
    <w:rsid w:val="000D61D5"/>
    <w:rsid w:val="000D6211"/>
    <w:rsid w:val="000D68E0"/>
    <w:rsid w:val="000D6B90"/>
    <w:rsid w:val="000D6CC7"/>
    <w:rsid w:val="000D7086"/>
    <w:rsid w:val="000D71D9"/>
    <w:rsid w:val="000D7266"/>
    <w:rsid w:val="000D7466"/>
    <w:rsid w:val="000D76E0"/>
    <w:rsid w:val="000D7969"/>
    <w:rsid w:val="000D7E8B"/>
    <w:rsid w:val="000D7F96"/>
    <w:rsid w:val="000E050A"/>
    <w:rsid w:val="000E0A8D"/>
    <w:rsid w:val="000E123C"/>
    <w:rsid w:val="000E1325"/>
    <w:rsid w:val="000E14B3"/>
    <w:rsid w:val="000E1D41"/>
    <w:rsid w:val="000E2009"/>
    <w:rsid w:val="000E2019"/>
    <w:rsid w:val="000E25E6"/>
    <w:rsid w:val="000E352E"/>
    <w:rsid w:val="000E3A0F"/>
    <w:rsid w:val="000E3CCA"/>
    <w:rsid w:val="000E3CE7"/>
    <w:rsid w:val="000E4449"/>
    <w:rsid w:val="000E454E"/>
    <w:rsid w:val="000E5141"/>
    <w:rsid w:val="000E522F"/>
    <w:rsid w:val="000E53B8"/>
    <w:rsid w:val="000E53C6"/>
    <w:rsid w:val="000E55BB"/>
    <w:rsid w:val="000E575E"/>
    <w:rsid w:val="000E57E5"/>
    <w:rsid w:val="000E5C5B"/>
    <w:rsid w:val="000E5CA5"/>
    <w:rsid w:val="000E5DBC"/>
    <w:rsid w:val="000E5DDE"/>
    <w:rsid w:val="000E6097"/>
    <w:rsid w:val="000E6BD6"/>
    <w:rsid w:val="000E6CF1"/>
    <w:rsid w:val="000E7525"/>
    <w:rsid w:val="000E7BB8"/>
    <w:rsid w:val="000E7F56"/>
    <w:rsid w:val="000F0837"/>
    <w:rsid w:val="000F0A4C"/>
    <w:rsid w:val="000F0CCD"/>
    <w:rsid w:val="000F12F1"/>
    <w:rsid w:val="000F15C3"/>
    <w:rsid w:val="000F1900"/>
    <w:rsid w:val="000F1BD7"/>
    <w:rsid w:val="000F25D8"/>
    <w:rsid w:val="000F3336"/>
    <w:rsid w:val="000F3357"/>
    <w:rsid w:val="000F38B6"/>
    <w:rsid w:val="000F39D4"/>
    <w:rsid w:val="000F3E26"/>
    <w:rsid w:val="000F403A"/>
    <w:rsid w:val="000F41F5"/>
    <w:rsid w:val="000F46E5"/>
    <w:rsid w:val="000F47BB"/>
    <w:rsid w:val="000F4877"/>
    <w:rsid w:val="000F48E2"/>
    <w:rsid w:val="000F4B2A"/>
    <w:rsid w:val="000F4B2C"/>
    <w:rsid w:val="000F4F50"/>
    <w:rsid w:val="000F51E4"/>
    <w:rsid w:val="000F52C2"/>
    <w:rsid w:val="000F54A6"/>
    <w:rsid w:val="000F5B9F"/>
    <w:rsid w:val="000F5D4D"/>
    <w:rsid w:val="000F5DB3"/>
    <w:rsid w:val="000F6611"/>
    <w:rsid w:val="000F6619"/>
    <w:rsid w:val="000F6CAC"/>
    <w:rsid w:val="000F6E21"/>
    <w:rsid w:val="000F7D31"/>
    <w:rsid w:val="000F7DE0"/>
    <w:rsid w:val="00101103"/>
    <w:rsid w:val="001011D4"/>
    <w:rsid w:val="0010123C"/>
    <w:rsid w:val="001014C5"/>
    <w:rsid w:val="0010179A"/>
    <w:rsid w:val="001017C7"/>
    <w:rsid w:val="0010188F"/>
    <w:rsid w:val="001019D0"/>
    <w:rsid w:val="00101C69"/>
    <w:rsid w:val="00102592"/>
    <w:rsid w:val="0010283C"/>
    <w:rsid w:val="00102A84"/>
    <w:rsid w:val="00102B3D"/>
    <w:rsid w:val="00103829"/>
    <w:rsid w:val="00104A88"/>
    <w:rsid w:val="00104B93"/>
    <w:rsid w:val="0010610D"/>
    <w:rsid w:val="001062C2"/>
    <w:rsid w:val="00107190"/>
    <w:rsid w:val="0010768C"/>
    <w:rsid w:val="0010781B"/>
    <w:rsid w:val="00107C5A"/>
    <w:rsid w:val="00107CDC"/>
    <w:rsid w:val="00110097"/>
    <w:rsid w:val="00110428"/>
    <w:rsid w:val="0011071A"/>
    <w:rsid w:val="00110722"/>
    <w:rsid w:val="00110E5C"/>
    <w:rsid w:val="00110EDA"/>
    <w:rsid w:val="00111052"/>
    <w:rsid w:val="001110F9"/>
    <w:rsid w:val="00111428"/>
    <w:rsid w:val="001116B1"/>
    <w:rsid w:val="001118FC"/>
    <w:rsid w:val="00111C5E"/>
    <w:rsid w:val="00111FCE"/>
    <w:rsid w:val="00112234"/>
    <w:rsid w:val="00112875"/>
    <w:rsid w:val="00112888"/>
    <w:rsid w:val="00112936"/>
    <w:rsid w:val="00112AED"/>
    <w:rsid w:val="00113435"/>
    <w:rsid w:val="00113806"/>
    <w:rsid w:val="00113F70"/>
    <w:rsid w:val="00114864"/>
    <w:rsid w:val="00114905"/>
    <w:rsid w:val="00114CE4"/>
    <w:rsid w:val="00114D15"/>
    <w:rsid w:val="00115791"/>
    <w:rsid w:val="00115A68"/>
    <w:rsid w:val="00115B07"/>
    <w:rsid w:val="00115B0E"/>
    <w:rsid w:val="00115D43"/>
    <w:rsid w:val="001161D8"/>
    <w:rsid w:val="001164EA"/>
    <w:rsid w:val="0011666A"/>
    <w:rsid w:val="0011739B"/>
    <w:rsid w:val="001178EE"/>
    <w:rsid w:val="00117D3F"/>
    <w:rsid w:val="001206D7"/>
    <w:rsid w:val="0012081C"/>
    <w:rsid w:val="001209FC"/>
    <w:rsid w:val="00120A77"/>
    <w:rsid w:val="001215A2"/>
    <w:rsid w:val="0012165E"/>
    <w:rsid w:val="00121983"/>
    <w:rsid w:val="00121A03"/>
    <w:rsid w:val="00121A9B"/>
    <w:rsid w:val="00121F70"/>
    <w:rsid w:val="0012201B"/>
    <w:rsid w:val="00122240"/>
    <w:rsid w:val="001229A5"/>
    <w:rsid w:val="001230DA"/>
    <w:rsid w:val="001231D3"/>
    <w:rsid w:val="00123505"/>
    <w:rsid w:val="0012357B"/>
    <w:rsid w:val="0012381C"/>
    <w:rsid w:val="00123A51"/>
    <w:rsid w:val="00123AE2"/>
    <w:rsid w:val="00123BA8"/>
    <w:rsid w:val="00123BF1"/>
    <w:rsid w:val="00123C05"/>
    <w:rsid w:val="00124080"/>
    <w:rsid w:val="0012409C"/>
    <w:rsid w:val="0012414E"/>
    <w:rsid w:val="00124167"/>
    <w:rsid w:val="001246F8"/>
    <w:rsid w:val="0012489B"/>
    <w:rsid w:val="0012548D"/>
    <w:rsid w:val="00125FC9"/>
    <w:rsid w:val="00126264"/>
    <w:rsid w:val="00126BB5"/>
    <w:rsid w:val="00126CB6"/>
    <w:rsid w:val="00126E4C"/>
    <w:rsid w:val="0012749A"/>
    <w:rsid w:val="001278FC"/>
    <w:rsid w:val="00127B59"/>
    <w:rsid w:val="00130017"/>
    <w:rsid w:val="001308D1"/>
    <w:rsid w:val="00130AFC"/>
    <w:rsid w:val="00130F91"/>
    <w:rsid w:val="00131002"/>
    <w:rsid w:val="0013101D"/>
    <w:rsid w:val="00131041"/>
    <w:rsid w:val="00131661"/>
    <w:rsid w:val="0013210C"/>
    <w:rsid w:val="00132B09"/>
    <w:rsid w:val="00132BC6"/>
    <w:rsid w:val="00133204"/>
    <w:rsid w:val="00133FB3"/>
    <w:rsid w:val="0013440A"/>
    <w:rsid w:val="001349ED"/>
    <w:rsid w:val="00134FFB"/>
    <w:rsid w:val="001352AC"/>
    <w:rsid w:val="00135353"/>
    <w:rsid w:val="001355CA"/>
    <w:rsid w:val="001357EF"/>
    <w:rsid w:val="0013592F"/>
    <w:rsid w:val="00135D39"/>
    <w:rsid w:val="0013606C"/>
    <w:rsid w:val="00136E32"/>
    <w:rsid w:val="00137279"/>
    <w:rsid w:val="00137424"/>
    <w:rsid w:val="001376E5"/>
    <w:rsid w:val="001400D4"/>
    <w:rsid w:val="00140318"/>
    <w:rsid w:val="00140589"/>
    <w:rsid w:val="001407B1"/>
    <w:rsid w:val="0014181C"/>
    <w:rsid w:val="001418A5"/>
    <w:rsid w:val="00141AD9"/>
    <w:rsid w:val="001426F8"/>
    <w:rsid w:val="00142708"/>
    <w:rsid w:val="00142A89"/>
    <w:rsid w:val="00142C48"/>
    <w:rsid w:val="001438A9"/>
    <w:rsid w:val="00143993"/>
    <w:rsid w:val="00144072"/>
    <w:rsid w:val="00144235"/>
    <w:rsid w:val="001443A5"/>
    <w:rsid w:val="00144811"/>
    <w:rsid w:val="00144B13"/>
    <w:rsid w:val="00144EF8"/>
    <w:rsid w:val="00145096"/>
    <w:rsid w:val="00145942"/>
    <w:rsid w:val="0014623C"/>
    <w:rsid w:val="0014662D"/>
    <w:rsid w:val="00146B1A"/>
    <w:rsid w:val="00146CE6"/>
    <w:rsid w:val="00146FB5"/>
    <w:rsid w:val="001470A3"/>
    <w:rsid w:val="0014735E"/>
    <w:rsid w:val="001473C7"/>
    <w:rsid w:val="001477F2"/>
    <w:rsid w:val="00147B0D"/>
    <w:rsid w:val="00147F0C"/>
    <w:rsid w:val="001501F4"/>
    <w:rsid w:val="00150635"/>
    <w:rsid w:val="00150E32"/>
    <w:rsid w:val="00150EB2"/>
    <w:rsid w:val="001511DE"/>
    <w:rsid w:val="00151518"/>
    <w:rsid w:val="00151DC8"/>
    <w:rsid w:val="00151E83"/>
    <w:rsid w:val="00151E99"/>
    <w:rsid w:val="001525AB"/>
    <w:rsid w:val="00152903"/>
    <w:rsid w:val="00153344"/>
    <w:rsid w:val="001537F1"/>
    <w:rsid w:val="00153945"/>
    <w:rsid w:val="00153E80"/>
    <w:rsid w:val="00153FD5"/>
    <w:rsid w:val="001540D8"/>
    <w:rsid w:val="001543E4"/>
    <w:rsid w:val="00154804"/>
    <w:rsid w:val="0015481B"/>
    <w:rsid w:val="00154EB9"/>
    <w:rsid w:val="001556CE"/>
    <w:rsid w:val="00155D31"/>
    <w:rsid w:val="00155FA4"/>
    <w:rsid w:val="0015614F"/>
    <w:rsid w:val="001567F7"/>
    <w:rsid w:val="00156A44"/>
    <w:rsid w:val="00156F2F"/>
    <w:rsid w:val="0015716C"/>
    <w:rsid w:val="001573B8"/>
    <w:rsid w:val="00157553"/>
    <w:rsid w:val="001577C2"/>
    <w:rsid w:val="001577D8"/>
    <w:rsid w:val="00157F7F"/>
    <w:rsid w:val="001605F3"/>
    <w:rsid w:val="001608C5"/>
    <w:rsid w:val="00160A4C"/>
    <w:rsid w:val="00160A93"/>
    <w:rsid w:val="00161584"/>
    <w:rsid w:val="001616BA"/>
    <w:rsid w:val="00161941"/>
    <w:rsid w:val="00162093"/>
    <w:rsid w:val="001623B2"/>
    <w:rsid w:val="001633C4"/>
    <w:rsid w:val="0016342C"/>
    <w:rsid w:val="00163513"/>
    <w:rsid w:val="001636C7"/>
    <w:rsid w:val="001639FB"/>
    <w:rsid w:val="00163EA5"/>
    <w:rsid w:val="001640BD"/>
    <w:rsid w:val="00164C38"/>
    <w:rsid w:val="00165015"/>
    <w:rsid w:val="00165F48"/>
    <w:rsid w:val="001664C4"/>
    <w:rsid w:val="00166575"/>
    <w:rsid w:val="00166FA5"/>
    <w:rsid w:val="00167289"/>
    <w:rsid w:val="001700A7"/>
    <w:rsid w:val="00170871"/>
    <w:rsid w:val="00171473"/>
    <w:rsid w:val="00171591"/>
    <w:rsid w:val="00171986"/>
    <w:rsid w:val="00171C01"/>
    <w:rsid w:val="00171C4F"/>
    <w:rsid w:val="00172279"/>
    <w:rsid w:val="001724E2"/>
    <w:rsid w:val="00172695"/>
    <w:rsid w:val="0017298B"/>
    <w:rsid w:val="00172B26"/>
    <w:rsid w:val="00172B54"/>
    <w:rsid w:val="00172EB0"/>
    <w:rsid w:val="00173888"/>
    <w:rsid w:val="00173981"/>
    <w:rsid w:val="00173EC1"/>
    <w:rsid w:val="00173F24"/>
    <w:rsid w:val="001757D9"/>
    <w:rsid w:val="00176275"/>
    <w:rsid w:val="00176C26"/>
    <w:rsid w:val="00176E22"/>
    <w:rsid w:val="0017719D"/>
    <w:rsid w:val="00177A40"/>
    <w:rsid w:val="00177FC0"/>
    <w:rsid w:val="00180017"/>
    <w:rsid w:val="001801F4"/>
    <w:rsid w:val="0018044B"/>
    <w:rsid w:val="001809E0"/>
    <w:rsid w:val="00180CBE"/>
    <w:rsid w:val="00180CD4"/>
    <w:rsid w:val="00181690"/>
    <w:rsid w:val="001818EC"/>
    <w:rsid w:val="00181C9E"/>
    <w:rsid w:val="00181D78"/>
    <w:rsid w:val="0018271D"/>
    <w:rsid w:val="0018396F"/>
    <w:rsid w:val="00183E47"/>
    <w:rsid w:val="00183EDF"/>
    <w:rsid w:val="00183FD7"/>
    <w:rsid w:val="00185173"/>
    <w:rsid w:val="00185CAB"/>
    <w:rsid w:val="00185D43"/>
    <w:rsid w:val="00186911"/>
    <w:rsid w:val="00186F06"/>
    <w:rsid w:val="001871AB"/>
    <w:rsid w:val="001875B7"/>
    <w:rsid w:val="001878E8"/>
    <w:rsid w:val="00187AA5"/>
    <w:rsid w:val="00187CB3"/>
    <w:rsid w:val="00187F5C"/>
    <w:rsid w:val="00190008"/>
    <w:rsid w:val="00190041"/>
    <w:rsid w:val="00190408"/>
    <w:rsid w:val="0019050A"/>
    <w:rsid w:val="00190C3F"/>
    <w:rsid w:val="00191034"/>
    <w:rsid w:val="00191085"/>
    <w:rsid w:val="001910D4"/>
    <w:rsid w:val="00191164"/>
    <w:rsid w:val="00191A25"/>
    <w:rsid w:val="00192392"/>
    <w:rsid w:val="0019258A"/>
    <w:rsid w:val="001936FE"/>
    <w:rsid w:val="00193828"/>
    <w:rsid w:val="00193A70"/>
    <w:rsid w:val="00193CCF"/>
    <w:rsid w:val="0019432F"/>
    <w:rsid w:val="0019484B"/>
    <w:rsid w:val="001948DF"/>
    <w:rsid w:val="001949D3"/>
    <w:rsid w:val="00195041"/>
    <w:rsid w:val="00195AB7"/>
    <w:rsid w:val="00195C0E"/>
    <w:rsid w:val="001962B2"/>
    <w:rsid w:val="00196553"/>
    <w:rsid w:val="00196768"/>
    <w:rsid w:val="001971EA"/>
    <w:rsid w:val="00197216"/>
    <w:rsid w:val="001976E3"/>
    <w:rsid w:val="00197E92"/>
    <w:rsid w:val="001A0068"/>
    <w:rsid w:val="001A05F1"/>
    <w:rsid w:val="001A0B63"/>
    <w:rsid w:val="001A1552"/>
    <w:rsid w:val="001A1C72"/>
    <w:rsid w:val="001A1CCF"/>
    <w:rsid w:val="001A2292"/>
    <w:rsid w:val="001A25C7"/>
    <w:rsid w:val="001A2904"/>
    <w:rsid w:val="001A2A2F"/>
    <w:rsid w:val="001A30F0"/>
    <w:rsid w:val="001A3F7F"/>
    <w:rsid w:val="001A42E7"/>
    <w:rsid w:val="001A44EA"/>
    <w:rsid w:val="001A44EC"/>
    <w:rsid w:val="001A469C"/>
    <w:rsid w:val="001A47A1"/>
    <w:rsid w:val="001A47A9"/>
    <w:rsid w:val="001A4D89"/>
    <w:rsid w:val="001A4FC2"/>
    <w:rsid w:val="001A5088"/>
    <w:rsid w:val="001A52A3"/>
    <w:rsid w:val="001A543F"/>
    <w:rsid w:val="001A5B1D"/>
    <w:rsid w:val="001A6A34"/>
    <w:rsid w:val="001A6E38"/>
    <w:rsid w:val="001A75B2"/>
    <w:rsid w:val="001A76DB"/>
    <w:rsid w:val="001A7901"/>
    <w:rsid w:val="001A7D52"/>
    <w:rsid w:val="001B0687"/>
    <w:rsid w:val="001B09F8"/>
    <w:rsid w:val="001B0F77"/>
    <w:rsid w:val="001B1A0B"/>
    <w:rsid w:val="001B1B7A"/>
    <w:rsid w:val="001B1CA4"/>
    <w:rsid w:val="001B2DB3"/>
    <w:rsid w:val="001B310F"/>
    <w:rsid w:val="001B378A"/>
    <w:rsid w:val="001B3FA1"/>
    <w:rsid w:val="001B3FE4"/>
    <w:rsid w:val="001B420E"/>
    <w:rsid w:val="001B450C"/>
    <w:rsid w:val="001B473D"/>
    <w:rsid w:val="001B4850"/>
    <w:rsid w:val="001B4CF7"/>
    <w:rsid w:val="001B501C"/>
    <w:rsid w:val="001B50D7"/>
    <w:rsid w:val="001B58AA"/>
    <w:rsid w:val="001B5A63"/>
    <w:rsid w:val="001B5B22"/>
    <w:rsid w:val="001B6223"/>
    <w:rsid w:val="001B64BF"/>
    <w:rsid w:val="001B6590"/>
    <w:rsid w:val="001B6712"/>
    <w:rsid w:val="001B696E"/>
    <w:rsid w:val="001B75F1"/>
    <w:rsid w:val="001B7611"/>
    <w:rsid w:val="001B76B6"/>
    <w:rsid w:val="001B76CC"/>
    <w:rsid w:val="001B7AEF"/>
    <w:rsid w:val="001B7E48"/>
    <w:rsid w:val="001C0300"/>
    <w:rsid w:val="001C0CBB"/>
    <w:rsid w:val="001C0D0E"/>
    <w:rsid w:val="001C0E03"/>
    <w:rsid w:val="001C0F1C"/>
    <w:rsid w:val="001C17CE"/>
    <w:rsid w:val="001C18FF"/>
    <w:rsid w:val="001C2180"/>
    <w:rsid w:val="001C221D"/>
    <w:rsid w:val="001C23FF"/>
    <w:rsid w:val="001C36CA"/>
    <w:rsid w:val="001C37A8"/>
    <w:rsid w:val="001C37D8"/>
    <w:rsid w:val="001C4163"/>
    <w:rsid w:val="001C4306"/>
    <w:rsid w:val="001C44D1"/>
    <w:rsid w:val="001C4B76"/>
    <w:rsid w:val="001C4C83"/>
    <w:rsid w:val="001C4DDC"/>
    <w:rsid w:val="001C4FFD"/>
    <w:rsid w:val="001C517F"/>
    <w:rsid w:val="001C5E46"/>
    <w:rsid w:val="001C6117"/>
    <w:rsid w:val="001C6582"/>
    <w:rsid w:val="001C6AEE"/>
    <w:rsid w:val="001C7338"/>
    <w:rsid w:val="001C7630"/>
    <w:rsid w:val="001C777D"/>
    <w:rsid w:val="001C7BF2"/>
    <w:rsid w:val="001C7D99"/>
    <w:rsid w:val="001D02A7"/>
    <w:rsid w:val="001D09EB"/>
    <w:rsid w:val="001D0A2E"/>
    <w:rsid w:val="001D0CFD"/>
    <w:rsid w:val="001D19BE"/>
    <w:rsid w:val="001D1F26"/>
    <w:rsid w:val="001D20A4"/>
    <w:rsid w:val="001D2969"/>
    <w:rsid w:val="001D2B02"/>
    <w:rsid w:val="001D2BC9"/>
    <w:rsid w:val="001D3119"/>
    <w:rsid w:val="001D349B"/>
    <w:rsid w:val="001D376C"/>
    <w:rsid w:val="001D3B96"/>
    <w:rsid w:val="001D3E52"/>
    <w:rsid w:val="001D3F8B"/>
    <w:rsid w:val="001D3FAD"/>
    <w:rsid w:val="001D4358"/>
    <w:rsid w:val="001D4362"/>
    <w:rsid w:val="001D4CF9"/>
    <w:rsid w:val="001D52B8"/>
    <w:rsid w:val="001D53BE"/>
    <w:rsid w:val="001D5AFF"/>
    <w:rsid w:val="001D5FA8"/>
    <w:rsid w:val="001D61B4"/>
    <w:rsid w:val="001D61D7"/>
    <w:rsid w:val="001D6D15"/>
    <w:rsid w:val="001D6F6E"/>
    <w:rsid w:val="001D72BA"/>
    <w:rsid w:val="001D766D"/>
    <w:rsid w:val="001D76E6"/>
    <w:rsid w:val="001E0016"/>
    <w:rsid w:val="001E0DF4"/>
    <w:rsid w:val="001E1B65"/>
    <w:rsid w:val="001E2468"/>
    <w:rsid w:val="001E2C33"/>
    <w:rsid w:val="001E3005"/>
    <w:rsid w:val="001E3228"/>
    <w:rsid w:val="001E333A"/>
    <w:rsid w:val="001E3372"/>
    <w:rsid w:val="001E3956"/>
    <w:rsid w:val="001E3A8F"/>
    <w:rsid w:val="001E3A98"/>
    <w:rsid w:val="001E3C7A"/>
    <w:rsid w:val="001E41D5"/>
    <w:rsid w:val="001E44D2"/>
    <w:rsid w:val="001E4C2C"/>
    <w:rsid w:val="001E5274"/>
    <w:rsid w:val="001E530C"/>
    <w:rsid w:val="001E5449"/>
    <w:rsid w:val="001E5885"/>
    <w:rsid w:val="001E59D9"/>
    <w:rsid w:val="001E5AB1"/>
    <w:rsid w:val="001E5C04"/>
    <w:rsid w:val="001E6669"/>
    <w:rsid w:val="001E67A0"/>
    <w:rsid w:val="001E6AF5"/>
    <w:rsid w:val="001E6D41"/>
    <w:rsid w:val="001E6FEA"/>
    <w:rsid w:val="001E70D8"/>
    <w:rsid w:val="001E7166"/>
    <w:rsid w:val="001E7B95"/>
    <w:rsid w:val="001E7C05"/>
    <w:rsid w:val="001F0040"/>
    <w:rsid w:val="001F03F1"/>
    <w:rsid w:val="001F0531"/>
    <w:rsid w:val="001F181A"/>
    <w:rsid w:val="001F20F5"/>
    <w:rsid w:val="001F2399"/>
    <w:rsid w:val="001F25DE"/>
    <w:rsid w:val="001F2792"/>
    <w:rsid w:val="001F2D19"/>
    <w:rsid w:val="001F2ECD"/>
    <w:rsid w:val="001F307F"/>
    <w:rsid w:val="001F3495"/>
    <w:rsid w:val="001F3CAC"/>
    <w:rsid w:val="001F4382"/>
    <w:rsid w:val="001F4473"/>
    <w:rsid w:val="001F4791"/>
    <w:rsid w:val="001F51FF"/>
    <w:rsid w:val="001F53C6"/>
    <w:rsid w:val="001F55C9"/>
    <w:rsid w:val="001F565B"/>
    <w:rsid w:val="001F5787"/>
    <w:rsid w:val="001F5E1C"/>
    <w:rsid w:val="001F5EA0"/>
    <w:rsid w:val="001F63F9"/>
    <w:rsid w:val="001F6A12"/>
    <w:rsid w:val="001F7558"/>
    <w:rsid w:val="001F7577"/>
    <w:rsid w:val="001F75A5"/>
    <w:rsid w:val="001F76E6"/>
    <w:rsid w:val="00200105"/>
    <w:rsid w:val="0020014B"/>
    <w:rsid w:val="002001E9"/>
    <w:rsid w:val="0020051E"/>
    <w:rsid w:val="002008E9"/>
    <w:rsid w:val="00200924"/>
    <w:rsid w:val="00200AE7"/>
    <w:rsid w:val="00200CFE"/>
    <w:rsid w:val="002013BD"/>
    <w:rsid w:val="00201AF1"/>
    <w:rsid w:val="00201DB8"/>
    <w:rsid w:val="00201DE5"/>
    <w:rsid w:val="00201FB7"/>
    <w:rsid w:val="002024CD"/>
    <w:rsid w:val="002025FC"/>
    <w:rsid w:val="002026BE"/>
    <w:rsid w:val="002026C0"/>
    <w:rsid w:val="00202F16"/>
    <w:rsid w:val="002038D0"/>
    <w:rsid w:val="00203F63"/>
    <w:rsid w:val="0020408F"/>
    <w:rsid w:val="002041BD"/>
    <w:rsid w:val="0020445B"/>
    <w:rsid w:val="0020488C"/>
    <w:rsid w:val="0020501E"/>
    <w:rsid w:val="00205514"/>
    <w:rsid w:val="00205768"/>
    <w:rsid w:val="00205997"/>
    <w:rsid w:val="00205B57"/>
    <w:rsid w:val="00205E5A"/>
    <w:rsid w:val="00205F0B"/>
    <w:rsid w:val="00205F9D"/>
    <w:rsid w:val="002064DB"/>
    <w:rsid w:val="00206A1E"/>
    <w:rsid w:val="00206EC6"/>
    <w:rsid w:val="00207199"/>
    <w:rsid w:val="0020740B"/>
    <w:rsid w:val="0020762C"/>
    <w:rsid w:val="00207B11"/>
    <w:rsid w:val="002104A1"/>
    <w:rsid w:val="00210857"/>
    <w:rsid w:val="00210EE0"/>
    <w:rsid w:val="00211031"/>
    <w:rsid w:val="00211AFF"/>
    <w:rsid w:val="0021241B"/>
    <w:rsid w:val="002127EF"/>
    <w:rsid w:val="0021280A"/>
    <w:rsid w:val="00212DF8"/>
    <w:rsid w:val="00213104"/>
    <w:rsid w:val="002133A1"/>
    <w:rsid w:val="00213C1A"/>
    <w:rsid w:val="0021404A"/>
    <w:rsid w:val="00214171"/>
    <w:rsid w:val="00214700"/>
    <w:rsid w:val="00214A2B"/>
    <w:rsid w:val="00214D93"/>
    <w:rsid w:val="00214E77"/>
    <w:rsid w:val="00215006"/>
    <w:rsid w:val="002152E1"/>
    <w:rsid w:val="002157E0"/>
    <w:rsid w:val="00215AD1"/>
    <w:rsid w:val="002160B3"/>
    <w:rsid w:val="00216A57"/>
    <w:rsid w:val="00216A86"/>
    <w:rsid w:val="00216F58"/>
    <w:rsid w:val="0021703C"/>
    <w:rsid w:val="00217C7C"/>
    <w:rsid w:val="0022070E"/>
    <w:rsid w:val="00220C13"/>
    <w:rsid w:val="002210D9"/>
    <w:rsid w:val="00221421"/>
    <w:rsid w:val="00221A0F"/>
    <w:rsid w:val="002225DD"/>
    <w:rsid w:val="002225E4"/>
    <w:rsid w:val="0022278D"/>
    <w:rsid w:val="0022334F"/>
    <w:rsid w:val="00223D9D"/>
    <w:rsid w:val="0022429D"/>
    <w:rsid w:val="00225351"/>
    <w:rsid w:val="0022547B"/>
    <w:rsid w:val="002254DB"/>
    <w:rsid w:val="0022550C"/>
    <w:rsid w:val="002256FC"/>
    <w:rsid w:val="00225799"/>
    <w:rsid w:val="002258BF"/>
    <w:rsid w:val="00225AFF"/>
    <w:rsid w:val="00225B46"/>
    <w:rsid w:val="00225E2F"/>
    <w:rsid w:val="00225FC8"/>
    <w:rsid w:val="0022609D"/>
    <w:rsid w:val="00226819"/>
    <w:rsid w:val="00226BDF"/>
    <w:rsid w:val="00226D46"/>
    <w:rsid w:val="00226E18"/>
    <w:rsid w:val="00227C89"/>
    <w:rsid w:val="00231075"/>
    <w:rsid w:val="002312D5"/>
    <w:rsid w:val="00231397"/>
    <w:rsid w:val="00231649"/>
    <w:rsid w:val="00231D4A"/>
    <w:rsid w:val="0023233B"/>
    <w:rsid w:val="002323D0"/>
    <w:rsid w:val="00233101"/>
    <w:rsid w:val="0023319A"/>
    <w:rsid w:val="00233575"/>
    <w:rsid w:val="00233817"/>
    <w:rsid w:val="00233921"/>
    <w:rsid w:val="00233C52"/>
    <w:rsid w:val="00233CC3"/>
    <w:rsid w:val="00233E05"/>
    <w:rsid w:val="002340E3"/>
    <w:rsid w:val="00234509"/>
    <w:rsid w:val="00234516"/>
    <w:rsid w:val="002345FB"/>
    <w:rsid w:val="0023477F"/>
    <w:rsid w:val="00234C5A"/>
    <w:rsid w:val="002350CC"/>
    <w:rsid w:val="00235261"/>
    <w:rsid w:val="00236532"/>
    <w:rsid w:val="00236678"/>
    <w:rsid w:val="002367D4"/>
    <w:rsid w:val="002367FF"/>
    <w:rsid w:val="002370F2"/>
    <w:rsid w:val="00237373"/>
    <w:rsid w:val="0024022B"/>
    <w:rsid w:val="00240CB1"/>
    <w:rsid w:val="00240CE9"/>
    <w:rsid w:val="00241986"/>
    <w:rsid w:val="00242238"/>
    <w:rsid w:val="00242304"/>
    <w:rsid w:val="00242CFC"/>
    <w:rsid w:val="00242E62"/>
    <w:rsid w:val="0024313C"/>
    <w:rsid w:val="00243330"/>
    <w:rsid w:val="002434BA"/>
    <w:rsid w:val="00243870"/>
    <w:rsid w:val="00243966"/>
    <w:rsid w:val="00243C8F"/>
    <w:rsid w:val="0024450C"/>
    <w:rsid w:val="00244F54"/>
    <w:rsid w:val="00245069"/>
    <w:rsid w:val="0024527A"/>
    <w:rsid w:val="0024566B"/>
    <w:rsid w:val="0024592D"/>
    <w:rsid w:val="00246089"/>
    <w:rsid w:val="00246093"/>
    <w:rsid w:val="002460B3"/>
    <w:rsid w:val="002460EB"/>
    <w:rsid w:val="00246702"/>
    <w:rsid w:val="00246C58"/>
    <w:rsid w:val="00246FEC"/>
    <w:rsid w:val="002472CF"/>
    <w:rsid w:val="002474DE"/>
    <w:rsid w:val="002474DF"/>
    <w:rsid w:val="002474F6"/>
    <w:rsid w:val="00247C59"/>
    <w:rsid w:val="00247E63"/>
    <w:rsid w:val="00247F2E"/>
    <w:rsid w:val="00247FE4"/>
    <w:rsid w:val="0025006A"/>
    <w:rsid w:val="00250766"/>
    <w:rsid w:val="00250818"/>
    <w:rsid w:val="0025081F"/>
    <w:rsid w:val="00250ADC"/>
    <w:rsid w:val="00250B07"/>
    <w:rsid w:val="002512ED"/>
    <w:rsid w:val="002516E5"/>
    <w:rsid w:val="00251C73"/>
    <w:rsid w:val="00252285"/>
    <w:rsid w:val="00252ACF"/>
    <w:rsid w:val="0025307D"/>
    <w:rsid w:val="00253744"/>
    <w:rsid w:val="0025399C"/>
    <w:rsid w:val="00253B7B"/>
    <w:rsid w:val="002552D6"/>
    <w:rsid w:val="00255402"/>
    <w:rsid w:val="00256127"/>
    <w:rsid w:val="002561FB"/>
    <w:rsid w:val="002566B6"/>
    <w:rsid w:val="0025695C"/>
    <w:rsid w:val="00257553"/>
    <w:rsid w:val="00257818"/>
    <w:rsid w:val="002579A8"/>
    <w:rsid w:val="00257D00"/>
    <w:rsid w:val="0026070D"/>
    <w:rsid w:val="00260B3F"/>
    <w:rsid w:val="00260C3E"/>
    <w:rsid w:val="00260FB2"/>
    <w:rsid w:val="002612B1"/>
    <w:rsid w:val="002616CF"/>
    <w:rsid w:val="00261C53"/>
    <w:rsid w:val="00261FCD"/>
    <w:rsid w:val="00262128"/>
    <w:rsid w:val="002624A6"/>
    <w:rsid w:val="00262A29"/>
    <w:rsid w:val="00263489"/>
    <w:rsid w:val="00263623"/>
    <w:rsid w:val="0026368B"/>
    <w:rsid w:val="00263ADD"/>
    <w:rsid w:val="00264555"/>
    <w:rsid w:val="002648FD"/>
    <w:rsid w:val="00264E46"/>
    <w:rsid w:val="002651E4"/>
    <w:rsid w:val="002654B5"/>
    <w:rsid w:val="00265523"/>
    <w:rsid w:val="002657D9"/>
    <w:rsid w:val="002657E9"/>
    <w:rsid w:val="002659DF"/>
    <w:rsid w:val="00265AC6"/>
    <w:rsid w:val="00265FB6"/>
    <w:rsid w:val="00265FDD"/>
    <w:rsid w:val="00266297"/>
    <w:rsid w:val="002664B9"/>
    <w:rsid w:val="00266584"/>
    <w:rsid w:val="002667D4"/>
    <w:rsid w:val="00266AD8"/>
    <w:rsid w:val="00267652"/>
    <w:rsid w:val="0027021C"/>
    <w:rsid w:val="0027091F"/>
    <w:rsid w:val="00271262"/>
    <w:rsid w:val="0027128C"/>
    <w:rsid w:val="002714B8"/>
    <w:rsid w:val="0027165D"/>
    <w:rsid w:val="00271764"/>
    <w:rsid w:val="002717D0"/>
    <w:rsid w:val="002720A6"/>
    <w:rsid w:val="00272309"/>
    <w:rsid w:val="002732D6"/>
    <w:rsid w:val="002733C0"/>
    <w:rsid w:val="00273580"/>
    <w:rsid w:val="00273CEB"/>
    <w:rsid w:val="00273DAF"/>
    <w:rsid w:val="00273DB5"/>
    <w:rsid w:val="002740ED"/>
    <w:rsid w:val="00275DD1"/>
    <w:rsid w:val="00275EDA"/>
    <w:rsid w:val="00276546"/>
    <w:rsid w:val="002766EE"/>
    <w:rsid w:val="00276B85"/>
    <w:rsid w:val="00276BE6"/>
    <w:rsid w:val="00277366"/>
    <w:rsid w:val="002776F4"/>
    <w:rsid w:val="002803A9"/>
    <w:rsid w:val="0028045F"/>
    <w:rsid w:val="00280702"/>
    <w:rsid w:val="002813BF"/>
    <w:rsid w:val="002819C9"/>
    <w:rsid w:val="00281C89"/>
    <w:rsid w:val="00281E49"/>
    <w:rsid w:val="00282488"/>
    <w:rsid w:val="0028282F"/>
    <w:rsid w:val="00282A60"/>
    <w:rsid w:val="00282E96"/>
    <w:rsid w:val="0028306F"/>
    <w:rsid w:val="002838AB"/>
    <w:rsid w:val="00283C63"/>
    <w:rsid w:val="00283D92"/>
    <w:rsid w:val="002840E1"/>
    <w:rsid w:val="0028445F"/>
    <w:rsid w:val="0028468E"/>
    <w:rsid w:val="002849CF"/>
    <w:rsid w:val="00284BC8"/>
    <w:rsid w:val="00284DD7"/>
    <w:rsid w:val="00285554"/>
    <w:rsid w:val="002856E7"/>
    <w:rsid w:val="00285C5D"/>
    <w:rsid w:val="00286214"/>
    <w:rsid w:val="00286401"/>
    <w:rsid w:val="00286D6B"/>
    <w:rsid w:val="00287253"/>
    <w:rsid w:val="00287537"/>
    <w:rsid w:val="00287A1C"/>
    <w:rsid w:val="00290182"/>
    <w:rsid w:val="00290235"/>
    <w:rsid w:val="00290D0F"/>
    <w:rsid w:val="00290D71"/>
    <w:rsid w:val="00290E92"/>
    <w:rsid w:val="0029103D"/>
    <w:rsid w:val="00291371"/>
    <w:rsid w:val="00291714"/>
    <w:rsid w:val="00291B27"/>
    <w:rsid w:val="00292191"/>
    <w:rsid w:val="002926FF"/>
    <w:rsid w:val="00292BAD"/>
    <w:rsid w:val="00293207"/>
    <w:rsid w:val="00293704"/>
    <w:rsid w:val="00293937"/>
    <w:rsid w:val="002939EE"/>
    <w:rsid w:val="00293B01"/>
    <w:rsid w:val="00293D5E"/>
    <w:rsid w:val="00294266"/>
    <w:rsid w:val="00294B52"/>
    <w:rsid w:val="00294C5C"/>
    <w:rsid w:val="0029522E"/>
    <w:rsid w:val="002957B9"/>
    <w:rsid w:val="0029593B"/>
    <w:rsid w:val="00295A18"/>
    <w:rsid w:val="00295BE3"/>
    <w:rsid w:val="00295E74"/>
    <w:rsid w:val="00296065"/>
    <w:rsid w:val="002964BD"/>
    <w:rsid w:val="0029692C"/>
    <w:rsid w:val="00296D54"/>
    <w:rsid w:val="00296EFA"/>
    <w:rsid w:val="00297691"/>
    <w:rsid w:val="00297736"/>
    <w:rsid w:val="00297FC5"/>
    <w:rsid w:val="002A029F"/>
    <w:rsid w:val="002A0417"/>
    <w:rsid w:val="002A06CC"/>
    <w:rsid w:val="002A0B90"/>
    <w:rsid w:val="002A11ED"/>
    <w:rsid w:val="002A16D8"/>
    <w:rsid w:val="002A170C"/>
    <w:rsid w:val="002A1BB6"/>
    <w:rsid w:val="002A1BC8"/>
    <w:rsid w:val="002A2055"/>
    <w:rsid w:val="002A2220"/>
    <w:rsid w:val="002A24EE"/>
    <w:rsid w:val="002A2886"/>
    <w:rsid w:val="002A3139"/>
    <w:rsid w:val="002A31E7"/>
    <w:rsid w:val="002A33DC"/>
    <w:rsid w:val="002A3EF2"/>
    <w:rsid w:val="002A4101"/>
    <w:rsid w:val="002A4542"/>
    <w:rsid w:val="002A4693"/>
    <w:rsid w:val="002A4D38"/>
    <w:rsid w:val="002A539A"/>
    <w:rsid w:val="002A5AA7"/>
    <w:rsid w:val="002A5B2D"/>
    <w:rsid w:val="002A5E66"/>
    <w:rsid w:val="002A5ED1"/>
    <w:rsid w:val="002A612D"/>
    <w:rsid w:val="002A6185"/>
    <w:rsid w:val="002A6188"/>
    <w:rsid w:val="002A6CC7"/>
    <w:rsid w:val="002A6EBA"/>
    <w:rsid w:val="002A6FFA"/>
    <w:rsid w:val="002A70FF"/>
    <w:rsid w:val="002A7167"/>
    <w:rsid w:val="002A7AB5"/>
    <w:rsid w:val="002A7BDB"/>
    <w:rsid w:val="002B0541"/>
    <w:rsid w:val="002B0DED"/>
    <w:rsid w:val="002B0EF6"/>
    <w:rsid w:val="002B1081"/>
    <w:rsid w:val="002B1116"/>
    <w:rsid w:val="002B131A"/>
    <w:rsid w:val="002B19A2"/>
    <w:rsid w:val="002B1F12"/>
    <w:rsid w:val="002B2257"/>
    <w:rsid w:val="002B291E"/>
    <w:rsid w:val="002B2F2E"/>
    <w:rsid w:val="002B369B"/>
    <w:rsid w:val="002B381A"/>
    <w:rsid w:val="002B3D33"/>
    <w:rsid w:val="002B3DEC"/>
    <w:rsid w:val="002B3F96"/>
    <w:rsid w:val="002B40C1"/>
    <w:rsid w:val="002B44DC"/>
    <w:rsid w:val="002B4826"/>
    <w:rsid w:val="002B494D"/>
    <w:rsid w:val="002B4A0A"/>
    <w:rsid w:val="002B4C0F"/>
    <w:rsid w:val="002B4EA9"/>
    <w:rsid w:val="002B4FCC"/>
    <w:rsid w:val="002B5905"/>
    <w:rsid w:val="002B6A59"/>
    <w:rsid w:val="002B70FA"/>
    <w:rsid w:val="002B7290"/>
    <w:rsid w:val="002B7408"/>
    <w:rsid w:val="002B7588"/>
    <w:rsid w:val="002B7CFD"/>
    <w:rsid w:val="002B7DE5"/>
    <w:rsid w:val="002B7F07"/>
    <w:rsid w:val="002C015E"/>
    <w:rsid w:val="002C0328"/>
    <w:rsid w:val="002C04AC"/>
    <w:rsid w:val="002C0657"/>
    <w:rsid w:val="002C1562"/>
    <w:rsid w:val="002C1C12"/>
    <w:rsid w:val="002C1EC5"/>
    <w:rsid w:val="002C210F"/>
    <w:rsid w:val="002C22BB"/>
    <w:rsid w:val="002C253A"/>
    <w:rsid w:val="002C32FA"/>
    <w:rsid w:val="002C360F"/>
    <w:rsid w:val="002C37B1"/>
    <w:rsid w:val="002C3994"/>
    <w:rsid w:val="002C3EA9"/>
    <w:rsid w:val="002C40B9"/>
    <w:rsid w:val="002C44EF"/>
    <w:rsid w:val="002C4520"/>
    <w:rsid w:val="002C4865"/>
    <w:rsid w:val="002C4B55"/>
    <w:rsid w:val="002C4ED3"/>
    <w:rsid w:val="002C53EE"/>
    <w:rsid w:val="002C57BD"/>
    <w:rsid w:val="002C58C3"/>
    <w:rsid w:val="002C5948"/>
    <w:rsid w:val="002C61DA"/>
    <w:rsid w:val="002C64E4"/>
    <w:rsid w:val="002C689F"/>
    <w:rsid w:val="002C6A30"/>
    <w:rsid w:val="002C6A94"/>
    <w:rsid w:val="002C6CB2"/>
    <w:rsid w:val="002C6F1C"/>
    <w:rsid w:val="002C7355"/>
    <w:rsid w:val="002C75CA"/>
    <w:rsid w:val="002C75FC"/>
    <w:rsid w:val="002C7C8A"/>
    <w:rsid w:val="002C7D06"/>
    <w:rsid w:val="002D02BD"/>
    <w:rsid w:val="002D05FC"/>
    <w:rsid w:val="002D0853"/>
    <w:rsid w:val="002D19DF"/>
    <w:rsid w:val="002D1D48"/>
    <w:rsid w:val="002D2017"/>
    <w:rsid w:val="002D2528"/>
    <w:rsid w:val="002D2E47"/>
    <w:rsid w:val="002D3600"/>
    <w:rsid w:val="002D3ADB"/>
    <w:rsid w:val="002D4532"/>
    <w:rsid w:val="002D4C7D"/>
    <w:rsid w:val="002D51A6"/>
    <w:rsid w:val="002D570C"/>
    <w:rsid w:val="002D574A"/>
    <w:rsid w:val="002D5995"/>
    <w:rsid w:val="002D5F09"/>
    <w:rsid w:val="002D62C3"/>
    <w:rsid w:val="002D631C"/>
    <w:rsid w:val="002D64A5"/>
    <w:rsid w:val="002D69D6"/>
    <w:rsid w:val="002D6A60"/>
    <w:rsid w:val="002D769B"/>
    <w:rsid w:val="002D7804"/>
    <w:rsid w:val="002D7978"/>
    <w:rsid w:val="002E03C7"/>
    <w:rsid w:val="002E0B37"/>
    <w:rsid w:val="002E0D8A"/>
    <w:rsid w:val="002E0DAD"/>
    <w:rsid w:val="002E156E"/>
    <w:rsid w:val="002E1796"/>
    <w:rsid w:val="002E1886"/>
    <w:rsid w:val="002E1C52"/>
    <w:rsid w:val="002E1E92"/>
    <w:rsid w:val="002E1FCB"/>
    <w:rsid w:val="002E2200"/>
    <w:rsid w:val="002E2907"/>
    <w:rsid w:val="002E2A6E"/>
    <w:rsid w:val="002E2A92"/>
    <w:rsid w:val="002E2CFC"/>
    <w:rsid w:val="002E32BA"/>
    <w:rsid w:val="002E3A88"/>
    <w:rsid w:val="002E3B22"/>
    <w:rsid w:val="002E3C54"/>
    <w:rsid w:val="002E4AEA"/>
    <w:rsid w:val="002E4DDC"/>
    <w:rsid w:val="002E4EAA"/>
    <w:rsid w:val="002E57FA"/>
    <w:rsid w:val="002E5C95"/>
    <w:rsid w:val="002E6284"/>
    <w:rsid w:val="002E7447"/>
    <w:rsid w:val="002E757B"/>
    <w:rsid w:val="002F072F"/>
    <w:rsid w:val="002F0B06"/>
    <w:rsid w:val="002F0BB4"/>
    <w:rsid w:val="002F10B6"/>
    <w:rsid w:val="002F1422"/>
    <w:rsid w:val="002F166B"/>
    <w:rsid w:val="002F175F"/>
    <w:rsid w:val="002F1CB5"/>
    <w:rsid w:val="002F3686"/>
    <w:rsid w:val="002F450E"/>
    <w:rsid w:val="002F4948"/>
    <w:rsid w:val="002F4D94"/>
    <w:rsid w:val="002F5087"/>
    <w:rsid w:val="002F643C"/>
    <w:rsid w:val="002F6454"/>
    <w:rsid w:val="002F7981"/>
    <w:rsid w:val="002F7C02"/>
    <w:rsid w:val="003003EF"/>
    <w:rsid w:val="003005AD"/>
    <w:rsid w:val="003006F0"/>
    <w:rsid w:val="0030075C"/>
    <w:rsid w:val="003008C8"/>
    <w:rsid w:val="00301280"/>
    <w:rsid w:val="00301313"/>
    <w:rsid w:val="003016DF"/>
    <w:rsid w:val="003021AE"/>
    <w:rsid w:val="00302480"/>
    <w:rsid w:val="00302EE2"/>
    <w:rsid w:val="003038DD"/>
    <w:rsid w:val="003039C5"/>
    <w:rsid w:val="00303C65"/>
    <w:rsid w:val="00303F02"/>
    <w:rsid w:val="003045D4"/>
    <w:rsid w:val="00304909"/>
    <w:rsid w:val="00304A26"/>
    <w:rsid w:val="0030614C"/>
    <w:rsid w:val="00307323"/>
    <w:rsid w:val="00307332"/>
    <w:rsid w:val="0030745A"/>
    <w:rsid w:val="00307607"/>
    <w:rsid w:val="003078CD"/>
    <w:rsid w:val="00310564"/>
    <w:rsid w:val="00310B0C"/>
    <w:rsid w:val="00310BF1"/>
    <w:rsid w:val="00310D99"/>
    <w:rsid w:val="0031134E"/>
    <w:rsid w:val="00311BF8"/>
    <w:rsid w:val="00311C13"/>
    <w:rsid w:val="0031223E"/>
    <w:rsid w:val="00312848"/>
    <w:rsid w:val="00312AD8"/>
    <w:rsid w:val="00313157"/>
    <w:rsid w:val="00313163"/>
    <w:rsid w:val="0031384A"/>
    <w:rsid w:val="00314676"/>
    <w:rsid w:val="00314997"/>
    <w:rsid w:val="0031549A"/>
    <w:rsid w:val="003155C7"/>
    <w:rsid w:val="00315B33"/>
    <w:rsid w:val="00315B96"/>
    <w:rsid w:val="003165E6"/>
    <w:rsid w:val="00316C24"/>
    <w:rsid w:val="00317235"/>
    <w:rsid w:val="0031727F"/>
    <w:rsid w:val="00317D67"/>
    <w:rsid w:val="00320D78"/>
    <w:rsid w:val="00321075"/>
    <w:rsid w:val="003215B5"/>
    <w:rsid w:val="003218BF"/>
    <w:rsid w:val="003221CF"/>
    <w:rsid w:val="00322801"/>
    <w:rsid w:val="003233ED"/>
    <w:rsid w:val="003234BC"/>
    <w:rsid w:val="003240F9"/>
    <w:rsid w:val="003242CC"/>
    <w:rsid w:val="003247FC"/>
    <w:rsid w:val="00324848"/>
    <w:rsid w:val="003249A9"/>
    <w:rsid w:val="00324D9F"/>
    <w:rsid w:val="00325068"/>
    <w:rsid w:val="00325684"/>
    <w:rsid w:val="00325AC5"/>
    <w:rsid w:val="00325B09"/>
    <w:rsid w:val="00326380"/>
    <w:rsid w:val="003274E6"/>
    <w:rsid w:val="00327948"/>
    <w:rsid w:val="00327990"/>
    <w:rsid w:val="00327EA2"/>
    <w:rsid w:val="00327F18"/>
    <w:rsid w:val="0033000F"/>
    <w:rsid w:val="00330303"/>
    <w:rsid w:val="003304B3"/>
    <w:rsid w:val="0033081E"/>
    <w:rsid w:val="00331544"/>
    <w:rsid w:val="00331AE9"/>
    <w:rsid w:val="00331FCF"/>
    <w:rsid w:val="00332011"/>
    <w:rsid w:val="003321B7"/>
    <w:rsid w:val="003321FF"/>
    <w:rsid w:val="00332518"/>
    <w:rsid w:val="00332925"/>
    <w:rsid w:val="003332ED"/>
    <w:rsid w:val="003333A7"/>
    <w:rsid w:val="003335E7"/>
    <w:rsid w:val="00333AEA"/>
    <w:rsid w:val="00333FFA"/>
    <w:rsid w:val="003348B9"/>
    <w:rsid w:val="003350FD"/>
    <w:rsid w:val="00335336"/>
    <w:rsid w:val="00335A60"/>
    <w:rsid w:val="00335E58"/>
    <w:rsid w:val="003360A4"/>
    <w:rsid w:val="003366B9"/>
    <w:rsid w:val="00336830"/>
    <w:rsid w:val="003368DC"/>
    <w:rsid w:val="00336F9E"/>
    <w:rsid w:val="003378AD"/>
    <w:rsid w:val="00337EE1"/>
    <w:rsid w:val="003404D2"/>
    <w:rsid w:val="00340753"/>
    <w:rsid w:val="00340AD7"/>
    <w:rsid w:val="00341214"/>
    <w:rsid w:val="003413AA"/>
    <w:rsid w:val="003416E7"/>
    <w:rsid w:val="00341B15"/>
    <w:rsid w:val="00341CA5"/>
    <w:rsid w:val="00341F65"/>
    <w:rsid w:val="0034236B"/>
    <w:rsid w:val="0034277E"/>
    <w:rsid w:val="003428B2"/>
    <w:rsid w:val="00342961"/>
    <w:rsid w:val="00342CDC"/>
    <w:rsid w:val="00342E92"/>
    <w:rsid w:val="003431B1"/>
    <w:rsid w:val="00343248"/>
    <w:rsid w:val="00343471"/>
    <w:rsid w:val="00343737"/>
    <w:rsid w:val="00343D23"/>
    <w:rsid w:val="00343FBC"/>
    <w:rsid w:val="00344590"/>
    <w:rsid w:val="003447F5"/>
    <w:rsid w:val="00344DC3"/>
    <w:rsid w:val="00344EAC"/>
    <w:rsid w:val="0034554A"/>
    <w:rsid w:val="003455D4"/>
    <w:rsid w:val="00345927"/>
    <w:rsid w:val="00345C92"/>
    <w:rsid w:val="00345E2E"/>
    <w:rsid w:val="00347844"/>
    <w:rsid w:val="00350584"/>
    <w:rsid w:val="00350A37"/>
    <w:rsid w:val="00350C45"/>
    <w:rsid w:val="00350C72"/>
    <w:rsid w:val="00350CCF"/>
    <w:rsid w:val="0035126D"/>
    <w:rsid w:val="003515BA"/>
    <w:rsid w:val="00351778"/>
    <w:rsid w:val="00351857"/>
    <w:rsid w:val="00351CA6"/>
    <w:rsid w:val="00351E90"/>
    <w:rsid w:val="0035288E"/>
    <w:rsid w:val="00353064"/>
    <w:rsid w:val="00353B4E"/>
    <w:rsid w:val="00353F8B"/>
    <w:rsid w:val="003542EB"/>
    <w:rsid w:val="003545E8"/>
    <w:rsid w:val="00354E2B"/>
    <w:rsid w:val="00355B27"/>
    <w:rsid w:val="00355E96"/>
    <w:rsid w:val="00355F21"/>
    <w:rsid w:val="003561BF"/>
    <w:rsid w:val="003566F0"/>
    <w:rsid w:val="0035722E"/>
    <w:rsid w:val="00357812"/>
    <w:rsid w:val="00357B3C"/>
    <w:rsid w:val="00357F30"/>
    <w:rsid w:val="003600AC"/>
    <w:rsid w:val="003602BB"/>
    <w:rsid w:val="00360739"/>
    <w:rsid w:val="00360774"/>
    <w:rsid w:val="0036087D"/>
    <w:rsid w:val="00360933"/>
    <w:rsid w:val="003610E1"/>
    <w:rsid w:val="00361357"/>
    <w:rsid w:val="003618A0"/>
    <w:rsid w:val="00361A93"/>
    <w:rsid w:val="00361CE3"/>
    <w:rsid w:val="00361F9B"/>
    <w:rsid w:val="003620E7"/>
    <w:rsid w:val="00362445"/>
    <w:rsid w:val="00362799"/>
    <w:rsid w:val="003637E5"/>
    <w:rsid w:val="00363C53"/>
    <w:rsid w:val="00363FF5"/>
    <w:rsid w:val="003644BF"/>
    <w:rsid w:val="0036513E"/>
    <w:rsid w:val="00365525"/>
    <w:rsid w:val="0036561C"/>
    <w:rsid w:val="00365C08"/>
    <w:rsid w:val="00366149"/>
    <w:rsid w:val="00366580"/>
    <w:rsid w:val="00366EA5"/>
    <w:rsid w:val="003670C0"/>
    <w:rsid w:val="003671BE"/>
    <w:rsid w:val="003673CB"/>
    <w:rsid w:val="00367B3E"/>
    <w:rsid w:val="00367DA0"/>
    <w:rsid w:val="00367F41"/>
    <w:rsid w:val="0037036F"/>
    <w:rsid w:val="0037046B"/>
    <w:rsid w:val="00371082"/>
    <w:rsid w:val="00371E74"/>
    <w:rsid w:val="00372485"/>
    <w:rsid w:val="0037254E"/>
    <w:rsid w:val="00373200"/>
    <w:rsid w:val="00373242"/>
    <w:rsid w:val="00373B64"/>
    <w:rsid w:val="003752C8"/>
    <w:rsid w:val="00375EF5"/>
    <w:rsid w:val="003762E0"/>
    <w:rsid w:val="00376387"/>
    <w:rsid w:val="003767A5"/>
    <w:rsid w:val="00376C30"/>
    <w:rsid w:val="00376D57"/>
    <w:rsid w:val="0037720C"/>
    <w:rsid w:val="0037746A"/>
    <w:rsid w:val="00377715"/>
    <w:rsid w:val="00377FEF"/>
    <w:rsid w:val="003802BB"/>
    <w:rsid w:val="0038034D"/>
    <w:rsid w:val="003803BB"/>
    <w:rsid w:val="00380438"/>
    <w:rsid w:val="00380B56"/>
    <w:rsid w:val="00380D3D"/>
    <w:rsid w:val="00381A31"/>
    <w:rsid w:val="00381D15"/>
    <w:rsid w:val="00381F16"/>
    <w:rsid w:val="003821B5"/>
    <w:rsid w:val="00382643"/>
    <w:rsid w:val="003826E0"/>
    <w:rsid w:val="00382C83"/>
    <w:rsid w:val="00382D2B"/>
    <w:rsid w:val="003835C0"/>
    <w:rsid w:val="00383AD8"/>
    <w:rsid w:val="00383B34"/>
    <w:rsid w:val="00383CC6"/>
    <w:rsid w:val="00383FEF"/>
    <w:rsid w:val="0038436D"/>
    <w:rsid w:val="00384455"/>
    <w:rsid w:val="003845CA"/>
    <w:rsid w:val="00384778"/>
    <w:rsid w:val="00384BE2"/>
    <w:rsid w:val="00384C98"/>
    <w:rsid w:val="003850DD"/>
    <w:rsid w:val="00385254"/>
    <w:rsid w:val="0038595F"/>
    <w:rsid w:val="003859BE"/>
    <w:rsid w:val="00385D4D"/>
    <w:rsid w:val="00386514"/>
    <w:rsid w:val="003865B1"/>
    <w:rsid w:val="00386982"/>
    <w:rsid w:val="00386E56"/>
    <w:rsid w:val="00387113"/>
    <w:rsid w:val="00387121"/>
    <w:rsid w:val="0038731A"/>
    <w:rsid w:val="00387B74"/>
    <w:rsid w:val="00387C28"/>
    <w:rsid w:val="00390D04"/>
    <w:rsid w:val="00390F03"/>
    <w:rsid w:val="00390F23"/>
    <w:rsid w:val="00391210"/>
    <w:rsid w:val="00392576"/>
    <w:rsid w:val="003934B8"/>
    <w:rsid w:val="003934CA"/>
    <w:rsid w:val="00394164"/>
    <w:rsid w:val="00394290"/>
    <w:rsid w:val="00394811"/>
    <w:rsid w:val="00394934"/>
    <w:rsid w:val="00395685"/>
    <w:rsid w:val="00397236"/>
    <w:rsid w:val="003973A4"/>
    <w:rsid w:val="003973CB"/>
    <w:rsid w:val="00397BA8"/>
    <w:rsid w:val="00397DC6"/>
    <w:rsid w:val="003A010B"/>
    <w:rsid w:val="003A04DB"/>
    <w:rsid w:val="003A06EE"/>
    <w:rsid w:val="003A09D8"/>
    <w:rsid w:val="003A0C6D"/>
    <w:rsid w:val="003A0DB8"/>
    <w:rsid w:val="003A125E"/>
    <w:rsid w:val="003A130A"/>
    <w:rsid w:val="003A1815"/>
    <w:rsid w:val="003A18E1"/>
    <w:rsid w:val="003A1E74"/>
    <w:rsid w:val="003A1F35"/>
    <w:rsid w:val="003A216A"/>
    <w:rsid w:val="003A2294"/>
    <w:rsid w:val="003A2873"/>
    <w:rsid w:val="003A28DC"/>
    <w:rsid w:val="003A2A8A"/>
    <w:rsid w:val="003A34F3"/>
    <w:rsid w:val="003A4386"/>
    <w:rsid w:val="003A4841"/>
    <w:rsid w:val="003A4986"/>
    <w:rsid w:val="003A4CBB"/>
    <w:rsid w:val="003A549A"/>
    <w:rsid w:val="003A5828"/>
    <w:rsid w:val="003A5947"/>
    <w:rsid w:val="003A59ED"/>
    <w:rsid w:val="003A5F5B"/>
    <w:rsid w:val="003A645A"/>
    <w:rsid w:val="003A68CB"/>
    <w:rsid w:val="003A6AB5"/>
    <w:rsid w:val="003A6ADB"/>
    <w:rsid w:val="003A7120"/>
    <w:rsid w:val="003A760C"/>
    <w:rsid w:val="003A77CC"/>
    <w:rsid w:val="003A789A"/>
    <w:rsid w:val="003A7BAF"/>
    <w:rsid w:val="003B04E0"/>
    <w:rsid w:val="003B0B57"/>
    <w:rsid w:val="003B1074"/>
    <w:rsid w:val="003B115E"/>
    <w:rsid w:val="003B12EC"/>
    <w:rsid w:val="003B1CAA"/>
    <w:rsid w:val="003B26AE"/>
    <w:rsid w:val="003B2801"/>
    <w:rsid w:val="003B2D24"/>
    <w:rsid w:val="003B30B8"/>
    <w:rsid w:val="003B319F"/>
    <w:rsid w:val="003B374B"/>
    <w:rsid w:val="003B3D67"/>
    <w:rsid w:val="003B46D3"/>
    <w:rsid w:val="003B471E"/>
    <w:rsid w:val="003B4CCE"/>
    <w:rsid w:val="003B5126"/>
    <w:rsid w:val="003B5304"/>
    <w:rsid w:val="003B53D5"/>
    <w:rsid w:val="003B5717"/>
    <w:rsid w:val="003B6566"/>
    <w:rsid w:val="003B6A4D"/>
    <w:rsid w:val="003B730F"/>
    <w:rsid w:val="003B7673"/>
    <w:rsid w:val="003B7852"/>
    <w:rsid w:val="003B7ABD"/>
    <w:rsid w:val="003B7D2A"/>
    <w:rsid w:val="003C0132"/>
    <w:rsid w:val="003C03A2"/>
    <w:rsid w:val="003C0DBC"/>
    <w:rsid w:val="003C1253"/>
    <w:rsid w:val="003C125C"/>
    <w:rsid w:val="003C1919"/>
    <w:rsid w:val="003C19DC"/>
    <w:rsid w:val="003C1D9C"/>
    <w:rsid w:val="003C1DEA"/>
    <w:rsid w:val="003C297E"/>
    <w:rsid w:val="003C35C4"/>
    <w:rsid w:val="003C410E"/>
    <w:rsid w:val="003C43A9"/>
    <w:rsid w:val="003C4B23"/>
    <w:rsid w:val="003C4C25"/>
    <w:rsid w:val="003C4EF6"/>
    <w:rsid w:val="003C531B"/>
    <w:rsid w:val="003C618F"/>
    <w:rsid w:val="003C6272"/>
    <w:rsid w:val="003C64AD"/>
    <w:rsid w:val="003C69B2"/>
    <w:rsid w:val="003C6C9E"/>
    <w:rsid w:val="003C714E"/>
    <w:rsid w:val="003C77C9"/>
    <w:rsid w:val="003C77E0"/>
    <w:rsid w:val="003C7D74"/>
    <w:rsid w:val="003D01E3"/>
    <w:rsid w:val="003D0257"/>
    <w:rsid w:val="003D07FB"/>
    <w:rsid w:val="003D08DC"/>
    <w:rsid w:val="003D0A3D"/>
    <w:rsid w:val="003D0F3F"/>
    <w:rsid w:val="003D17D7"/>
    <w:rsid w:val="003D19DD"/>
    <w:rsid w:val="003D2678"/>
    <w:rsid w:val="003D2F51"/>
    <w:rsid w:val="003D2F75"/>
    <w:rsid w:val="003D3044"/>
    <w:rsid w:val="003D30EF"/>
    <w:rsid w:val="003D32E8"/>
    <w:rsid w:val="003D3608"/>
    <w:rsid w:val="003D379E"/>
    <w:rsid w:val="003D38B9"/>
    <w:rsid w:val="003D39CF"/>
    <w:rsid w:val="003D3A85"/>
    <w:rsid w:val="003D3F6E"/>
    <w:rsid w:val="003D4016"/>
    <w:rsid w:val="003D4443"/>
    <w:rsid w:val="003D4996"/>
    <w:rsid w:val="003D49A6"/>
    <w:rsid w:val="003D4A3D"/>
    <w:rsid w:val="003D5254"/>
    <w:rsid w:val="003D5370"/>
    <w:rsid w:val="003D55D5"/>
    <w:rsid w:val="003D5A22"/>
    <w:rsid w:val="003D632C"/>
    <w:rsid w:val="003D68F1"/>
    <w:rsid w:val="003D6EA9"/>
    <w:rsid w:val="003D71A3"/>
    <w:rsid w:val="003D7BE8"/>
    <w:rsid w:val="003D7C6E"/>
    <w:rsid w:val="003D7E71"/>
    <w:rsid w:val="003D7F68"/>
    <w:rsid w:val="003D7FAC"/>
    <w:rsid w:val="003E00A6"/>
    <w:rsid w:val="003E0226"/>
    <w:rsid w:val="003E08D6"/>
    <w:rsid w:val="003E0A99"/>
    <w:rsid w:val="003E1101"/>
    <w:rsid w:val="003E1695"/>
    <w:rsid w:val="003E19B7"/>
    <w:rsid w:val="003E206B"/>
    <w:rsid w:val="003E22C5"/>
    <w:rsid w:val="003E2342"/>
    <w:rsid w:val="003E27C2"/>
    <w:rsid w:val="003E2B8A"/>
    <w:rsid w:val="003E2DAE"/>
    <w:rsid w:val="003E3559"/>
    <w:rsid w:val="003E3B37"/>
    <w:rsid w:val="003E3FBA"/>
    <w:rsid w:val="003E3FDF"/>
    <w:rsid w:val="003E413E"/>
    <w:rsid w:val="003E4246"/>
    <w:rsid w:val="003E49F3"/>
    <w:rsid w:val="003E4A13"/>
    <w:rsid w:val="003E5705"/>
    <w:rsid w:val="003E5FDA"/>
    <w:rsid w:val="003E6473"/>
    <w:rsid w:val="003E6710"/>
    <w:rsid w:val="003E6765"/>
    <w:rsid w:val="003E69A6"/>
    <w:rsid w:val="003E6CCC"/>
    <w:rsid w:val="003E6CF6"/>
    <w:rsid w:val="003E6D58"/>
    <w:rsid w:val="003E6F65"/>
    <w:rsid w:val="003E7410"/>
    <w:rsid w:val="003E7566"/>
    <w:rsid w:val="003E7BA2"/>
    <w:rsid w:val="003E7EB0"/>
    <w:rsid w:val="003F04B7"/>
    <w:rsid w:val="003F0C5A"/>
    <w:rsid w:val="003F0C92"/>
    <w:rsid w:val="003F10EE"/>
    <w:rsid w:val="003F14F4"/>
    <w:rsid w:val="003F16F6"/>
    <w:rsid w:val="003F1A30"/>
    <w:rsid w:val="003F1F82"/>
    <w:rsid w:val="003F218E"/>
    <w:rsid w:val="003F2472"/>
    <w:rsid w:val="003F248B"/>
    <w:rsid w:val="003F259F"/>
    <w:rsid w:val="003F265F"/>
    <w:rsid w:val="003F2699"/>
    <w:rsid w:val="003F2C91"/>
    <w:rsid w:val="003F2CC8"/>
    <w:rsid w:val="003F3244"/>
    <w:rsid w:val="003F3297"/>
    <w:rsid w:val="003F3507"/>
    <w:rsid w:val="003F37A1"/>
    <w:rsid w:val="003F3841"/>
    <w:rsid w:val="003F3B7E"/>
    <w:rsid w:val="003F43DE"/>
    <w:rsid w:val="003F46FC"/>
    <w:rsid w:val="003F4B5E"/>
    <w:rsid w:val="003F4B80"/>
    <w:rsid w:val="003F4DC7"/>
    <w:rsid w:val="003F5050"/>
    <w:rsid w:val="003F5235"/>
    <w:rsid w:val="003F5274"/>
    <w:rsid w:val="003F5663"/>
    <w:rsid w:val="003F628D"/>
    <w:rsid w:val="003F692F"/>
    <w:rsid w:val="003F7378"/>
    <w:rsid w:val="003F77BF"/>
    <w:rsid w:val="003F7C76"/>
    <w:rsid w:val="003F7E3C"/>
    <w:rsid w:val="00400211"/>
    <w:rsid w:val="004004F2"/>
    <w:rsid w:val="00400943"/>
    <w:rsid w:val="00400A16"/>
    <w:rsid w:val="00400A7B"/>
    <w:rsid w:val="00400B15"/>
    <w:rsid w:val="00400C75"/>
    <w:rsid w:val="004012D8"/>
    <w:rsid w:val="00401E19"/>
    <w:rsid w:val="0040202F"/>
    <w:rsid w:val="00402652"/>
    <w:rsid w:val="004027E4"/>
    <w:rsid w:val="00403070"/>
    <w:rsid w:val="00403D2A"/>
    <w:rsid w:val="004041C1"/>
    <w:rsid w:val="004044E4"/>
    <w:rsid w:val="00404753"/>
    <w:rsid w:val="004047DA"/>
    <w:rsid w:val="00404ADB"/>
    <w:rsid w:val="0040544A"/>
    <w:rsid w:val="0040569F"/>
    <w:rsid w:val="00405CE3"/>
    <w:rsid w:val="00405EBA"/>
    <w:rsid w:val="0040602E"/>
    <w:rsid w:val="004065B5"/>
    <w:rsid w:val="00406ADF"/>
    <w:rsid w:val="00406F08"/>
    <w:rsid w:val="004074FA"/>
    <w:rsid w:val="004078EC"/>
    <w:rsid w:val="00407B32"/>
    <w:rsid w:val="00407E51"/>
    <w:rsid w:val="00407F95"/>
    <w:rsid w:val="004102B3"/>
    <w:rsid w:val="004105AD"/>
    <w:rsid w:val="0041071D"/>
    <w:rsid w:val="00410A6D"/>
    <w:rsid w:val="00410CA4"/>
    <w:rsid w:val="00410CC1"/>
    <w:rsid w:val="00410E40"/>
    <w:rsid w:val="00411137"/>
    <w:rsid w:val="00411405"/>
    <w:rsid w:val="004118DD"/>
    <w:rsid w:val="00412768"/>
    <w:rsid w:val="00412E4D"/>
    <w:rsid w:val="00413772"/>
    <w:rsid w:val="00413C65"/>
    <w:rsid w:val="00413D0C"/>
    <w:rsid w:val="00414494"/>
    <w:rsid w:val="00414AFC"/>
    <w:rsid w:val="00414C78"/>
    <w:rsid w:val="00414F57"/>
    <w:rsid w:val="00414FFF"/>
    <w:rsid w:val="004151A7"/>
    <w:rsid w:val="00415310"/>
    <w:rsid w:val="004153E4"/>
    <w:rsid w:val="00415451"/>
    <w:rsid w:val="0041567B"/>
    <w:rsid w:val="00415C9A"/>
    <w:rsid w:val="00415DFD"/>
    <w:rsid w:val="004163C0"/>
    <w:rsid w:val="004165B4"/>
    <w:rsid w:val="00416849"/>
    <w:rsid w:val="004169A4"/>
    <w:rsid w:val="004177A2"/>
    <w:rsid w:val="004179D9"/>
    <w:rsid w:val="00420166"/>
    <w:rsid w:val="00420F38"/>
    <w:rsid w:val="00421158"/>
    <w:rsid w:val="00421661"/>
    <w:rsid w:val="00421709"/>
    <w:rsid w:val="00421ACA"/>
    <w:rsid w:val="00421FAA"/>
    <w:rsid w:val="004221D5"/>
    <w:rsid w:val="00422290"/>
    <w:rsid w:val="004235E7"/>
    <w:rsid w:val="00423763"/>
    <w:rsid w:val="004240D9"/>
    <w:rsid w:val="00424200"/>
    <w:rsid w:val="00424B56"/>
    <w:rsid w:val="00424B7F"/>
    <w:rsid w:val="00424F77"/>
    <w:rsid w:val="00425E89"/>
    <w:rsid w:val="00426A17"/>
    <w:rsid w:val="00426CFA"/>
    <w:rsid w:val="00427375"/>
    <w:rsid w:val="0042762F"/>
    <w:rsid w:val="00427680"/>
    <w:rsid w:val="00427CCF"/>
    <w:rsid w:val="00427DC7"/>
    <w:rsid w:val="004301E7"/>
    <w:rsid w:val="00430C5E"/>
    <w:rsid w:val="004313FB"/>
    <w:rsid w:val="00431613"/>
    <w:rsid w:val="00431792"/>
    <w:rsid w:val="00431DCA"/>
    <w:rsid w:val="00431E35"/>
    <w:rsid w:val="00431E8B"/>
    <w:rsid w:val="00432196"/>
    <w:rsid w:val="0043226D"/>
    <w:rsid w:val="0043231A"/>
    <w:rsid w:val="00432840"/>
    <w:rsid w:val="0043297A"/>
    <w:rsid w:val="00432CA1"/>
    <w:rsid w:val="00432EB2"/>
    <w:rsid w:val="00434876"/>
    <w:rsid w:val="004352EC"/>
    <w:rsid w:val="0043599E"/>
    <w:rsid w:val="004368C6"/>
    <w:rsid w:val="0043697A"/>
    <w:rsid w:val="00436CE8"/>
    <w:rsid w:val="0043714F"/>
    <w:rsid w:val="004373DC"/>
    <w:rsid w:val="004375D9"/>
    <w:rsid w:val="0044006D"/>
    <w:rsid w:val="00440C88"/>
    <w:rsid w:val="00440CC7"/>
    <w:rsid w:val="00440EAF"/>
    <w:rsid w:val="00440FA3"/>
    <w:rsid w:val="00442798"/>
    <w:rsid w:val="0044286A"/>
    <w:rsid w:val="00443291"/>
    <w:rsid w:val="00443370"/>
    <w:rsid w:val="004438B5"/>
    <w:rsid w:val="00443D9E"/>
    <w:rsid w:val="00444B04"/>
    <w:rsid w:val="00444F9E"/>
    <w:rsid w:val="0044524E"/>
    <w:rsid w:val="00445302"/>
    <w:rsid w:val="00445F0B"/>
    <w:rsid w:val="00446D9B"/>
    <w:rsid w:val="00447037"/>
    <w:rsid w:val="004471FF"/>
    <w:rsid w:val="00447762"/>
    <w:rsid w:val="0044794E"/>
    <w:rsid w:val="00447C74"/>
    <w:rsid w:val="00447E52"/>
    <w:rsid w:val="00450041"/>
    <w:rsid w:val="004502A2"/>
    <w:rsid w:val="004503FC"/>
    <w:rsid w:val="00450643"/>
    <w:rsid w:val="0045097E"/>
    <w:rsid w:val="00450DCC"/>
    <w:rsid w:val="00450E6D"/>
    <w:rsid w:val="00450FFE"/>
    <w:rsid w:val="0045124D"/>
    <w:rsid w:val="0045160D"/>
    <w:rsid w:val="004518F9"/>
    <w:rsid w:val="00451EDE"/>
    <w:rsid w:val="0045211A"/>
    <w:rsid w:val="004521A1"/>
    <w:rsid w:val="00452901"/>
    <w:rsid w:val="004534D7"/>
    <w:rsid w:val="004542E5"/>
    <w:rsid w:val="00454596"/>
    <w:rsid w:val="00454877"/>
    <w:rsid w:val="004551E7"/>
    <w:rsid w:val="004555EC"/>
    <w:rsid w:val="0045598D"/>
    <w:rsid w:val="00455A05"/>
    <w:rsid w:val="00455D60"/>
    <w:rsid w:val="00455E70"/>
    <w:rsid w:val="00455E7F"/>
    <w:rsid w:val="0045604F"/>
    <w:rsid w:val="0045605D"/>
    <w:rsid w:val="004567ED"/>
    <w:rsid w:val="00457502"/>
    <w:rsid w:val="00457766"/>
    <w:rsid w:val="0045799F"/>
    <w:rsid w:val="00457A4D"/>
    <w:rsid w:val="00457C5C"/>
    <w:rsid w:val="00457EAA"/>
    <w:rsid w:val="00457F04"/>
    <w:rsid w:val="004602C5"/>
    <w:rsid w:val="0046088C"/>
    <w:rsid w:val="0046135B"/>
    <w:rsid w:val="0046168D"/>
    <w:rsid w:val="00461BD6"/>
    <w:rsid w:val="00461D47"/>
    <w:rsid w:val="00461D92"/>
    <w:rsid w:val="00461ED8"/>
    <w:rsid w:val="004624AA"/>
    <w:rsid w:val="004629B4"/>
    <w:rsid w:val="00463A65"/>
    <w:rsid w:val="00463F04"/>
    <w:rsid w:val="004646DB"/>
    <w:rsid w:val="004651B1"/>
    <w:rsid w:val="00465574"/>
    <w:rsid w:val="004659C4"/>
    <w:rsid w:val="00466184"/>
    <w:rsid w:val="0046660F"/>
    <w:rsid w:val="00466A9E"/>
    <w:rsid w:val="00466DDA"/>
    <w:rsid w:val="00466E9A"/>
    <w:rsid w:val="004673D3"/>
    <w:rsid w:val="00467507"/>
    <w:rsid w:val="00467651"/>
    <w:rsid w:val="00467AAA"/>
    <w:rsid w:val="00467DB8"/>
    <w:rsid w:val="004700C5"/>
    <w:rsid w:val="00470792"/>
    <w:rsid w:val="004714A2"/>
    <w:rsid w:val="00471595"/>
    <w:rsid w:val="004718CC"/>
    <w:rsid w:val="00472F67"/>
    <w:rsid w:val="004732CE"/>
    <w:rsid w:val="00473475"/>
    <w:rsid w:val="0047383B"/>
    <w:rsid w:val="00473991"/>
    <w:rsid w:val="00473B52"/>
    <w:rsid w:val="00473F85"/>
    <w:rsid w:val="0047410E"/>
    <w:rsid w:val="0047459A"/>
    <w:rsid w:val="004746FE"/>
    <w:rsid w:val="00474A22"/>
    <w:rsid w:val="00474A73"/>
    <w:rsid w:val="0047508A"/>
    <w:rsid w:val="0047527A"/>
    <w:rsid w:val="004754EF"/>
    <w:rsid w:val="00475875"/>
    <w:rsid w:val="00475ADB"/>
    <w:rsid w:val="00476411"/>
    <w:rsid w:val="0047696E"/>
    <w:rsid w:val="0047698B"/>
    <w:rsid w:val="00476DB9"/>
    <w:rsid w:val="00477123"/>
    <w:rsid w:val="00477154"/>
    <w:rsid w:val="00480A08"/>
    <w:rsid w:val="00481187"/>
    <w:rsid w:val="00481695"/>
    <w:rsid w:val="00481BE5"/>
    <w:rsid w:val="00482158"/>
    <w:rsid w:val="00482B64"/>
    <w:rsid w:val="00482C0E"/>
    <w:rsid w:val="00482C23"/>
    <w:rsid w:val="004834FC"/>
    <w:rsid w:val="00483883"/>
    <w:rsid w:val="00483DC5"/>
    <w:rsid w:val="00483E07"/>
    <w:rsid w:val="00483F4A"/>
    <w:rsid w:val="00485287"/>
    <w:rsid w:val="0048534A"/>
    <w:rsid w:val="00485CBC"/>
    <w:rsid w:val="004860E8"/>
    <w:rsid w:val="0048634F"/>
    <w:rsid w:val="004869C3"/>
    <w:rsid w:val="00486DA2"/>
    <w:rsid w:val="00486FD3"/>
    <w:rsid w:val="004871BD"/>
    <w:rsid w:val="00487258"/>
    <w:rsid w:val="0048737F"/>
    <w:rsid w:val="004878C5"/>
    <w:rsid w:val="0049086C"/>
    <w:rsid w:val="00490C3B"/>
    <w:rsid w:val="004912DC"/>
    <w:rsid w:val="0049198C"/>
    <w:rsid w:val="004919C5"/>
    <w:rsid w:val="00491C9C"/>
    <w:rsid w:val="00491DC5"/>
    <w:rsid w:val="004924F3"/>
    <w:rsid w:val="0049287B"/>
    <w:rsid w:val="004929F9"/>
    <w:rsid w:val="00492D9F"/>
    <w:rsid w:val="00493062"/>
    <w:rsid w:val="00493441"/>
    <w:rsid w:val="00493811"/>
    <w:rsid w:val="00493B5D"/>
    <w:rsid w:val="00493E2E"/>
    <w:rsid w:val="0049480D"/>
    <w:rsid w:val="00494BB9"/>
    <w:rsid w:val="0049500A"/>
    <w:rsid w:val="00495210"/>
    <w:rsid w:val="004952AE"/>
    <w:rsid w:val="00495390"/>
    <w:rsid w:val="00495639"/>
    <w:rsid w:val="004959E5"/>
    <w:rsid w:val="00495A96"/>
    <w:rsid w:val="00495AEC"/>
    <w:rsid w:val="00495BB3"/>
    <w:rsid w:val="00495BFE"/>
    <w:rsid w:val="00495FCA"/>
    <w:rsid w:val="00496338"/>
    <w:rsid w:val="00496766"/>
    <w:rsid w:val="00496BAE"/>
    <w:rsid w:val="00497051"/>
    <w:rsid w:val="00497349"/>
    <w:rsid w:val="004978DD"/>
    <w:rsid w:val="00497A4A"/>
    <w:rsid w:val="00497F93"/>
    <w:rsid w:val="004A053F"/>
    <w:rsid w:val="004A0728"/>
    <w:rsid w:val="004A0A10"/>
    <w:rsid w:val="004A0BF8"/>
    <w:rsid w:val="004A0EC1"/>
    <w:rsid w:val="004A0F9E"/>
    <w:rsid w:val="004A12E3"/>
    <w:rsid w:val="004A1597"/>
    <w:rsid w:val="004A15B9"/>
    <w:rsid w:val="004A1659"/>
    <w:rsid w:val="004A18AB"/>
    <w:rsid w:val="004A21ED"/>
    <w:rsid w:val="004A23F6"/>
    <w:rsid w:val="004A29EC"/>
    <w:rsid w:val="004A2BF5"/>
    <w:rsid w:val="004A2F78"/>
    <w:rsid w:val="004A2F93"/>
    <w:rsid w:val="004A3036"/>
    <w:rsid w:val="004A36BB"/>
    <w:rsid w:val="004A4153"/>
    <w:rsid w:val="004A49FD"/>
    <w:rsid w:val="004A4E4E"/>
    <w:rsid w:val="004A4E78"/>
    <w:rsid w:val="004A4FF8"/>
    <w:rsid w:val="004A50A3"/>
    <w:rsid w:val="004A56BB"/>
    <w:rsid w:val="004A5862"/>
    <w:rsid w:val="004A5A1E"/>
    <w:rsid w:val="004A5E00"/>
    <w:rsid w:val="004A5FDD"/>
    <w:rsid w:val="004A6929"/>
    <w:rsid w:val="004A6CDE"/>
    <w:rsid w:val="004A6E4C"/>
    <w:rsid w:val="004A6EBD"/>
    <w:rsid w:val="004A6EEF"/>
    <w:rsid w:val="004B02AD"/>
    <w:rsid w:val="004B065E"/>
    <w:rsid w:val="004B0F1D"/>
    <w:rsid w:val="004B0F73"/>
    <w:rsid w:val="004B1052"/>
    <w:rsid w:val="004B1751"/>
    <w:rsid w:val="004B1DFC"/>
    <w:rsid w:val="004B1FC5"/>
    <w:rsid w:val="004B214B"/>
    <w:rsid w:val="004B3010"/>
    <w:rsid w:val="004B3099"/>
    <w:rsid w:val="004B334B"/>
    <w:rsid w:val="004B35BB"/>
    <w:rsid w:val="004B37A3"/>
    <w:rsid w:val="004B393F"/>
    <w:rsid w:val="004B3B8D"/>
    <w:rsid w:val="004B3E09"/>
    <w:rsid w:val="004B446D"/>
    <w:rsid w:val="004B448A"/>
    <w:rsid w:val="004B4993"/>
    <w:rsid w:val="004B5029"/>
    <w:rsid w:val="004B516D"/>
    <w:rsid w:val="004B519E"/>
    <w:rsid w:val="004B51A0"/>
    <w:rsid w:val="004B54E9"/>
    <w:rsid w:val="004B5603"/>
    <w:rsid w:val="004B56FD"/>
    <w:rsid w:val="004B6295"/>
    <w:rsid w:val="004B64B7"/>
    <w:rsid w:val="004B65A9"/>
    <w:rsid w:val="004B71C9"/>
    <w:rsid w:val="004B71E8"/>
    <w:rsid w:val="004B72C3"/>
    <w:rsid w:val="004B7531"/>
    <w:rsid w:val="004B75C7"/>
    <w:rsid w:val="004B79C2"/>
    <w:rsid w:val="004C0225"/>
    <w:rsid w:val="004C0253"/>
    <w:rsid w:val="004C03AD"/>
    <w:rsid w:val="004C05E2"/>
    <w:rsid w:val="004C0AFC"/>
    <w:rsid w:val="004C0CF8"/>
    <w:rsid w:val="004C110B"/>
    <w:rsid w:val="004C1638"/>
    <w:rsid w:val="004C180A"/>
    <w:rsid w:val="004C1B53"/>
    <w:rsid w:val="004C22D2"/>
    <w:rsid w:val="004C23E1"/>
    <w:rsid w:val="004C283C"/>
    <w:rsid w:val="004C2A8B"/>
    <w:rsid w:val="004C2AB9"/>
    <w:rsid w:val="004C2B05"/>
    <w:rsid w:val="004C2D31"/>
    <w:rsid w:val="004C3210"/>
    <w:rsid w:val="004C336E"/>
    <w:rsid w:val="004C386A"/>
    <w:rsid w:val="004C3EDC"/>
    <w:rsid w:val="004C3FE3"/>
    <w:rsid w:val="004C4046"/>
    <w:rsid w:val="004C4A36"/>
    <w:rsid w:val="004C4F33"/>
    <w:rsid w:val="004C506A"/>
    <w:rsid w:val="004C5C77"/>
    <w:rsid w:val="004C6570"/>
    <w:rsid w:val="004C73EF"/>
    <w:rsid w:val="004C7505"/>
    <w:rsid w:val="004C765C"/>
    <w:rsid w:val="004C7C15"/>
    <w:rsid w:val="004C7E04"/>
    <w:rsid w:val="004D0737"/>
    <w:rsid w:val="004D08DB"/>
    <w:rsid w:val="004D0DA5"/>
    <w:rsid w:val="004D0E46"/>
    <w:rsid w:val="004D0ED5"/>
    <w:rsid w:val="004D0F4E"/>
    <w:rsid w:val="004D1A17"/>
    <w:rsid w:val="004D23E6"/>
    <w:rsid w:val="004D2936"/>
    <w:rsid w:val="004D2D68"/>
    <w:rsid w:val="004D3133"/>
    <w:rsid w:val="004D3396"/>
    <w:rsid w:val="004D36F4"/>
    <w:rsid w:val="004D4BF1"/>
    <w:rsid w:val="004D4F46"/>
    <w:rsid w:val="004D56FF"/>
    <w:rsid w:val="004D61EB"/>
    <w:rsid w:val="004D65BE"/>
    <w:rsid w:val="004D65E4"/>
    <w:rsid w:val="004D6B6B"/>
    <w:rsid w:val="004D6E6C"/>
    <w:rsid w:val="004D6FB7"/>
    <w:rsid w:val="004D7341"/>
    <w:rsid w:val="004D76D9"/>
    <w:rsid w:val="004D7A79"/>
    <w:rsid w:val="004E03E6"/>
    <w:rsid w:val="004E0ABA"/>
    <w:rsid w:val="004E10B8"/>
    <w:rsid w:val="004E2B83"/>
    <w:rsid w:val="004E2BFF"/>
    <w:rsid w:val="004E2D53"/>
    <w:rsid w:val="004E3397"/>
    <w:rsid w:val="004E39D3"/>
    <w:rsid w:val="004E3E5F"/>
    <w:rsid w:val="004E3FFB"/>
    <w:rsid w:val="004E46B1"/>
    <w:rsid w:val="004E4739"/>
    <w:rsid w:val="004E48D7"/>
    <w:rsid w:val="004E4DF6"/>
    <w:rsid w:val="004E508A"/>
    <w:rsid w:val="004E51C6"/>
    <w:rsid w:val="004E58D9"/>
    <w:rsid w:val="004E59BE"/>
    <w:rsid w:val="004E616D"/>
    <w:rsid w:val="004E64E0"/>
    <w:rsid w:val="004E66A1"/>
    <w:rsid w:val="004E6C77"/>
    <w:rsid w:val="004E7CB9"/>
    <w:rsid w:val="004F00F6"/>
    <w:rsid w:val="004F0107"/>
    <w:rsid w:val="004F030C"/>
    <w:rsid w:val="004F0511"/>
    <w:rsid w:val="004F0826"/>
    <w:rsid w:val="004F1353"/>
    <w:rsid w:val="004F1842"/>
    <w:rsid w:val="004F1BDE"/>
    <w:rsid w:val="004F1F06"/>
    <w:rsid w:val="004F2763"/>
    <w:rsid w:val="004F2CEE"/>
    <w:rsid w:val="004F3663"/>
    <w:rsid w:val="004F3A19"/>
    <w:rsid w:val="004F3B1F"/>
    <w:rsid w:val="004F3D3C"/>
    <w:rsid w:val="004F3F62"/>
    <w:rsid w:val="004F476E"/>
    <w:rsid w:val="004F48A6"/>
    <w:rsid w:val="004F4A6F"/>
    <w:rsid w:val="004F4D40"/>
    <w:rsid w:val="004F50C4"/>
    <w:rsid w:val="004F51BB"/>
    <w:rsid w:val="004F51FA"/>
    <w:rsid w:val="004F52E7"/>
    <w:rsid w:val="004F556E"/>
    <w:rsid w:val="004F591C"/>
    <w:rsid w:val="004F5923"/>
    <w:rsid w:val="004F595C"/>
    <w:rsid w:val="004F5E5F"/>
    <w:rsid w:val="004F60E4"/>
    <w:rsid w:val="004F6AEE"/>
    <w:rsid w:val="004F6DDC"/>
    <w:rsid w:val="004F7277"/>
    <w:rsid w:val="004F74D5"/>
    <w:rsid w:val="004F7A4E"/>
    <w:rsid w:val="004F7F44"/>
    <w:rsid w:val="00500299"/>
    <w:rsid w:val="0050035E"/>
    <w:rsid w:val="00500964"/>
    <w:rsid w:val="00500D12"/>
    <w:rsid w:val="00500F2E"/>
    <w:rsid w:val="00501215"/>
    <w:rsid w:val="005012D4"/>
    <w:rsid w:val="00501624"/>
    <w:rsid w:val="0050169B"/>
    <w:rsid w:val="00501947"/>
    <w:rsid w:val="00501BC1"/>
    <w:rsid w:val="00502797"/>
    <w:rsid w:val="005027FF"/>
    <w:rsid w:val="0050301C"/>
    <w:rsid w:val="005032D8"/>
    <w:rsid w:val="0050338D"/>
    <w:rsid w:val="005037B4"/>
    <w:rsid w:val="00503E21"/>
    <w:rsid w:val="00504281"/>
    <w:rsid w:val="005047B5"/>
    <w:rsid w:val="0050528B"/>
    <w:rsid w:val="00506EFA"/>
    <w:rsid w:val="005078A4"/>
    <w:rsid w:val="005079BF"/>
    <w:rsid w:val="005103C7"/>
    <w:rsid w:val="005110C2"/>
    <w:rsid w:val="00511801"/>
    <w:rsid w:val="00512009"/>
    <w:rsid w:val="0051233A"/>
    <w:rsid w:val="0051269A"/>
    <w:rsid w:val="00512E30"/>
    <w:rsid w:val="005134C5"/>
    <w:rsid w:val="005135A3"/>
    <w:rsid w:val="00513DE0"/>
    <w:rsid w:val="00513E96"/>
    <w:rsid w:val="0051523E"/>
    <w:rsid w:val="00515533"/>
    <w:rsid w:val="00515878"/>
    <w:rsid w:val="0051589F"/>
    <w:rsid w:val="00515ACB"/>
    <w:rsid w:val="00515AE6"/>
    <w:rsid w:val="00515C93"/>
    <w:rsid w:val="00515EC0"/>
    <w:rsid w:val="00516237"/>
    <w:rsid w:val="00516EAC"/>
    <w:rsid w:val="00517E82"/>
    <w:rsid w:val="0052019B"/>
    <w:rsid w:val="00520E51"/>
    <w:rsid w:val="005218A1"/>
    <w:rsid w:val="005219A3"/>
    <w:rsid w:val="005219E7"/>
    <w:rsid w:val="00522D84"/>
    <w:rsid w:val="00523341"/>
    <w:rsid w:val="005234FD"/>
    <w:rsid w:val="00523791"/>
    <w:rsid w:val="0052380D"/>
    <w:rsid w:val="00523AA1"/>
    <w:rsid w:val="00523C81"/>
    <w:rsid w:val="005244A5"/>
    <w:rsid w:val="0052504D"/>
    <w:rsid w:val="005255AE"/>
    <w:rsid w:val="0052650D"/>
    <w:rsid w:val="00526EA5"/>
    <w:rsid w:val="00526F1E"/>
    <w:rsid w:val="005270FE"/>
    <w:rsid w:val="005274D2"/>
    <w:rsid w:val="00527787"/>
    <w:rsid w:val="00527DE1"/>
    <w:rsid w:val="00527E06"/>
    <w:rsid w:val="00527EC6"/>
    <w:rsid w:val="00527F5E"/>
    <w:rsid w:val="00527F68"/>
    <w:rsid w:val="0053070A"/>
    <w:rsid w:val="00530731"/>
    <w:rsid w:val="00530A2E"/>
    <w:rsid w:val="0053110A"/>
    <w:rsid w:val="0053110F"/>
    <w:rsid w:val="0053149E"/>
    <w:rsid w:val="005315A6"/>
    <w:rsid w:val="0053178C"/>
    <w:rsid w:val="00531947"/>
    <w:rsid w:val="005319A0"/>
    <w:rsid w:val="005319E7"/>
    <w:rsid w:val="00531AE0"/>
    <w:rsid w:val="00531B9A"/>
    <w:rsid w:val="00531CF7"/>
    <w:rsid w:val="00531D15"/>
    <w:rsid w:val="00531E5D"/>
    <w:rsid w:val="0053231D"/>
    <w:rsid w:val="00532F65"/>
    <w:rsid w:val="0053302C"/>
    <w:rsid w:val="005331DB"/>
    <w:rsid w:val="00533216"/>
    <w:rsid w:val="005332BB"/>
    <w:rsid w:val="005338F9"/>
    <w:rsid w:val="00533ABB"/>
    <w:rsid w:val="00533DCD"/>
    <w:rsid w:val="00534720"/>
    <w:rsid w:val="005348E4"/>
    <w:rsid w:val="00534C7D"/>
    <w:rsid w:val="005351C1"/>
    <w:rsid w:val="00535224"/>
    <w:rsid w:val="005356A3"/>
    <w:rsid w:val="00535AA9"/>
    <w:rsid w:val="00535B51"/>
    <w:rsid w:val="00535B5D"/>
    <w:rsid w:val="00536827"/>
    <w:rsid w:val="0053705F"/>
    <w:rsid w:val="00537604"/>
    <w:rsid w:val="0053771D"/>
    <w:rsid w:val="0053795B"/>
    <w:rsid w:val="00537FCA"/>
    <w:rsid w:val="00540324"/>
    <w:rsid w:val="00540EFB"/>
    <w:rsid w:val="00541947"/>
    <w:rsid w:val="00542175"/>
    <w:rsid w:val="00542377"/>
    <w:rsid w:val="005423CD"/>
    <w:rsid w:val="005428EA"/>
    <w:rsid w:val="005429FE"/>
    <w:rsid w:val="00542CBA"/>
    <w:rsid w:val="00542D4C"/>
    <w:rsid w:val="0054358A"/>
    <w:rsid w:val="005435F9"/>
    <w:rsid w:val="00543919"/>
    <w:rsid w:val="00543ED7"/>
    <w:rsid w:val="0054421A"/>
    <w:rsid w:val="00544373"/>
    <w:rsid w:val="00544E93"/>
    <w:rsid w:val="00545114"/>
    <w:rsid w:val="0054532C"/>
    <w:rsid w:val="005455E1"/>
    <w:rsid w:val="00545902"/>
    <w:rsid w:val="00545D9E"/>
    <w:rsid w:val="00545DF8"/>
    <w:rsid w:val="00545E0B"/>
    <w:rsid w:val="005460FB"/>
    <w:rsid w:val="005467AD"/>
    <w:rsid w:val="00546A56"/>
    <w:rsid w:val="00547324"/>
    <w:rsid w:val="00547560"/>
    <w:rsid w:val="005476EB"/>
    <w:rsid w:val="005479B8"/>
    <w:rsid w:val="005500AB"/>
    <w:rsid w:val="0055018B"/>
    <w:rsid w:val="00551105"/>
    <w:rsid w:val="005514D8"/>
    <w:rsid w:val="00551782"/>
    <w:rsid w:val="00551873"/>
    <w:rsid w:val="00552A41"/>
    <w:rsid w:val="00552B68"/>
    <w:rsid w:val="00553E6A"/>
    <w:rsid w:val="005540A2"/>
    <w:rsid w:val="00554165"/>
    <w:rsid w:val="00554698"/>
    <w:rsid w:val="00554E86"/>
    <w:rsid w:val="00555117"/>
    <w:rsid w:val="005555D3"/>
    <w:rsid w:val="00555F8C"/>
    <w:rsid w:val="00556EE5"/>
    <w:rsid w:val="00557853"/>
    <w:rsid w:val="005579F1"/>
    <w:rsid w:val="00557D3A"/>
    <w:rsid w:val="00557F77"/>
    <w:rsid w:val="00560597"/>
    <w:rsid w:val="005605BB"/>
    <w:rsid w:val="005608A9"/>
    <w:rsid w:val="00560F03"/>
    <w:rsid w:val="00561515"/>
    <w:rsid w:val="00561BBD"/>
    <w:rsid w:val="00561CF6"/>
    <w:rsid w:val="00561D76"/>
    <w:rsid w:val="00561FEC"/>
    <w:rsid w:val="00562078"/>
    <w:rsid w:val="00562562"/>
    <w:rsid w:val="005629C8"/>
    <w:rsid w:val="00562CD5"/>
    <w:rsid w:val="005630C4"/>
    <w:rsid w:val="005631DB"/>
    <w:rsid w:val="00563246"/>
    <w:rsid w:val="0056373A"/>
    <w:rsid w:val="00563955"/>
    <w:rsid w:val="00563AC8"/>
    <w:rsid w:val="00563EF1"/>
    <w:rsid w:val="00563EF9"/>
    <w:rsid w:val="0056454C"/>
    <w:rsid w:val="00564F70"/>
    <w:rsid w:val="00565137"/>
    <w:rsid w:val="005654DC"/>
    <w:rsid w:val="00566897"/>
    <w:rsid w:val="00566AB4"/>
    <w:rsid w:val="00566C7E"/>
    <w:rsid w:val="0056784A"/>
    <w:rsid w:val="00567BD1"/>
    <w:rsid w:val="00567FAB"/>
    <w:rsid w:val="00570220"/>
    <w:rsid w:val="0057039D"/>
    <w:rsid w:val="005716DE"/>
    <w:rsid w:val="00571BC2"/>
    <w:rsid w:val="005725C6"/>
    <w:rsid w:val="00572615"/>
    <w:rsid w:val="0057302D"/>
    <w:rsid w:val="005732B0"/>
    <w:rsid w:val="005735C7"/>
    <w:rsid w:val="005735FC"/>
    <w:rsid w:val="005737ED"/>
    <w:rsid w:val="00574860"/>
    <w:rsid w:val="00575163"/>
    <w:rsid w:val="00575398"/>
    <w:rsid w:val="0057542F"/>
    <w:rsid w:val="005759E7"/>
    <w:rsid w:val="00575AC5"/>
    <w:rsid w:val="00575BE0"/>
    <w:rsid w:val="00575C13"/>
    <w:rsid w:val="0057605D"/>
    <w:rsid w:val="00576859"/>
    <w:rsid w:val="005770AF"/>
    <w:rsid w:val="005770DA"/>
    <w:rsid w:val="0057772C"/>
    <w:rsid w:val="00577C8A"/>
    <w:rsid w:val="005805A6"/>
    <w:rsid w:val="0058077F"/>
    <w:rsid w:val="00580796"/>
    <w:rsid w:val="00580FBF"/>
    <w:rsid w:val="005811D3"/>
    <w:rsid w:val="00581347"/>
    <w:rsid w:val="0058182C"/>
    <w:rsid w:val="00581A5B"/>
    <w:rsid w:val="00581AC9"/>
    <w:rsid w:val="00581CBA"/>
    <w:rsid w:val="00583363"/>
    <w:rsid w:val="00583DF2"/>
    <w:rsid w:val="00583FEF"/>
    <w:rsid w:val="005849F8"/>
    <w:rsid w:val="00584ED5"/>
    <w:rsid w:val="0058537D"/>
    <w:rsid w:val="00585DA3"/>
    <w:rsid w:val="00585DB1"/>
    <w:rsid w:val="00585FB9"/>
    <w:rsid w:val="0058653F"/>
    <w:rsid w:val="00586644"/>
    <w:rsid w:val="00586ACB"/>
    <w:rsid w:val="0058733B"/>
    <w:rsid w:val="00587458"/>
    <w:rsid w:val="005874BA"/>
    <w:rsid w:val="00590573"/>
    <w:rsid w:val="00590886"/>
    <w:rsid w:val="00590BC6"/>
    <w:rsid w:val="00590EB5"/>
    <w:rsid w:val="005910F5"/>
    <w:rsid w:val="0059149F"/>
    <w:rsid w:val="00592C2D"/>
    <w:rsid w:val="00592F64"/>
    <w:rsid w:val="0059314C"/>
    <w:rsid w:val="005932F3"/>
    <w:rsid w:val="0059341B"/>
    <w:rsid w:val="005934EF"/>
    <w:rsid w:val="005938DF"/>
    <w:rsid w:val="00593ECC"/>
    <w:rsid w:val="00594674"/>
    <w:rsid w:val="00594766"/>
    <w:rsid w:val="00594855"/>
    <w:rsid w:val="00594E79"/>
    <w:rsid w:val="00594E9C"/>
    <w:rsid w:val="005952FE"/>
    <w:rsid w:val="005954B5"/>
    <w:rsid w:val="00595874"/>
    <w:rsid w:val="00595C33"/>
    <w:rsid w:val="00595C7D"/>
    <w:rsid w:val="00595D76"/>
    <w:rsid w:val="00596209"/>
    <w:rsid w:val="005962BE"/>
    <w:rsid w:val="00596487"/>
    <w:rsid w:val="00596594"/>
    <w:rsid w:val="005968EC"/>
    <w:rsid w:val="00596931"/>
    <w:rsid w:val="00596E84"/>
    <w:rsid w:val="005975E4"/>
    <w:rsid w:val="00597B49"/>
    <w:rsid w:val="005A099B"/>
    <w:rsid w:val="005A09C8"/>
    <w:rsid w:val="005A0BC5"/>
    <w:rsid w:val="005A0BCE"/>
    <w:rsid w:val="005A10E6"/>
    <w:rsid w:val="005A123C"/>
    <w:rsid w:val="005A1283"/>
    <w:rsid w:val="005A128D"/>
    <w:rsid w:val="005A15C2"/>
    <w:rsid w:val="005A1939"/>
    <w:rsid w:val="005A199F"/>
    <w:rsid w:val="005A19C7"/>
    <w:rsid w:val="005A2067"/>
    <w:rsid w:val="005A2C0D"/>
    <w:rsid w:val="005A2CE2"/>
    <w:rsid w:val="005A2D0B"/>
    <w:rsid w:val="005A2D9C"/>
    <w:rsid w:val="005A322C"/>
    <w:rsid w:val="005A3409"/>
    <w:rsid w:val="005A3620"/>
    <w:rsid w:val="005A3A19"/>
    <w:rsid w:val="005A4939"/>
    <w:rsid w:val="005A4D59"/>
    <w:rsid w:val="005A4DAE"/>
    <w:rsid w:val="005A55FE"/>
    <w:rsid w:val="005A58BB"/>
    <w:rsid w:val="005A649D"/>
    <w:rsid w:val="005A67D7"/>
    <w:rsid w:val="005A6A11"/>
    <w:rsid w:val="005A6AC4"/>
    <w:rsid w:val="005A6ACF"/>
    <w:rsid w:val="005A6B90"/>
    <w:rsid w:val="005A6EAB"/>
    <w:rsid w:val="005A77B8"/>
    <w:rsid w:val="005A79E4"/>
    <w:rsid w:val="005A7B76"/>
    <w:rsid w:val="005B009C"/>
    <w:rsid w:val="005B0403"/>
    <w:rsid w:val="005B0DCF"/>
    <w:rsid w:val="005B0E99"/>
    <w:rsid w:val="005B169C"/>
    <w:rsid w:val="005B1F89"/>
    <w:rsid w:val="005B218E"/>
    <w:rsid w:val="005B254C"/>
    <w:rsid w:val="005B2A6D"/>
    <w:rsid w:val="005B2ED3"/>
    <w:rsid w:val="005B347B"/>
    <w:rsid w:val="005B359B"/>
    <w:rsid w:val="005B397B"/>
    <w:rsid w:val="005B3CE3"/>
    <w:rsid w:val="005B3CF7"/>
    <w:rsid w:val="005B419F"/>
    <w:rsid w:val="005B4710"/>
    <w:rsid w:val="005B4845"/>
    <w:rsid w:val="005B4B88"/>
    <w:rsid w:val="005B4BF4"/>
    <w:rsid w:val="005B4DD1"/>
    <w:rsid w:val="005B4E5F"/>
    <w:rsid w:val="005B4F0F"/>
    <w:rsid w:val="005B52CC"/>
    <w:rsid w:val="005B5334"/>
    <w:rsid w:val="005B5690"/>
    <w:rsid w:val="005B57C4"/>
    <w:rsid w:val="005B64B6"/>
    <w:rsid w:val="005B6BF0"/>
    <w:rsid w:val="005B7455"/>
    <w:rsid w:val="005B7C2B"/>
    <w:rsid w:val="005C04DA"/>
    <w:rsid w:val="005C09C8"/>
    <w:rsid w:val="005C0D56"/>
    <w:rsid w:val="005C14E8"/>
    <w:rsid w:val="005C1691"/>
    <w:rsid w:val="005C188F"/>
    <w:rsid w:val="005C2026"/>
    <w:rsid w:val="005C3347"/>
    <w:rsid w:val="005C3429"/>
    <w:rsid w:val="005C363F"/>
    <w:rsid w:val="005C4002"/>
    <w:rsid w:val="005C4341"/>
    <w:rsid w:val="005C4545"/>
    <w:rsid w:val="005C4A64"/>
    <w:rsid w:val="005C4D86"/>
    <w:rsid w:val="005C5242"/>
    <w:rsid w:val="005C588A"/>
    <w:rsid w:val="005C5CE1"/>
    <w:rsid w:val="005C5E04"/>
    <w:rsid w:val="005C6303"/>
    <w:rsid w:val="005C646B"/>
    <w:rsid w:val="005C6890"/>
    <w:rsid w:val="005C69D4"/>
    <w:rsid w:val="005C6E0F"/>
    <w:rsid w:val="005C7720"/>
    <w:rsid w:val="005C7BDE"/>
    <w:rsid w:val="005C7DDB"/>
    <w:rsid w:val="005D00A1"/>
    <w:rsid w:val="005D0274"/>
    <w:rsid w:val="005D02D5"/>
    <w:rsid w:val="005D0424"/>
    <w:rsid w:val="005D055C"/>
    <w:rsid w:val="005D06D9"/>
    <w:rsid w:val="005D161D"/>
    <w:rsid w:val="005D1745"/>
    <w:rsid w:val="005D1819"/>
    <w:rsid w:val="005D1833"/>
    <w:rsid w:val="005D212B"/>
    <w:rsid w:val="005D2191"/>
    <w:rsid w:val="005D2502"/>
    <w:rsid w:val="005D29BD"/>
    <w:rsid w:val="005D2B43"/>
    <w:rsid w:val="005D2EE9"/>
    <w:rsid w:val="005D3500"/>
    <w:rsid w:val="005D3B4A"/>
    <w:rsid w:val="005D40BB"/>
    <w:rsid w:val="005D45F8"/>
    <w:rsid w:val="005D47C2"/>
    <w:rsid w:val="005D47F3"/>
    <w:rsid w:val="005D49BF"/>
    <w:rsid w:val="005D4A25"/>
    <w:rsid w:val="005D4AA5"/>
    <w:rsid w:val="005D530F"/>
    <w:rsid w:val="005D554E"/>
    <w:rsid w:val="005D5C36"/>
    <w:rsid w:val="005D5C5B"/>
    <w:rsid w:val="005D5E78"/>
    <w:rsid w:val="005D6250"/>
    <w:rsid w:val="005D62AC"/>
    <w:rsid w:val="005D6A73"/>
    <w:rsid w:val="005D6EF8"/>
    <w:rsid w:val="005D6F4E"/>
    <w:rsid w:val="005D78F5"/>
    <w:rsid w:val="005D7C73"/>
    <w:rsid w:val="005D7E27"/>
    <w:rsid w:val="005E045F"/>
    <w:rsid w:val="005E1451"/>
    <w:rsid w:val="005E14A6"/>
    <w:rsid w:val="005E1578"/>
    <w:rsid w:val="005E1AFF"/>
    <w:rsid w:val="005E257E"/>
    <w:rsid w:val="005E26CF"/>
    <w:rsid w:val="005E2F04"/>
    <w:rsid w:val="005E2F24"/>
    <w:rsid w:val="005E398B"/>
    <w:rsid w:val="005E39B2"/>
    <w:rsid w:val="005E3ACD"/>
    <w:rsid w:val="005E3D56"/>
    <w:rsid w:val="005E4559"/>
    <w:rsid w:val="005E5905"/>
    <w:rsid w:val="005E5A71"/>
    <w:rsid w:val="005E5F10"/>
    <w:rsid w:val="005E6B3C"/>
    <w:rsid w:val="005E7226"/>
    <w:rsid w:val="005E75FE"/>
    <w:rsid w:val="005E7A57"/>
    <w:rsid w:val="005F0005"/>
    <w:rsid w:val="005F030B"/>
    <w:rsid w:val="005F12F8"/>
    <w:rsid w:val="005F18BE"/>
    <w:rsid w:val="005F1ECE"/>
    <w:rsid w:val="005F2001"/>
    <w:rsid w:val="005F24B0"/>
    <w:rsid w:val="005F25BB"/>
    <w:rsid w:val="005F27D7"/>
    <w:rsid w:val="005F2D55"/>
    <w:rsid w:val="005F2DB5"/>
    <w:rsid w:val="005F3D42"/>
    <w:rsid w:val="005F3D9F"/>
    <w:rsid w:val="005F4236"/>
    <w:rsid w:val="005F4566"/>
    <w:rsid w:val="005F4C3E"/>
    <w:rsid w:val="005F4DD6"/>
    <w:rsid w:val="005F5045"/>
    <w:rsid w:val="005F533C"/>
    <w:rsid w:val="005F561E"/>
    <w:rsid w:val="005F569A"/>
    <w:rsid w:val="005F5BD7"/>
    <w:rsid w:val="005F607D"/>
    <w:rsid w:val="005F669A"/>
    <w:rsid w:val="005F6C41"/>
    <w:rsid w:val="005F6CAB"/>
    <w:rsid w:val="005F7321"/>
    <w:rsid w:val="005F7D28"/>
    <w:rsid w:val="005F7D98"/>
    <w:rsid w:val="00600239"/>
    <w:rsid w:val="00600431"/>
    <w:rsid w:val="00600432"/>
    <w:rsid w:val="00601133"/>
    <w:rsid w:val="00601162"/>
    <w:rsid w:val="006016D8"/>
    <w:rsid w:val="00601B91"/>
    <w:rsid w:val="006024CB"/>
    <w:rsid w:val="0060260E"/>
    <w:rsid w:val="0060293D"/>
    <w:rsid w:val="00602EAF"/>
    <w:rsid w:val="006030FE"/>
    <w:rsid w:val="006038C6"/>
    <w:rsid w:val="00603CC4"/>
    <w:rsid w:val="00603FB5"/>
    <w:rsid w:val="00604269"/>
    <w:rsid w:val="00604315"/>
    <w:rsid w:val="0060463F"/>
    <w:rsid w:val="00604E26"/>
    <w:rsid w:val="00604FA2"/>
    <w:rsid w:val="00604FFC"/>
    <w:rsid w:val="006050A5"/>
    <w:rsid w:val="006052CF"/>
    <w:rsid w:val="00605919"/>
    <w:rsid w:val="006059F6"/>
    <w:rsid w:val="00605B89"/>
    <w:rsid w:val="00605CA9"/>
    <w:rsid w:val="0060700B"/>
    <w:rsid w:val="0060720E"/>
    <w:rsid w:val="00607236"/>
    <w:rsid w:val="0060746E"/>
    <w:rsid w:val="00607582"/>
    <w:rsid w:val="00607A56"/>
    <w:rsid w:val="00607B8D"/>
    <w:rsid w:val="00607F18"/>
    <w:rsid w:val="0061002C"/>
    <w:rsid w:val="0061043D"/>
    <w:rsid w:val="006108AA"/>
    <w:rsid w:val="00611DDE"/>
    <w:rsid w:val="00611E0B"/>
    <w:rsid w:val="00611F5C"/>
    <w:rsid w:val="006127C2"/>
    <w:rsid w:val="00612905"/>
    <w:rsid w:val="00612A14"/>
    <w:rsid w:val="00612C16"/>
    <w:rsid w:val="0061464D"/>
    <w:rsid w:val="00614686"/>
    <w:rsid w:val="00615E26"/>
    <w:rsid w:val="006167B4"/>
    <w:rsid w:val="00616AF9"/>
    <w:rsid w:val="00616E09"/>
    <w:rsid w:val="006170D6"/>
    <w:rsid w:val="00617206"/>
    <w:rsid w:val="00617754"/>
    <w:rsid w:val="00617E77"/>
    <w:rsid w:val="00617EAC"/>
    <w:rsid w:val="006204A2"/>
    <w:rsid w:val="006204F6"/>
    <w:rsid w:val="006206FE"/>
    <w:rsid w:val="00620A65"/>
    <w:rsid w:val="006210F6"/>
    <w:rsid w:val="00621279"/>
    <w:rsid w:val="006218D9"/>
    <w:rsid w:val="00621956"/>
    <w:rsid w:val="00621AB8"/>
    <w:rsid w:val="00621B92"/>
    <w:rsid w:val="006225A4"/>
    <w:rsid w:val="00622A3B"/>
    <w:rsid w:val="00622EEA"/>
    <w:rsid w:val="006231E7"/>
    <w:rsid w:val="00623219"/>
    <w:rsid w:val="0062396C"/>
    <w:rsid w:val="00623C2E"/>
    <w:rsid w:val="00623D7E"/>
    <w:rsid w:val="00623FF9"/>
    <w:rsid w:val="00624035"/>
    <w:rsid w:val="00624C6C"/>
    <w:rsid w:val="00624ECC"/>
    <w:rsid w:val="00624F54"/>
    <w:rsid w:val="006252A4"/>
    <w:rsid w:val="0062569F"/>
    <w:rsid w:val="006259D2"/>
    <w:rsid w:val="006259E4"/>
    <w:rsid w:val="00625C8F"/>
    <w:rsid w:val="00625C95"/>
    <w:rsid w:val="00625D7A"/>
    <w:rsid w:val="00625DC7"/>
    <w:rsid w:val="00626F16"/>
    <w:rsid w:val="006272D7"/>
    <w:rsid w:val="0062732F"/>
    <w:rsid w:val="00627752"/>
    <w:rsid w:val="0062777E"/>
    <w:rsid w:val="00627CDC"/>
    <w:rsid w:val="00627D1D"/>
    <w:rsid w:val="00627D4E"/>
    <w:rsid w:val="00627D5C"/>
    <w:rsid w:val="00627DB4"/>
    <w:rsid w:val="0063011F"/>
    <w:rsid w:val="006306F7"/>
    <w:rsid w:val="00630AA2"/>
    <w:rsid w:val="00630E71"/>
    <w:rsid w:val="0063153E"/>
    <w:rsid w:val="00631D8F"/>
    <w:rsid w:val="00632045"/>
    <w:rsid w:val="00632425"/>
    <w:rsid w:val="0063259B"/>
    <w:rsid w:val="00632661"/>
    <w:rsid w:val="00632B89"/>
    <w:rsid w:val="00632B97"/>
    <w:rsid w:val="00632F8B"/>
    <w:rsid w:val="00633005"/>
    <w:rsid w:val="0063338B"/>
    <w:rsid w:val="006335F7"/>
    <w:rsid w:val="00633B1E"/>
    <w:rsid w:val="00633B20"/>
    <w:rsid w:val="00633E1E"/>
    <w:rsid w:val="00634478"/>
    <w:rsid w:val="00634767"/>
    <w:rsid w:val="00634ACD"/>
    <w:rsid w:val="00634BCB"/>
    <w:rsid w:val="00634C7D"/>
    <w:rsid w:val="00635DBD"/>
    <w:rsid w:val="00636019"/>
    <w:rsid w:val="006362C0"/>
    <w:rsid w:val="00636724"/>
    <w:rsid w:val="0063695E"/>
    <w:rsid w:val="00636D0D"/>
    <w:rsid w:val="006370A2"/>
    <w:rsid w:val="006372FF"/>
    <w:rsid w:val="00637B3E"/>
    <w:rsid w:val="00637B9F"/>
    <w:rsid w:val="00640BB1"/>
    <w:rsid w:val="006415DC"/>
    <w:rsid w:val="00641610"/>
    <w:rsid w:val="0064167E"/>
    <w:rsid w:val="0064200C"/>
    <w:rsid w:val="006421E3"/>
    <w:rsid w:val="00642449"/>
    <w:rsid w:val="00642D45"/>
    <w:rsid w:val="00642DDA"/>
    <w:rsid w:val="006435B1"/>
    <w:rsid w:val="00643F29"/>
    <w:rsid w:val="00644373"/>
    <w:rsid w:val="006448BD"/>
    <w:rsid w:val="006449C9"/>
    <w:rsid w:val="00644B95"/>
    <w:rsid w:val="00645039"/>
    <w:rsid w:val="0064524B"/>
    <w:rsid w:val="00645565"/>
    <w:rsid w:val="00645915"/>
    <w:rsid w:val="0064598B"/>
    <w:rsid w:val="00645C2C"/>
    <w:rsid w:val="00645DAC"/>
    <w:rsid w:val="006462AC"/>
    <w:rsid w:val="006468BB"/>
    <w:rsid w:val="00646DF3"/>
    <w:rsid w:val="006470D3"/>
    <w:rsid w:val="00647687"/>
    <w:rsid w:val="00647B1D"/>
    <w:rsid w:val="006500AF"/>
    <w:rsid w:val="0065139B"/>
    <w:rsid w:val="006516E6"/>
    <w:rsid w:val="006518CF"/>
    <w:rsid w:val="006519C3"/>
    <w:rsid w:val="006522E7"/>
    <w:rsid w:val="00652503"/>
    <w:rsid w:val="0065256F"/>
    <w:rsid w:val="0065283C"/>
    <w:rsid w:val="00652AD2"/>
    <w:rsid w:val="00652B30"/>
    <w:rsid w:val="00652C1E"/>
    <w:rsid w:val="00652FC3"/>
    <w:rsid w:val="0065304E"/>
    <w:rsid w:val="006531C6"/>
    <w:rsid w:val="00653E5E"/>
    <w:rsid w:val="00654428"/>
    <w:rsid w:val="00654A48"/>
    <w:rsid w:val="00655264"/>
    <w:rsid w:val="00655585"/>
    <w:rsid w:val="00655786"/>
    <w:rsid w:val="00655825"/>
    <w:rsid w:val="0065583E"/>
    <w:rsid w:val="00655C94"/>
    <w:rsid w:val="00656345"/>
    <w:rsid w:val="00656DC6"/>
    <w:rsid w:val="006577A0"/>
    <w:rsid w:val="00660B27"/>
    <w:rsid w:val="00660EC6"/>
    <w:rsid w:val="006615ED"/>
    <w:rsid w:val="00661694"/>
    <w:rsid w:val="00661DC7"/>
    <w:rsid w:val="00662552"/>
    <w:rsid w:val="006626AE"/>
    <w:rsid w:val="0066295F"/>
    <w:rsid w:val="00662E8F"/>
    <w:rsid w:val="00663370"/>
    <w:rsid w:val="00663793"/>
    <w:rsid w:val="0066390A"/>
    <w:rsid w:val="00664110"/>
    <w:rsid w:val="0066453F"/>
    <w:rsid w:val="00664617"/>
    <w:rsid w:val="00664C5B"/>
    <w:rsid w:val="00664D17"/>
    <w:rsid w:val="00665286"/>
    <w:rsid w:val="00665820"/>
    <w:rsid w:val="00665B86"/>
    <w:rsid w:val="00665F9E"/>
    <w:rsid w:val="0066634A"/>
    <w:rsid w:val="006664BD"/>
    <w:rsid w:val="00666520"/>
    <w:rsid w:val="0066666D"/>
    <w:rsid w:val="00666C3A"/>
    <w:rsid w:val="00667020"/>
    <w:rsid w:val="00667ABF"/>
    <w:rsid w:val="00667C5B"/>
    <w:rsid w:val="00667E14"/>
    <w:rsid w:val="006701CA"/>
    <w:rsid w:val="00670264"/>
    <w:rsid w:val="00670822"/>
    <w:rsid w:val="00670B86"/>
    <w:rsid w:val="00671274"/>
    <w:rsid w:val="006714C4"/>
    <w:rsid w:val="00671D80"/>
    <w:rsid w:val="00672016"/>
    <w:rsid w:val="00672770"/>
    <w:rsid w:val="006728B9"/>
    <w:rsid w:val="006729FD"/>
    <w:rsid w:val="00672DEB"/>
    <w:rsid w:val="00672FF4"/>
    <w:rsid w:val="00673277"/>
    <w:rsid w:val="006732DE"/>
    <w:rsid w:val="00673940"/>
    <w:rsid w:val="00674062"/>
    <w:rsid w:val="006748B0"/>
    <w:rsid w:val="006750EC"/>
    <w:rsid w:val="00675553"/>
    <w:rsid w:val="0067566E"/>
    <w:rsid w:val="00675B90"/>
    <w:rsid w:val="00676443"/>
    <w:rsid w:val="00676637"/>
    <w:rsid w:val="00676909"/>
    <w:rsid w:val="0067774B"/>
    <w:rsid w:val="00680125"/>
    <w:rsid w:val="006803F9"/>
    <w:rsid w:val="00680A31"/>
    <w:rsid w:val="00680E12"/>
    <w:rsid w:val="00681BED"/>
    <w:rsid w:val="00681F3C"/>
    <w:rsid w:val="0068223A"/>
    <w:rsid w:val="00682BE8"/>
    <w:rsid w:val="00682E19"/>
    <w:rsid w:val="00682FD9"/>
    <w:rsid w:val="006836E4"/>
    <w:rsid w:val="0068398F"/>
    <w:rsid w:val="006842E9"/>
    <w:rsid w:val="00684715"/>
    <w:rsid w:val="0068668D"/>
    <w:rsid w:val="00686D72"/>
    <w:rsid w:val="00686F3A"/>
    <w:rsid w:val="00687376"/>
    <w:rsid w:val="006874C7"/>
    <w:rsid w:val="0068779F"/>
    <w:rsid w:val="00687958"/>
    <w:rsid w:val="0069057D"/>
    <w:rsid w:val="00690704"/>
    <w:rsid w:val="00690922"/>
    <w:rsid w:val="00690AF0"/>
    <w:rsid w:val="00690C4F"/>
    <w:rsid w:val="00690D19"/>
    <w:rsid w:val="0069108A"/>
    <w:rsid w:val="00691135"/>
    <w:rsid w:val="0069136C"/>
    <w:rsid w:val="00691896"/>
    <w:rsid w:val="00691EB8"/>
    <w:rsid w:val="006925BF"/>
    <w:rsid w:val="00692645"/>
    <w:rsid w:val="00692CDE"/>
    <w:rsid w:val="00692D0A"/>
    <w:rsid w:val="00693073"/>
    <w:rsid w:val="00693BFD"/>
    <w:rsid w:val="00693FD6"/>
    <w:rsid w:val="00695362"/>
    <w:rsid w:val="00695E27"/>
    <w:rsid w:val="006960A5"/>
    <w:rsid w:val="0069613F"/>
    <w:rsid w:val="00696268"/>
    <w:rsid w:val="0069634B"/>
    <w:rsid w:val="00696371"/>
    <w:rsid w:val="00696632"/>
    <w:rsid w:val="00696986"/>
    <w:rsid w:val="0069723C"/>
    <w:rsid w:val="006975FE"/>
    <w:rsid w:val="00697651"/>
    <w:rsid w:val="006977FF"/>
    <w:rsid w:val="00697859"/>
    <w:rsid w:val="00697F31"/>
    <w:rsid w:val="006A01FA"/>
    <w:rsid w:val="006A043B"/>
    <w:rsid w:val="006A0504"/>
    <w:rsid w:val="006A0B3A"/>
    <w:rsid w:val="006A0CF1"/>
    <w:rsid w:val="006A0D17"/>
    <w:rsid w:val="006A0DED"/>
    <w:rsid w:val="006A0E9E"/>
    <w:rsid w:val="006A1250"/>
    <w:rsid w:val="006A13DE"/>
    <w:rsid w:val="006A22CC"/>
    <w:rsid w:val="006A2512"/>
    <w:rsid w:val="006A25C7"/>
    <w:rsid w:val="006A26C9"/>
    <w:rsid w:val="006A3C1E"/>
    <w:rsid w:val="006A45A2"/>
    <w:rsid w:val="006A49D6"/>
    <w:rsid w:val="006A4AAD"/>
    <w:rsid w:val="006A515F"/>
    <w:rsid w:val="006A532A"/>
    <w:rsid w:val="006A5DF1"/>
    <w:rsid w:val="006A5E8A"/>
    <w:rsid w:val="006A63EE"/>
    <w:rsid w:val="006A6DA2"/>
    <w:rsid w:val="006A731B"/>
    <w:rsid w:val="006A7982"/>
    <w:rsid w:val="006A7AB2"/>
    <w:rsid w:val="006A7C57"/>
    <w:rsid w:val="006A7EB2"/>
    <w:rsid w:val="006A7EFB"/>
    <w:rsid w:val="006B02C2"/>
    <w:rsid w:val="006B061F"/>
    <w:rsid w:val="006B1A31"/>
    <w:rsid w:val="006B236A"/>
    <w:rsid w:val="006B2814"/>
    <w:rsid w:val="006B2893"/>
    <w:rsid w:val="006B2DB6"/>
    <w:rsid w:val="006B2EEC"/>
    <w:rsid w:val="006B2FAC"/>
    <w:rsid w:val="006B301B"/>
    <w:rsid w:val="006B3797"/>
    <w:rsid w:val="006B397D"/>
    <w:rsid w:val="006B40E4"/>
    <w:rsid w:val="006B41C5"/>
    <w:rsid w:val="006B50AC"/>
    <w:rsid w:val="006B5401"/>
    <w:rsid w:val="006B5717"/>
    <w:rsid w:val="006B582F"/>
    <w:rsid w:val="006B6460"/>
    <w:rsid w:val="006B69DB"/>
    <w:rsid w:val="006B6F6E"/>
    <w:rsid w:val="006B7748"/>
    <w:rsid w:val="006B791A"/>
    <w:rsid w:val="006B7A24"/>
    <w:rsid w:val="006B7CFF"/>
    <w:rsid w:val="006C0A86"/>
    <w:rsid w:val="006C0CEB"/>
    <w:rsid w:val="006C0D96"/>
    <w:rsid w:val="006C1C5C"/>
    <w:rsid w:val="006C20D8"/>
    <w:rsid w:val="006C2247"/>
    <w:rsid w:val="006C25E5"/>
    <w:rsid w:val="006C2E47"/>
    <w:rsid w:val="006C2F18"/>
    <w:rsid w:val="006C3167"/>
    <w:rsid w:val="006C35F3"/>
    <w:rsid w:val="006C3666"/>
    <w:rsid w:val="006C398E"/>
    <w:rsid w:val="006C3A84"/>
    <w:rsid w:val="006C3B1E"/>
    <w:rsid w:val="006C3CD8"/>
    <w:rsid w:val="006C4303"/>
    <w:rsid w:val="006C44EA"/>
    <w:rsid w:val="006C47FD"/>
    <w:rsid w:val="006C48EA"/>
    <w:rsid w:val="006C504A"/>
    <w:rsid w:val="006C51B7"/>
    <w:rsid w:val="006C53EF"/>
    <w:rsid w:val="006C5C19"/>
    <w:rsid w:val="006C5E36"/>
    <w:rsid w:val="006C6342"/>
    <w:rsid w:val="006C67CC"/>
    <w:rsid w:val="006C70A0"/>
    <w:rsid w:val="006C78FB"/>
    <w:rsid w:val="006C7AC1"/>
    <w:rsid w:val="006C7D36"/>
    <w:rsid w:val="006C7F26"/>
    <w:rsid w:val="006D04DC"/>
    <w:rsid w:val="006D0576"/>
    <w:rsid w:val="006D06A5"/>
    <w:rsid w:val="006D07A6"/>
    <w:rsid w:val="006D0B5D"/>
    <w:rsid w:val="006D0ED7"/>
    <w:rsid w:val="006D1162"/>
    <w:rsid w:val="006D134F"/>
    <w:rsid w:val="006D178E"/>
    <w:rsid w:val="006D18E9"/>
    <w:rsid w:val="006D1943"/>
    <w:rsid w:val="006D1B7A"/>
    <w:rsid w:val="006D1C82"/>
    <w:rsid w:val="006D1E6A"/>
    <w:rsid w:val="006D2370"/>
    <w:rsid w:val="006D274E"/>
    <w:rsid w:val="006D27CB"/>
    <w:rsid w:val="006D2F08"/>
    <w:rsid w:val="006D2F43"/>
    <w:rsid w:val="006D32FD"/>
    <w:rsid w:val="006D344A"/>
    <w:rsid w:val="006D3D21"/>
    <w:rsid w:val="006D47C0"/>
    <w:rsid w:val="006D4871"/>
    <w:rsid w:val="006D4CE8"/>
    <w:rsid w:val="006D5321"/>
    <w:rsid w:val="006D576C"/>
    <w:rsid w:val="006D5865"/>
    <w:rsid w:val="006D5A4F"/>
    <w:rsid w:val="006D5D04"/>
    <w:rsid w:val="006D5DFE"/>
    <w:rsid w:val="006D64BD"/>
    <w:rsid w:val="006D6594"/>
    <w:rsid w:val="006D6657"/>
    <w:rsid w:val="006D718C"/>
    <w:rsid w:val="006D72FA"/>
    <w:rsid w:val="006D7A3D"/>
    <w:rsid w:val="006D7D65"/>
    <w:rsid w:val="006D7FCE"/>
    <w:rsid w:val="006E0E7C"/>
    <w:rsid w:val="006E113A"/>
    <w:rsid w:val="006E1486"/>
    <w:rsid w:val="006E161E"/>
    <w:rsid w:val="006E164C"/>
    <w:rsid w:val="006E1876"/>
    <w:rsid w:val="006E190F"/>
    <w:rsid w:val="006E1B4D"/>
    <w:rsid w:val="006E224B"/>
    <w:rsid w:val="006E29B3"/>
    <w:rsid w:val="006E3445"/>
    <w:rsid w:val="006E3B5B"/>
    <w:rsid w:val="006E4114"/>
    <w:rsid w:val="006E447B"/>
    <w:rsid w:val="006E4918"/>
    <w:rsid w:val="006E4B1B"/>
    <w:rsid w:val="006E4BE6"/>
    <w:rsid w:val="006E4D43"/>
    <w:rsid w:val="006E5115"/>
    <w:rsid w:val="006E520F"/>
    <w:rsid w:val="006E5445"/>
    <w:rsid w:val="006E61C3"/>
    <w:rsid w:val="006E63D6"/>
    <w:rsid w:val="006E63FE"/>
    <w:rsid w:val="006E655A"/>
    <w:rsid w:val="006E6586"/>
    <w:rsid w:val="006E659B"/>
    <w:rsid w:val="006E6BA8"/>
    <w:rsid w:val="006E6F28"/>
    <w:rsid w:val="006E6FB1"/>
    <w:rsid w:val="006E7737"/>
    <w:rsid w:val="006E7B70"/>
    <w:rsid w:val="006E7D15"/>
    <w:rsid w:val="006E7D93"/>
    <w:rsid w:val="006F0584"/>
    <w:rsid w:val="006F0649"/>
    <w:rsid w:val="006F149D"/>
    <w:rsid w:val="006F1CB1"/>
    <w:rsid w:val="006F2B02"/>
    <w:rsid w:val="006F2EE1"/>
    <w:rsid w:val="006F31F5"/>
    <w:rsid w:val="006F378F"/>
    <w:rsid w:val="006F3F88"/>
    <w:rsid w:val="006F41DF"/>
    <w:rsid w:val="006F43A3"/>
    <w:rsid w:val="006F4C38"/>
    <w:rsid w:val="006F542F"/>
    <w:rsid w:val="006F54B0"/>
    <w:rsid w:val="006F5B0F"/>
    <w:rsid w:val="006F6CD2"/>
    <w:rsid w:val="006F7426"/>
    <w:rsid w:val="006F799C"/>
    <w:rsid w:val="006F7E0C"/>
    <w:rsid w:val="0070084E"/>
    <w:rsid w:val="007013A2"/>
    <w:rsid w:val="007015A8"/>
    <w:rsid w:val="00701676"/>
    <w:rsid w:val="007016FF"/>
    <w:rsid w:val="0070191A"/>
    <w:rsid w:val="0070256F"/>
    <w:rsid w:val="007029A3"/>
    <w:rsid w:val="00703070"/>
    <w:rsid w:val="00704992"/>
    <w:rsid w:val="00704CB6"/>
    <w:rsid w:val="00704E91"/>
    <w:rsid w:val="00704F39"/>
    <w:rsid w:val="00704F47"/>
    <w:rsid w:val="007053C8"/>
    <w:rsid w:val="007054DB"/>
    <w:rsid w:val="0070568B"/>
    <w:rsid w:val="007058B2"/>
    <w:rsid w:val="00705AC6"/>
    <w:rsid w:val="00705B0E"/>
    <w:rsid w:val="00705D55"/>
    <w:rsid w:val="00706004"/>
    <w:rsid w:val="007066CF"/>
    <w:rsid w:val="0070682A"/>
    <w:rsid w:val="007069F4"/>
    <w:rsid w:val="00706E4E"/>
    <w:rsid w:val="00707413"/>
    <w:rsid w:val="0070791C"/>
    <w:rsid w:val="00707D94"/>
    <w:rsid w:val="00710160"/>
    <w:rsid w:val="00710244"/>
    <w:rsid w:val="007103D3"/>
    <w:rsid w:val="0071080F"/>
    <w:rsid w:val="00710B9D"/>
    <w:rsid w:val="00711019"/>
    <w:rsid w:val="00711139"/>
    <w:rsid w:val="007115EB"/>
    <w:rsid w:val="007115F4"/>
    <w:rsid w:val="0071176C"/>
    <w:rsid w:val="00711ED5"/>
    <w:rsid w:val="007121CF"/>
    <w:rsid w:val="00712283"/>
    <w:rsid w:val="00712B57"/>
    <w:rsid w:val="00712CCF"/>
    <w:rsid w:val="00712F74"/>
    <w:rsid w:val="007132A4"/>
    <w:rsid w:val="0071372D"/>
    <w:rsid w:val="0071383C"/>
    <w:rsid w:val="007141A7"/>
    <w:rsid w:val="007143B8"/>
    <w:rsid w:val="0071499E"/>
    <w:rsid w:val="00714AD0"/>
    <w:rsid w:val="00714BBD"/>
    <w:rsid w:val="00714FD8"/>
    <w:rsid w:val="00715722"/>
    <w:rsid w:val="00715BB9"/>
    <w:rsid w:val="00715C79"/>
    <w:rsid w:val="0071684C"/>
    <w:rsid w:val="00716DE9"/>
    <w:rsid w:val="00716EBD"/>
    <w:rsid w:val="007171FF"/>
    <w:rsid w:val="0071796B"/>
    <w:rsid w:val="00717DDD"/>
    <w:rsid w:val="0072016A"/>
    <w:rsid w:val="0072031C"/>
    <w:rsid w:val="007206FF"/>
    <w:rsid w:val="007208D8"/>
    <w:rsid w:val="00720CC8"/>
    <w:rsid w:val="00720FC4"/>
    <w:rsid w:val="00721032"/>
    <w:rsid w:val="0072140C"/>
    <w:rsid w:val="0072144A"/>
    <w:rsid w:val="00721B55"/>
    <w:rsid w:val="00721D72"/>
    <w:rsid w:val="00721FB7"/>
    <w:rsid w:val="00722618"/>
    <w:rsid w:val="0072262E"/>
    <w:rsid w:val="007229D3"/>
    <w:rsid w:val="00722CA9"/>
    <w:rsid w:val="007235CB"/>
    <w:rsid w:val="00723FFE"/>
    <w:rsid w:val="00724119"/>
    <w:rsid w:val="007244B2"/>
    <w:rsid w:val="007246E7"/>
    <w:rsid w:val="0072518B"/>
    <w:rsid w:val="007251F1"/>
    <w:rsid w:val="00725322"/>
    <w:rsid w:val="00725675"/>
    <w:rsid w:val="007261F6"/>
    <w:rsid w:val="00726357"/>
    <w:rsid w:val="00726465"/>
    <w:rsid w:val="0072685A"/>
    <w:rsid w:val="007269A3"/>
    <w:rsid w:val="007269E8"/>
    <w:rsid w:val="00726CE4"/>
    <w:rsid w:val="00726D3C"/>
    <w:rsid w:val="007272E2"/>
    <w:rsid w:val="0072754E"/>
    <w:rsid w:val="00727699"/>
    <w:rsid w:val="0072787A"/>
    <w:rsid w:val="00727B57"/>
    <w:rsid w:val="00727C16"/>
    <w:rsid w:val="00727DD8"/>
    <w:rsid w:val="007306A2"/>
    <w:rsid w:val="00730994"/>
    <w:rsid w:val="00730A1C"/>
    <w:rsid w:val="00730E6E"/>
    <w:rsid w:val="00731991"/>
    <w:rsid w:val="00731E1C"/>
    <w:rsid w:val="00732438"/>
    <w:rsid w:val="00732A3E"/>
    <w:rsid w:val="007333AE"/>
    <w:rsid w:val="0073394E"/>
    <w:rsid w:val="00734143"/>
    <w:rsid w:val="00734169"/>
    <w:rsid w:val="007342CC"/>
    <w:rsid w:val="007344C4"/>
    <w:rsid w:val="00734EF8"/>
    <w:rsid w:val="007351C3"/>
    <w:rsid w:val="007355D4"/>
    <w:rsid w:val="007356DC"/>
    <w:rsid w:val="007357DD"/>
    <w:rsid w:val="00735E3C"/>
    <w:rsid w:val="007365BD"/>
    <w:rsid w:val="00736757"/>
    <w:rsid w:val="00736CD8"/>
    <w:rsid w:val="007370FE"/>
    <w:rsid w:val="00737694"/>
    <w:rsid w:val="00737E47"/>
    <w:rsid w:val="007404E8"/>
    <w:rsid w:val="00740EAC"/>
    <w:rsid w:val="007412CD"/>
    <w:rsid w:val="00741C2B"/>
    <w:rsid w:val="00742870"/>
    <w:rsid w:val="00742AFC"/>
    <w:rsid w:val="00742B4C"/>
    <w:rsid w:val="00742CF1"/>
    <w:rsid w:val="00742E37"/>
    <w:rsid w:val="00742F3E"/>
    <w:rsid w:val="00743BEF"/>
    <w:rsid w:val="00744060"/>
    <w:rsid w:val="00744418"/>
    <w:rsid w:val="00744956"/>
    <w:rsid w:val="007449D0"/>
    <w:rsid w:val="00744A5E"/>
    <w:rsid w:val="00744F18"/>
    <w:rsid w:val="00745A5C"/>
    <w:rsid w:val="00745A90"/>
    <w:rsid w:val="0074605F"/>
    <w:rsid w:val="00746463"/>
    <w:rsid w:val="007467F0"/>
    <w:rsid w:val="00746A75"/>
    <w:rsid w:val="00746CAB"/>
    <w:rsid w:val="00746F0C"/>
    <w:rsid w:val="00747BD8"/>
    <w:rsid w:val="00747E94"/>
    <w:rsid w:val="00750502"/>
    <w:rsid w:val="00750719"/>
    <w:rsid w:val="00750CEC"/>
    <w:rsid w:val="00750F05"/>
    <w:rsid w:val="00751342"/>
    <w:rsid w:val="00751602"/>
    <w:rsid w:val="00751AEC"/>
    <w:rsid w:val="00751E5B"/>
    <w:rsid w:val="0075215F"/>
    <w:rsid w:val="0075246E"/>
    <w:rsid w:val="0075253B"/>
    <w:rsid w:val="007525E8"/>
    <w:rsid w:val="0075276B"/>
    <w:rsid w:val="007527BE"/>
    <w:rsid w:val="00752857"/>
    <w:rsid w:val="00752AD3"/>
    <w:rsid w:val="00752F6D"/>
    <w:rsid w:val="0075302B"/>
    <w:rsid w:val="007538FB"/>
    <w:rsid w:val="00753D44"/>
    <w:rsid w:val="00753E8C"/>
    <w:rsid w:val="007542A3"/>
    <w:rsid w:val="00754C83"/>
    <w:rsid w:val="0075534E"/>
    <w:rsid w:val="00755BCE"/>
    <w:rsid w:val="00755E71"/>
    <w:rsid w:val="00756048"/>
    <w:rsid w:val="0075627F"/>
    <w:rsid w:val="00756566"/>
    <w:rsid w:val="007567E5"/>
    <w:rsid w:val="0075693F"/>
    <w:rsid w:val="0075730F"/>
    <w:rsid w:val="00757389"/>
    <w:rsid w:val="00760066"/>
    <w:rsid w:val="00760440"/>
    <w:rsid w:val="00760D15"/>
    <w:rsid w:val="00761079"/>
    <w:rsid w:val="0076117F"/>
    <w:rsid w:val="00761E91"/>
    <w:rsid w:val="00763477"/>
    <w:rsid w:val="0076358B"/>
    <w:rsid w:val="0076373B"/>
    <w:rsid w:val="0076382A"/>
    <w:rsid w:val="00764154"/>
    <w:rsid w:val="007641B3"/>
    <w:rsid w:val="00764684"/>
    <w:rsid w:val="0076505D"/>
    <w:rsid w:val="007652CF"/>
    <w:rsid w:val="00765BF1"/>
    <w:rsid w:val="00765C17"/>
    <w:rsid w:val="00765DF8"/>
    <w:rsid w:val="00765E77"/>
    <w:rsid w:val="00765F2B"/>
    <w:rsid w:val="00766243"/>
    <w:rsid w:val="00766504"/>
    <w:rsid w:val="00766749"/>
    <w:rsid w:val="00766C33"/>
    <w:rsid w:val="00766D28"/>
    <w:rsid w:val="007678D0"/>
    <w:rsid w:val="007678D1"/>
    <w:rsid w:val="00767C1B"/>
    <w:rsid w:val="00767CAC"/>
    <w:rsid w:val="00767CEE"/>
    <w:rsid w:val="00767D09"/>
    <w:rsid w:val="00767DF9"/>
    <w:rsid w:val="00767E9E"/>
    <w:rsid w:val="007714A9"/>
    <w:rsid w:val="007716AB"/>
    <w:rsid w:val="00771F76"/>
    <w:rsid w:val="00772021"/>
    <w:rsid w:val="00772126"/>
    <w:rsid w:val="0077221D"/>
    <w:rsid w:val="00772E93"/>
    <w:rsid w:val="00773EC1"/>
    <w:rsid w:val="0077443F"/>
    <w:rsid w:val="00774BB2"/>
    <w:rsid w:val="00774F88"/>
    <w:rsid w:val="00774FDB"/>
    <w:rsid w:val="0077533E"/>
    <w:rsid w:val="00775560"/>
    <w:rsid w:val="0077559E"/>
    <w:rsid w:val="007756B4"/>
    <w:rsid w:val="00775B4A"/>
    <w:rsid w:val="007764EF"/>
    <w:rsid w:val="00776862"/>
    <w:rsid w:val="00776AB0"/>
    <w:rsid w:val="007777FF"/>
    <w:rsid w:val="00777B6A"/>
    <w:rsid w:val="00777BA2"/>
    <w:rsid w:val="00780282"/>
    <w:rsid w:val="007803BD"/>
    <w:rsid w:val="00780803"/>
    <w:rsid w:val="00780AA5"/>
    <w:rsid w:val="00781408"/>
    <w:rsid w:val="0078141C"/>
    <w:rsid w:val="00781BEF"/>
    <w:rsid w:val="00781FD0"/>
    <w:rsid w:val="007826D5"/>
    <w:rsid w:val="00782EFC"/>
    <w:rsid w:val="00783131"/>
    <w:rsid w:val="007834C7"/>
    <w:rsid w:val="007835D5"/>
    <w:rsid w:val="00784268"/>
    <w:rsid w:val="007846E9"/>
    <w:rsid w:val="00784CCE"/>
    <w:rsid w:val="00784F7F"/>
    <w:rsid w:val="0078544D"/>
    <w:rsid w:val="0078563E"/>
    <w:rsid w:val="00785757"/>
    <w:rsid w:val="00785935"/>
    <w:rsid w:val="00785F7B"/>
    <w:rsid w:val="00786A4A"/>
    <w:rsid w:val="00786F04"/>
    <w:rsid w:val="0078767B"/>
    <w:rsid w:val="00787743"/>
    <w:rsid w:val="007878BD"/>
    <w:rsid w:val="00787C86"/>
    <w:rsid w:val="00790056"/>
    <w:rsid w:val="007903BD"/>
    <w:rsid w:val="0079118B"/>
    <w:rsid w:val="007912CB"/>
    <w:rsid w:val="007916F4"/>
    <w:rsid w:val="00791838"/>
    <w:rsid w:val="007918F7"/>
    <w:rsid w:val="00791A35"/>
    <w:rsid w:val="00791C7D"/>
    <w:rsid w:val="00791F9A"/>
    <w:rsid w:val="007921CB"/>
    <w:rsid w:val="00792F51"/>
    <w:rsid w:val="00793A9D"/>
    <w:rsid w:val="00793D8C"/>
    <w:rsid w:val="00793DFD"/>
    <w:rsid w:val="0079442E"/>
    <w:rsid w:val="00794490"/>
    <w:rsid w:val="007944CA"/>
    <w:rsid w:val="00794D0A"/>
    <w:rsid w:val="00795A19"/>
    <w:rsid w:val="00795AFC"/>
    <w:rsid w:val="007961C4"/>
    <w:rsid w:val="00796A02"/>
    <w:rsid w:val="00796C4C"/>
    <w:rsid w:val="00796F25"/>
    <w:rsid w:val="00797676"/>
    <w:rsid w:val="00797B41"/>
    <w:rsid w:val="007A0A16"/>
    <w:rsid w:val="007A102F"/>
    <w:rsid w:val="007A1074"/>
    <w:rsid w:val="007A1856"/>
    <w:rsid w:val="007A1AA8"/>
    <w:rsid w:val="007A1CF3"/>
    <w:rsid w:val="007A2098"/>
    <w:rsid w:val="007A23B5"/>
    <w:rsid w:val="007A27BB"/>
    <w:rsid w:val="007A2A4C"/>
    <w:rsid w:val="007A2ADC"/>
    <w:rsid w:val="007A2E98"/>
    <w:rsid w:val="007A3263"/>
    <w:rsid w:val="007A3772"/>
    <w:rsid w:val="007A3796"/>
    <w:rsid w:val="007A3BA3"/>
    <w:rsid w:val="007A4188"/>
    <w:rsid w:val="007A4F06"/>
    <w:rsid w:val="007A516D"/>
    <w:rsid w:val="007A52DC"/>
    <w:rsid w:val="007A556D"/>
    <w:rsid w:val="007A55F0"/>
    <w:rsid w:val="007A58D2"/>
    <w:rsid w:val="007A591B"/>
    <w:rsid w:val="007A635D"/>
    <w:rsid w:val="007A6CC0"/>
    <w:rsid w:val="007A6E64"/>
    <w:rsid w:val="007A78A6"/>
    <w:rsid w:val="007A7B25"/>
    <w:rsid w:val="007A7B2A"/>
    <w:rsid w:val="007A7B97"/>
    <w:rsid w:val="007A7BF4"/>
    <w:rsid w:val="007A7FEC"/>
    <w:rsid w:val="007B036D"/>
    <w:rsid w:val="007B0663"/>
    <w:rsid w:val="007B0700"/>
    <w:rsid w:val="007B0928"/>
    <w:rsid w:val="007B0B47"/>
    <w:rsid w:val="007B0BCC"/>
    <w:rsid w:val="007B1499"/>
    <w:rsid w:val="007B1654"/>
    <w:rsid w:val="007B1BBF"/>
    <w:rsid w:val="007B1BE0"/>
    <w:rsid w:val="007B1F1B"/>
    <w:rsid w:val="007B258D"/>
    <w:rsid w:val="007B2960"/>
    <w:rsid w:val="007B2A05"/>
    <w:rsid w:val="007B2D5A"/>
    <w:rsid w:val="007B2F4F"/>
    <w:rsid w:val="007B300B"/>
    <w:rsid w:val="007B33EF"/>
    <w:rsid w:val="007B355D"/>
    <w:rsid w:val="007B38D6"/>
    <w:rsid w:val="007B3992"/>
    <w:rsid w:val="007B3BC2"/>
    <w:rsid w:val="007B4644"/>
    <w:rsid w:val="007B477C"/>
    <w:rsid w:val="007B49F7"/>
    <w:rsid w:val="007B516E"/>
    <w:rsid w:val="007B5B9C"/>
    <w:rsid w:val="007B6BA8"/>
    <w:rsid w:val="007B6E82"/>
    <w:rsid w:val="007B6FDC"/>
    <w:rsid w:val="007B72A8"/>
    <w:rsid w:val="007B788C"/>
    <w:rsid w:val="007B792C"/>
    <w:rsid w:val="007B7980"/>
    <w:rsid w:val="007B79A3"/>
    <w:rsid w:val="007B79CC"/>
    <w:rsid w:val="007B7B81"/>
    <w:rsid w:val="007C00B9"/>
    <w:rsid w:val="007C0658"/>
    <w:rsid w:val="007C0715"/>
    <w:rsid w:val="007C0B07"/>
    <w:rsid w:val="007C0DEF"/>
    <w:rsid w:val="007C1251"/>
    <w:rsid w:val="007C1AD3"/>
    <w:rsid w:val="007C297B"/>
    <w:rsid w:val="007C3B13"/>
    <w:rsid w:val="007C3E9D"/>
    <w:rsid w:val="007C473A"/>
    <w:rsid w:val="007C47C1"/>
    <w:rsid w:val="007C4C45"/>
    <w:rsid w:val="007C528A"/>
    <w:rsid w:val="007C534F"/>
    <w:rsid w:val="007C5683"/>
    <w:rsid w:val="007C56B6"/>
    <w:rsid w:val="007C58F2"/>
    <w:rsid w:val="007C5A32"/>
    <w:rsid w:val="007C5D5A"/>
    <w:rsid w:val="007C607F"/>
    <w:rsid w:val="007C610F"/>
    <w:rsid w:val="007C6141"/>
    <w:rsid w:val="007C633E"/>
    <w:rsid w:val="007C6819"/>
    <w:rsid w:val="007C711B"/>
    <w:rsid w:val="007C7777"/>
    <w:rsid w:val="007C77FF"/>
    <w:rsid w:val="007C79DD"/>
    <w:rsid w:val="007C7CA0"/>
    <w:rsid w:val="007C7D28"/>
    <w:rsid w:val="007D027A"/>
    <w:rsid w:val="007D05C3"/>
    <w:rsid w:val="007D0DFE"/>
    <w:rsid w:val="007D12F2"/>
    <w:rsid w:val="007D1A97"/>
    <w:rsid w:val="007D22A2"/>
    <w:rsid w:val="007D243C"/>
    <w:rsid w:val="007D26B6"/>
    <w:rsid w:val="007D2800"/>
    <w:rsid w:val="007D2CD4"/>
    <w:rsid w:val="007D2CD6"/>
    <w:rsid w:val="007D2F77"/>
    <w:rsid w:val="007D3063"/>
    <w:rsid w:val="007D381B"/>
    <w:rsid w:val="007D3CEB"/>
    <w:rsid w:val="007D47D9"/>
    <w:rsid w:val="007D47F8"/>
    <w:rsid w:val="007D4950"/>
    <w:rsid w:val="007D4AC7"/>
    <w:rsid w:val="007D4DAC"/>
    <w:rsid w:val="007D5765"/>
    <w:rsid w:val="007D57F6"/>
    <w:rsid w:val="007D5F04"/>
    <w:rsid w:val="007D5F3E"/>
    <w:rsid w:val="007D6628"/>
    <w:rsid w:val="007D6822"/>
    <w:rsid w:val="007D68B7"/>
    <w:rsid w:val="007D7271"/>
    <w:rsid w:val="007D7B0F"/>
    <w:rsid w:val="007D7C29"/>
    <w:rsid w:val="007E005E"/>
    <w:rsid w:val="007E055A"/>
    <w:rsid w:val="007E06EA"/>
    <w:rsid w:val="007E0F6C"/>
    <w:rsid w:val="007E12C2"/>
    <w:rsid w:val="007E12CE"/>
    <w:rsid w:val="007E1478"/>
    <w:rsid w:val="007E28B3"/>
    <w:rsid w:val="007E28C7"/>
    <w:rsid w:val="007E2F91"/>
    <w:rsid w:val="007E311E"/>
    <w:rsid w:val="007E3413"/>
    <w:rsid w:val="007E38A4"/>
    <w:rsid w:val="007E42B2"/>
    <w:rsid w:val="007E4378"/>
    <w:rsid w:val="007E43E1"/>
    <w:rsid w:val="007E4700"/>
    <w:rsid w:val="007E4BBD"/>
    <w:rsid w:val="007E4E6A"/>
    <w:rsid w:val="007E55F4"/>
    <w:rsid w:val="007E5605"/>
    <w:rsid w:val="007E5D97"/>
    <w:rsid w:val="007E6189"/>
    <w:rsid w:val="007E65C0"/>
    <w:rsid w:val="007E6806"/>
    <w:rsid w:val="007E69B3"/>
    <w:rsid w:val="007E6B17"/>
    <w:rsid w:val="007E7092"/>
    <w:rsid w:val="007E7683"/>
    <w:rsid w:val="007E7A0B"/>
    <w:rsid w:val="007E7ACE"/>
    <w:rsid w:val="007F02F8"/>
    <w:rsid w:val="007F10AD"/>
    <w:rsid w:val="007F1132"/>
    <w:rsid w:val="007F123E"/>
    <w:rsid w:val="007F19E5"/>
    <w:rsid w:val="007F1A09"/>
    <w:rsid w:val="007F1E93"/>
    <w:rsid w:val="007F28AE"/>
    <w:rsid w:val="007F3368"/>
    <w:rsid w:val="007F3405"/>
    <w:rsid w:val="007F42FF"/>
    <w:rsid w:val="007F450D"/>
    <w:rsid w:val="007F4754"/>
    <w:rsid w:val="007F496B"/>
    <w:rsid w:val="007F49FA"/>
    <w:rsid w:val="007F4F3F"/>
    <w:rsid w:val="007F54C4"/>
    <w:rsid w:val="007F5539"/>
    <w:rsid w:val="007F5823"/>
    <w:rsid w:val="007F5DB8"/>
    <w:rsid w:val="007F5F84"/>
    <w:rsid w:val="007F63F9"/>
    <w:rsid w:val="007F6E9A"/>
    <w:rsid w:val="007F70EB"/>
    <w:rsid w:val="007F750B"/>
    <w:rsid w:val="007F7991"/>
    <w:rsid w:val="007F799A"/>
    <w:rsid w:val="00800647"/>
    <w:rsid w:val="00800A7F"/>
    <w:rsid w:val="008010CB"/>
    <w:rsid w:val="008012DB"/>
    <w:rsid w:val="0080223C"/>
    <w:rsid w:val="00802241"/>
    <w:rsid w:val="008023C1"/>
    <w:rsid w:val="008023EB"/>
    <w:rsid w:val="00802497"/>
    <w:rsid w:val="00802DC1"/>
    <w:rsid w:val="00802E81"/>
    <w:rsid w:val="00803392"/>
    <w:rsid w:val="0080400A"/>
    <w:rsid w:val="008041DB"/>
    <w:rsid w:val="008044B0"/>
    <w:rsid w:val="008044D4"/>
    <w:rsid w:val="0080461D"/>
    <w:rsid w:val="00804833"/>
    <w:rsid w:val="00804B67"/>
    <w:rsid w:val="00804C21"/>
    <w:rsid w:val="00804DA8"/>
    <w:rsid w:val="0080506C"/>
    <w:rsid w:val="00806686"/>
    <w:rsid w:val="00806B2F"/>
    <w:rsid w:val="00807059"/>
    <w:rsid w:val="00807B75"/>
    <w:rsid w:val="00807CB9"/>
    <w:rsid w:val="00807DE2"/>
    <w:rsid w:val="00807ED2"/>
    <w:rsid w:val="00810445"/>
    <w:rsid w:val="00810AB4"/>
    <w:rsid w:val="00810CDA"/>
    <w:rsid w:val="00812140"/>
    <w:rsid w:val="008121E9"/>
    <w:rsid w:val="0081299A"/>
    <w:rsid w:val="00812CB3"/>
    <w:rsid w:val="008131EB"/>
    <w:rsid w:val="008135E0"/>
    <w:rsid w:val="00813712"/>
    <w:rsid w:val="00813809"/>
    <w:rsid w:val="00813DA8"/>
    <w:rsid w:val="008140F7"/>
    <w:rsid w:val="00814272"/>
    <w:rsid w:val="0081444A"/>
    <w:rsid w:val="00814452"/>
    <w:rsid w:val="00814B62"/>
    <w:rsid w:val="00814CF1"/>
    <w:rsid w:val="00814D40"/>
    <w:rsid w:val="00814D4D"/>
    <w:rsid w:val="00814DA0"/>
    <w:rsid w:val="00815112"/>
    <w:rsid w:val="00815463"/>
    <w:rsid w:val="00815878"/>
    <w:rsid w:val="00815CD2"/>
    <w:rsid w:val="00815E58"/>
    <w:rsid w:val="008161DE"/>
    <w:rsid w:val="00816923"/>
    <w:rsid w:val="00817176"/>
    <w:rsid w:val="008171A2"/>
    <w:rsid w:val="0081737B"/>
    <w:rsid w:val="00817862"/>
    <w:rsid w:val="00817B56"/>
    <w:rsid w:val="00817DB8"/>
    <w:rsid w:val="00820B1D"/>
    <w:rsid w:val="00820EA0"/>
    <w:rsid w:val="00821645"/>
    <w:rsid w:val="00821A88"/>
    <w:rsid w:val="0082214D"/>
    <w:rsid w:val="00822330"/>
    <w:rsid w:val="0082264C"/>
    <w:rsid w:val="00822711"/>
    <w:rsid w:val="00822830"/>
    <w:rsid w:val="00822964"/>
    <w:rsid w:val="00822EEA"/>
    <w:rsid w:val="008233A7"/>
    <w:rsid w:val="008234B1"/>
    <w:rsid w:val="008239E7"/>
    <w:rsid w:val="00823AF4"/>
    <w:rsid w:val="00823C1E"/>
    <w:rsid w:val="00824291"/>
    <w:rsid w:val="0082440C"/>
    <w:rsid w:val="00824744"/>
    <w:rsid w:val="0082495D"/>
    <w:rsid w:val="00824E79"/>
    <w:rsid w:val="00825C58"/>
    <w:rsid w:val="00825C69"/>
    <w:rsid w:val="00825F8D"/>
    <w:rsid w:val="00825FA5"/>
    <w:rsid w:val="00826240"/>
    <w:rsid w:val="00826641"/>
    <w:rsid w:val="00826B12"/>
    <w:rsid w:val="008271C5"/>
    <w:rsid w:val="008278FE"/>
    <w:rsid w:val="00827CCE"/>
    <w:rsid w:val="00827ECA"/>
    <w:rsid w:val="008300DC"/>
    <w:rsid w:val="00830163"/>
    <w:rsid w:val="00830C1C"/>
    <w:rsid w:val="00831AC3"/>
    <w:rsid w:val="008321DA"/>
    <w:rsid w:val="008327B5"/>
    <w:rsid w:val="00832943"/>
    <w:rsid w:val="00832CC8"/>
    <w:rsid w:val="00832F27"/>
    <w:rsid w:val="008333F6"/>
    <w:rsid w:val="0083362E"/>
    <w:rsid w:val="008343CD"/>
    <w:rsid w:val="008350AA"/>
    <w:rsid w:val="00835321"/>
    <w:rsid w:val="008357C1"/>
    <w:rsid w:val="0083582F"/>
    <w:rsid w:val="008358AF"/>
    <w:rsid w:val="00835E98"/>
    <w:rsid w:val="008360E3"/>
    <w:rsid w:val="0083614A"/>
    <w:rsid w:val="00836444"/>
    <w:rsid w:val="0083652C"/>
    <w:rsid w:val="00836917"/>
    <w:rsid w:val="00836BD4"/>
    <w:rsid w:val="00836BEE"/>
    <w:rsid w:val="00836D7C"/>
    <w:rsid w:val="008370E8"/>
    <w:rsid w:val="008371CC"/>
    <w:rsid w:val="0083739F"/>
    <w:rsid w:val="008402D6"/>
    <w:rsid w:val="00840579"/>
    <w:rsid w:val="008408FF"/>
    <w:rsid w:val="00840966"/>
    <w:rsid w:val="00840A6D"/>
    <w:rsid w:val="0084138C"/>
    <w:rsid w:val="00841827"/>
    <w:rsid w:val="00841D41"/>
    <w:rsid w:val="00841EE3"/>
    <w:rsid w:val="0084242D"/>
    <w:rsid w:val="0084259A"/>
    <w:rsid w:val="00842CA1"/>
    <w:rsid w:val="00843027"/>
    <w:rsid w:val="00843C96"/>
    <w:rsid w:val="00843E8B"/>
    <w:rsid w:val="008441D8"/>
    <w:rsid w:val="008444AE"/>
    <w:rsid w:val="008444F6"/>
    <w:rsid w:val="008445FB"/>
    <w:rsid w:val="00844615"/>
    <w:rsid w:val="008446E0"/>
    <w:rsid w:val="00844848"/>
    <w:rsid w:val="00844869"/>
    <w:rsid w:val="00844FAD"/>
    <w:rsid w:val="0084523B"/>
    <w:rsid w:val="00845ABE"/>
    <w:rsid w:val="008460FB"/>
    <w:rsid w:val="008464F0"/>
    <w:rsid w:val="00846B03"/>
    <w:rsid w:val="00846B14"/>
    <w:rsid w:val="0084740B"/>
    <w:rsid w:val="008474E3"/>
    <w:rsid w:val="0084769C"/>
    <w:rsid w:val="0084784C"/>
    <w:rsid w:val="008478B4"/>
    <w:rsid w:val="00847DCA"/>
    <w:rsid w:val="008504DB"/>
    <w:rsid w:val="008506FD"/>
    <w:rsid w:val="00850AAB"/>
    <w:rsid w:val="00850D5F"/>
    <w:rsid w:val="00851F3F"/>
    <w:rsid w:val="00851F6D"/>
    <w:rsid w:val="00852337"/>
    <w:rsid w:val="00852665"/>
    <w:rsid w:val="00852E08"/>
    <w:rsid w:val="0085303F"/>
    <w:rsid w:val="00853E3C"/>
    <w:rsid w:val="00853E51"/>
    <w:rsid w:val="008540E9"/>
    <w:rsid w:val="008543DB"/>
    <w:rsid w:val="00854677"/>
    <w:rsid w:val="00854D88"/>
    <w:rsid w:val="0085542A"/>
    <w:rsid w:val="00855E0A"/>
    <w:rsid w:val="00855F83"/>
    <w:rsid w:val="00856A0D"/>
    <w:rsid w:val="00856E1C"/>
    <w:rsid w:val="00856EDC"/>
    <w:rsid w:val="008579AB"/>
    <w:rsid w:val="008600BF"/>
    <w:rsid w:val="008600FC"/>
    <w:rsid w:val="008602F8"/>
    <w:rsid w:val="008606C8"/>
    <w:rsid w:val="00860AE2"/>
    <w:rsid w:val="00860DF2"/>
    <w:rsid w:val="00860E95"/>
    <w:rsid w:val="00860F70"/>
    <w:rsid w:val="008610D7"/>
    <w:rsid w:val="008616F7"/>
    <w:rsid w:val="008618A9"/>
    <w:rsid w:val="008623B5"/>
    <w:rsid w:val="008624E0"/>
    <w:rsid w:val="00862758"/>
    <w:rsid w:val="00862B0E"/>
    <w:rsid w:val="00862B6F"/>
    <w:rsid w:val="00862DF4"/>
    <w:rsid w:val="00863251"/>
    <w:rsid w:val="00863342"/>
    <w:rsid w:val="0086351E"/>
    <w:rsid w:val="00863B49"/>
    <w:rsid w:val="00863CB0"/>
    <w:rsid w:val="00863D68"/>
    <w:rsid w:val="00863E31"/>
    <w:rsid w:val="00863E78"/>
    <w:rsid w:val="00863F47"/>
    <w:rsid w:val="008641A5"/>
    <w:rsid w:val="00864CAA"/>
    <w:rsid w:val="00864FEF"/>
    <w:rsid w:val="00865143"/>
    <w:rsid w:val="00865494"/>
    <w:rsid w:val="008656CF"/>
    <w:rsid w:val="00865B39"/>
    <w:rsid w:val="00866D3B"/>
    <w:rsid w:val="0086702B"/>
    <w:rsid w:val="008677DE"/>
    <w:rsid w:val="00867C96"/>
    <w:rsid w:val="00867EE8"/>
    <w:rsid w:val="00870ABA"/>
    <w:rsid w:val="00870E53"/>
    <w:rsid w:val="00870F63"/>
    <w:rsid w:val="0087107B"/>
    <w:rsid w:val="008710E1"/>
    <w:rsid w:val="008712BC"/>
    <w:rsid w:val="008713AA"/>
    <w:rsid w:val="008716E5"/>
    <w:rsid w:val="008717CB"/>
    <w:rsid w:val="008720FB"/>
    <w:rsid w:val="00872A8A"/>
    <w:rsid w:val="00872AFA"/>
    <w:rsid w:val="00873BC3"/>
    <w:rsid w:val="008749FA"/>
    <w:rsid w:val="00874FEB"/>
    <w:rsid w:val="00875697"/>
    <w:rsid w:val="00875861"/>
    <w:rsid w:val="00875938"/>
    <w:rsid w:val="00875AEB"/>
    <w:rsid w:val="008765F6"/>
    <w:rsid w:val="00876BF5"/>
    <w:rsid w:val="008775B2"/>
    <w:rsid w:val="00877627"/>
    <w:rsid w:val="00877807"/>
    <w:rsid w:val="008778A6"/>
    <w:rsid w:val="00877A7D"/>
    <w:rsid w:val="00877FF2"/>
    <w:rsid w:val="00880180"/>
    <w:rsid w:val="00880204"/>
    <w:rsid w:val="00880248"/>
    <w:rsid w:val="008818A6"/>
    <w:rsid w:val="00881CA9"/>
    <w:rsid w:val="00881E4A"/>
    <w:rsid w:val="008823DA"/>
    <w:rsid w:val="00882C33"/>
    <w:rsid w:val="00882E17"/>
    <w:rsid w:val="00883441"/>
    <w:rsid w:val="00883511"/>
    <w:rsid w:val="00883628"/>
    <w:rsid w:val="00883A72"/>
    <w:rsid w:val="00883B95"/>
    <w:rsid w:val="00883E7F"/>
    <w:rsid w:val="0088444E"/>
    <w:rsid w:val="0088477E"/>
    <w:rsid w:val="00884DF1"/>
    <w:rsid w:val="00885544"/>
    <w:rsid w:val="00886039"/>
    <w:rsid w:val="008862A9"/>
    <w:rsid w:val="0088634E"/>
    <w:rsid w:val="008863B6"/>
    <w:rsid w:val="008867A7"/>
    <w:rsid w:val="0088767A"/>
    <w:rsid w:val="00887717"/>
    <w:rsid w:val="008877B6"/>
    <w:rsid w:val="00887A04"/>
    <w:rsid w:val="00887B0F"/>
    <w:rsid w:val="00887C01"/>
    <w:rsid w:val="00887EB0"/>
    <w:rsid w:val="00890A25"/>
    <w:rsid w:val="00890AD1"/>
    <w:rsid w:val="00890D09"/>
    <w:rsid w:val="00890D6F"/>
    <w:rsid w:val="00890F31"/>
    <w:rsid w:val="008911CF"/>
    <w:rsid w:val="0089137E"/>
    <w:rsid w:val="00891392"/>
    <w:rsid w:val="00892897"/>
    <w:rsid w:val="00893AB8"/>
    <w:rsid w:val="00894D74"/>
    <w:rsid w:val="00895B92"/>
    <w:rsid w:val="00895D88"/>
    <w:rsid w:val="008964D6"/>
    <w:rsid w:val="00896BAC"/>
    <w:rsid w:val="00896CB6"/>
    <w:rsid w:val="0089706B"/>
    <w:rsid w:val="00897D25"/>
    <w:rsid w:val="008A01A0"/>
    <w:rsid w:val="008A04C8"/>
    <w:rsid w:val="008A08D8"/>
    <w:rsid w:val="008A11E4"/>
    <w:rsid w:val="008A1478"/>
    <w:rsid w:val="008A1527"/>
    <w:rsid w:val="008A1555"/>
    <w:rsid w:val="008A199D"/>
    <w:rsid w:val="008A1A2A"/>
    <w:rsid w:val="008A1D3E"/>
    <w:rsid w:val="008A1FCC"/>
    <w:rsid w:val="008A2282"/>
    <w:rsid w:val="008A2387"/>
    <w:rsid w:val="008A2417"/>
    <w:rsid w:val="008A2740"/>
    <w:rsid w:val="008A29E2"/>
    <w:rsid w:val="008A3150"/>
    <w:rsid w:val="008A3189"/>
    <w:rsid w:val="008A36DA"/>
    <w:rsid w:val="008A3954"/>
    <w:rsid w:val="008A3C29"/>
    <w:rsid w:val="008A3C75"/>
    <w:rsid w:val="008A3F77"/>
    <w:rsid w:val="008A40B1"/>
    <w:rsid w:val="008A4A0E"/>
    <w:rsid w:val="008A4A5F"/>
    <w:rsid w:val="008A508A"/>
    <w:rsid w:val="008A6603"/>
    <w:rsid w:val="008A6913"/>
    <w:rsid w:val="008A6F3D"/>
    <w:rsid w:val="008A7B76"/>
    <w:rsid w:val="008A7D92"/>
    <w:rsid w:val="008B0279"/>
    <w:rsid w:val="008B0328"/>
    <w:rsid w:val="008B03FE"/>
    <w:rsid w:val="008B12DF"/>
    <w:rsid w:val="008B1F99"/>
    <w:rsid w:val="008B1FCC"/>
    <w:rsid w:val="008B22C5"/>
    <w:rsid w:val="008B257B"/>
    <w:rsid w:val="008B28B0"/>
    <w:rsid w:val="008B2B2F"/>
    <w:rsid w:val="008B3020"/>
    <w:rsid w:val="008B3773"/>
    <w:rsid w:val="008B3780"/>
    <w:rsid w:val="008B37E3"/>
    <w:rsid w:val="008B4559"/>
    <w:rsid w:val="008B48CC"/>
    <w:rsid w:val="008B4A81"/>
    <w:rsid w:val="008B500B"/>
    <w:rsid w:val="008B5136"/>
    <w:rsid w:val="008B5679"/>
    <w:rsid w:val="008B5BEB"/>
    <w:rsid w:val="008B5BF8"/>
    <w:rsid w:val="008B6C32"/>
    <w:rsid w:val="008B6ECD"/>
    <w:rsid w:val="008B6F4A"/>
    <w:rsid w:val="008B7078"/>
    <w:rsid w:val="008B70F3"/>
    <w:rsid w:val="008B71C4"/>
    <w:rsid w:val="008B76DF"/>
    <w:rsid w:val="008B78D9"/>
    <w:rsid w:val="008C0086"/>
    <w:rsid w:val="008C0480"/>
    <w:rsid w:val="008C089F"/>
    <w:rsid w:val="008C0F1F"/>
    <w:rsid w:val="008C10F4"/>
    <w:rsid w:val="008C20BC"/>
    <w:rsid w:val="008C2207"/>
    <w:rsid w:val="008C226E"/>
    <w:rsid w:val="008C29CE"/>
    <w:rsid w:val="008C2FB9"/>
    <w:rsid w:val="008C3242"/>
    <w:rsid w:val="008C3BCF"/>
    <w:rsid w:val="008C3C62"/>
    <w:rsid w:val="008C4219"/>
    <w:rsid w:val="008C4634"/>
    <w:rsid w:val="008C490A"/>
    <w:rsid w:val="008C61B7"/>
    <w:rsid w:val="008C65F7"/>
    <w:rsid w:val="008C6FCE"/>
    <w:rsid w:val="008C717C"/>
    <w:rsid w:val="008C731A"/>
    <w:rsid w:val="008C74A4"/>
    <w:rsid w:val="008C752F"/>
    <w:rsid w:val="008C76B5"/>
    <w:rsid w:val="008C7725"/>
    <w:rsid w:val="008C7C77"/>
    <w:rsid w:val="008C7ECA"/>
    <w:rsid w:val="008D0125"/>
    <w:rsid w:val="008D0389"/>
    <w:rsid w:val="008D094F"/>
    <w:rsid w:val="008D0C09"/>
    <w:rsid w:val="008D0C2F"/>
    <w:rsid w:val="008D14A9"/>
    <w:rsid w:val="008D15BC"/>
    <w:rsid w:val="008D1B09"/>
    <w:rsid w:val="008D1CD6"/>
    <w:rsid w:val="008D21FC"/>
    <w:rsid w:val="008D2306"/>
    <w:rsid w:val="008D2392"/>
    <w:rsid w:val="008D2883"/>
    <w:rsid w:val="008D2C91"/>
    <w:rsid w:val="008D2ECB"/>
    <w:rsid w:val="008D2F9F"/>
    <w:rsid w:val="008D375E"/>
    <w:rsid w:val="008D47CE"/>
    <w:rsid w:val="008D4926"/>
    <w:rsid w:val="008D5491"/>
    <w:rsid w:val="008D58AC"/>
    <w:rsid w:val="008D596D"/>
    <w:rsid w:val="008D6184"/>
    <w:rsid w:val="008D65A3"/>
    <w:rsid w:val="008D6620"/>
    <w:rsid w:val="008D664E"/>
    <w:rsid w:val="008D6737"/>
    <w:rsid w:val="008D6A3E"/>
    <w:rsid w:val="008D6AAC"/>
    <w:rsid w:val="008D7241"/>
    <w:rsid w:val="008D7450"/>
    <w:rsid w:val="008D74BE"/>
    <w:rsid w:val="008D78B9"/>
    <w:rsid w:val="008E072E"/>
    <w:rsid w:val="008E0D94"/>
    <w:rsid w:val="008E1EE8"/>
    <w:rsid w:val="008E2269"/>
    <w:rsid w:val="008E2D22"/>
    <w:rsid w:val="008E3089"/>
    <w:rsid w:val="008E3660"/>
    <w:rsid w:val="008E3D4E"/>
    <w:rsid w:val="008E418E"/>
    <w:rsid w:val="008E4767"/>
    <w:rsid w:val="008E4A5B"/>
    <w:rsid w:val="008E62B5"/>
    <w:rsid w:val="008E6685"/>
    <w:rsid w:val="008E6D05"/>
    <w:rsid w:val="008E7142"/>
    <w:rsid w:val="008E7319"/>
    <w:rsid w:val="008E77B0"/>
    <w:rsid w:val="008E78DC"/>
    <w:rsid w:val="008E7A8C"/>
    <w:rsid w:val="008E7F61"/>
    <w:rsid w:val="008F03F4"/>
    <w:rsid w:val="008F041B"/>
    <w:rsid w:val="008F089F"/>
    <w:rsid w:val="008F0D2F"/>
    <w:rsid w:val="008F1305"/>
    <w:rsid w:val="008F1416"/>
    <w:rsid w:val="008F1D98"/>
    <w:rsid w:val="008F2A30"/>
    <w:rsid w:val="008F2CBC"/>
    <w:rsid w:val="008F2D70"/>
    <w:rsid w:val="008F3280"/>
    <w:rsid w:val="008F3780"/>
    <w:rsid w:val="008F43EF"/>
    <w:rsid w:val="008F44F6"/>
    <w:rsid w:val="008F512F"/>
    <w:rsid w:val="008F52D9"/>
    <w:rsid w:val="008F571A"/>
    <w:rsid w:val="008F5A7C"/>
    <w:rsid w:val="008F5DFB"/>
    <w:rsid w:val="008F664E"/>
    <w:rsid w:val="008F6D6E"/>
    <w:rsid w:val="008F7686"/>
    <w:rsid w:val="008F7E77"/>
    <w:rsid w:val="009009FD"/>
    <w:rsid w:val="00901101"/>
    <w:rsid w:val="0090176D"/>
    <w:rsid w:val="00901BE1"/>
    <w:rsid w:val="00901C9D"/>
    <w:rsid w:val="0090224F"/>
    <w:rsid w:val="00902989"/>
    <w:rsid w:val="00902D9B"/>
    <w:rsid w:val="00903166"/>
    <w:rsid w:val="00903285"/>
    <w:rsid w:val="009034B0"/>
    <w:rsid w:val="00903660"/>
    <w:rsid w:val="00903CE5"/>
    <w:rsid w:val="00904191"/>
    <w:rsid w:val="009043F0"/>
    <w:rsid w:val="009045F4"/>
    <w:rsid w:val="0090467E"/>
    <w:rsid w:val="0090492F"/>
    <w:rsid w:val="0090505F"/>
    <w:rsid w:val="00905604"/>
    <w:rsid w:val="009059E2"/>
    <w:rsid w:val="00905AAE"/>
    <w:rsid w:val="00905CBE"/>
    <w:rsid w:val="00906717"/>
    <w:rsid w:val="00906975"/>
    <w:rsid w:val="00906B00"/>
    <w:rsid w:val="00906B66"/>
    <w:rsid w:val="00906BAB"/>
    <w:rsid w:val="00906F40"/>
    <w:rsid w:val="0090731E"/>
    <w:rsid w:val="009076CC"/>
    <w:rsid w:val="009078A6"/>
    <w:rsid w:val="009079DD"/>
    <w:rsid w:val="00910044"/>
    <w:rsid w:val="009101B5"/>
    <w:rsid w:val="009104A8"/>
    <w:rsid w:val="00910B21"/>
    <w:rsid w:val="00910BAB"/>
    <w:rsid w:val="009116B7"/>
    <w:rsid w:val="00911DA3"/>
    <w:rsid w:val="009126B7"/>
    <w:rsid w:val="009127C7"/>
    <w:rsid w:val="00912CC4"/>
    <w:rsid w:val="00912F9C"/>
    <w:rsid w:val="0091315D"/>
    <w:rsid w:val="009132D6"/>
    <w:rsid w:val="009133F7"/>
    <w:rsid w:val="00913845"/>
    <w:rsid w:val="00913DC4"/>
    <w:rsid w:val="00913F55"/>
    <w:rsid w:val="00914114"/>
    <w:rsid w:val="009142E5"/>
    <w:rsid w:val="009143D1"/>
    <w:rsid w:val="00914760"/>
    <w:rsid w:val="00914AA3"/>
    <w:rsid w:val="00914AC2"/>
    <w:rsid w:val="00915A32"/>
    <w:rsid w:val="00915B1C"/>
    <w:rsid w:val="009162AA"/>
    <w:rsid w:val="009162DA"/>
    <w:rsid w:val="00916C98"/>
    <w:rsid w:val="009171B9"/>
    <w:rsid w:val="0091732B"/>
    <w:rsid w:val="009174F3"/>
    <w:rsid w:val="0091797D"/>
    <w:rsid w:val="00921A28"/>
    <w:rsid w:val="00922434"/>
    <w:rsid w:val="009227D4"/>
    <w:rsid w:val="009228A1"/>
    <w:rsid w:val="009228B8"/>
    <w:rsid w:val="009228E1"/>
    <w:rsid w:val="009228EF"/>
    <w:rsid w:val="00922B08"/>
    <w:rsid w:val="00922BC2"/>
    <w:rsid w:val="00922CF5"/>
    <w:rsid w:val="009238EF"/>
    <w:rsid w:val="00923CBA"/>
    <w:rsid w:val="00924191"/>
    <w:rsid w:val="009246FC"/>
    <w:rsid w:val="00924CC4"/>
    <w:rsid w:val="00924DDE"/>
    <w:rsid w:val="00924E88"/>
    <w:rsid w:val="00924F1E"/>
    <w:rsid w:val="00925599"/>
    <w:rsid w:val="009255AB"/>
    <w:rsid w:val="00925884"/>
    <w:rsid w:val="00925F16"/>
    <w:rsid w:val="00925F78"/>
    <w:rsid w:val="00926339"/>
    <w:rsid w:val="009263D1"/>
    <w:rsid w:val="00926565"/>
    <w:rsid w:val="00926581"/>
    <w:rsid w:val="00926703"/>
    <w:rsid w:val="0092692C"/>
    <w:rsid w:val="00927334"/>
    <w:rsid w:val="0092762A"/>
    <w:rsid w:val="00927691"/>
    <w:rsid w:val="0092792D"/>
    <w:rsid w:val="00927A5F"/>
    <w:rsid w:val="0093015F"/>
    <w:rsid w:val="009305E4"/>
    <w:rsid w:val="009307F1"/>
    <w:rsid w:val="00930A61"/>
    <w:rsid w:val="00930C9A"/>
    <w:rsid w:val="009316F9"/>
    <w:rsid w:val="00931921"/>
    <w:rsid w:val="00932058"/>
    <w:rsid w:val="0093226E"/>
    <w:rsid w:val="009324FE"/>
    <w:rsid w:val="00932575"/>
    <w:rsid w:val="0093278E"/>
    <w:rsid w:val="0093285F"/>
    <w:rsid w:val="00932BC3"/>
    <w:rsid w:val="00932E4E"/>
    <w:rsid w:val="00933517"/>
    <w:rsid w:val="009337DA"/>
    <w:rsid w:val="00934761"/>
    <w:rsid w:val="0093483E"/>
    <w:rsid w:val="00934D96"/>
    <w:rsid w:val="00935007"/>
    <w:rsid w:val="00935160"/>
    <w:rsid w:val="009352F7"/>
    <w:rsid w:val="009354DF"/>
    <w:rsid w:val="00935B63"/>
    <w:rsid w:val="00935E4D"/>
    <w:rsid w:val="00935F0E"/>
    <w:rsid w:val="009361C2"/>
    <w:rsid w:val="00937554"/>
    <w:rsid w:val="00937D6F"/>
    <w:rsid w:val="00937E7C"/>
    <w:rsid w:val="00940326"/>
    <w:rsid w:val="0094078F"/>
    <w:rsid w:val="00940D6C"/>
    <w:rsid w:val="00940FA3"/>
    <w:rsid w:val="00941188"/>
    <w:rsid w:val="009414CE"/>
    <w:rsid w:val="009414DF"/>
    <w:rsid w:val="0094186B"/>
    <w:rsid w:val="00941E22"/>
    <w:rsid w:val="00941FB0"/>
    <w:rsid w:val="009425F5"/>
    <w:rsid w:val="00942667"/>
    <w:rsid w:val="009426D4"/>
    <w:rsid w:val="0094288A"/>
    <w:rsid w:val="00942EE3"/>
    <w:rsid w:val="009432FD"/>
    <w:rsid w:val="00943890"/>
    <w:rsid w:val="0094390D"/>
    <w:rsid w:val="00943C4E"/>
    <w:rsid w:val="00943E03"/>
    <w:rsid w:val="00944118"/>
    <w:rsid w:val="0094426F"/>
    <w:rsid w:val="009444E6"/>
    <w:rsid w:val="00944E21"/>
    <w:rsid w:val="00944E5D"/>
    <w:rsid w:val="00944F0F"/>
    <w:rsid w:val="00944F3F"/>
    <w:rsid w:val="00944F44"/>
    <w:rsid w:val="00944FEE"/>
    <w:rsid w:val="00945637"/>
    <w:rsid w:val="00945686"/>
    <w:rsid w:val="00945C4F"/>
    <w:rsid w:val="00945D0C"/>
    <w:rsid w:val="0094638E"/>
    <w:rsid w:val="009465F5"/>
    <w:rsid w:val="0094669F"/>
    <w:rsid w:val="0094696C"/>
    <w:rsid w:val="00946A6B"/>
    <w:rsid w:val="00947319"/>
    <w:rsid w:val="00947754"/>
    <w:rsid w:val="009477C8"/>
    <w:rsid w:val="00947A8E"/>
    <w:rsid w:val="00947B86"/>
    <w:rsid w:val="00947E20"/>
    <w:rsid w:val="00947F25"/>
    <w:rsid w:val="00947F88"/>
    <w:rsid w:val="00950159"/>
    <w:rsid w:val="009506D3"/>
    <w:rsid w:val="009509EF"/>
    <w:rsid w:val="00950ACD"/>
    <w:rsid w:val="00951B3B"/>
    <w:rsid w:val="009520A3"/>
    <w:rsid w:val="0095317E"/>
    <w:rsid w:val="00953ACE"/>
    <w:rsid w:val="00953BB8"/>
    <w:rsid w:val="00953D65"/>
    <w:rsid w:val="009542FF"/>
    <w:rsid w:val="00954362"/>
    <w:rsid w:val="009543F7"/>
    <w:rsid w:val="00954440"/>
    <w:rsid w:val="00954615"/>
    <w:rsid w:val="0095465F"/>
    <w:rsid w:val="00954847"/>
    <w:rsid w:val="0095490B"/>
    <w:rsid w:val="00954969"/>
    <w:rsid w:val="00954EBA"/>
    <w:rsid w:val="00955709"/>
    <w:rsid w:val="0095594D"/>
    <w:rsid w:val="0095686A"/>
    <w:rsid w:val="00956914"/>
    <w:rsid w:val="009570E7"/>
    <w:rsid w:val="009572F0"/>
    <w:rsid w:val="00960667"/>
    <w:rsid w:val="00960783"/>
    <w:rsid w:val="00960A33"/>
    <w:rsid w:val="00960D1B"/>
    <w:rsid w:val="00960DF3"/>
    <w:rsid w:val="00960E40"/>
    <w:rsid w:val="009618D8"/>
    <w:rsid w:val="00961BC8"/>
    <w:rsid w:val="00961E3F"/>
    <w:rsid w:val="009622AB"/>
    <w:rsid w:val="00962912"/>
    <w:rsid w:val="00962DF3"/>
    <w:rsid w:val="009630BF"/>
    <w:rsid w:val="00963781"/>
    <w:rsid w:val="0096499A"/>
    <w:rsid w:val="00964E90"/>
    <w:rsid w:val="00964F02"/>
    <w:rsid w:val="00965056"/>
    <w:rsid w:val="009658BD"/>
    <w:rsid w:val="00965CE1"/>
    <w:rsid w:val="00966009"/>
    <w:rsid w:val="00966517"/>
    <w:rsid w:val="009667DB"/>
    <w:rsid w:val="009669DE"/>
    <w:rsid w:val="00966B90"/>
    <w:rsid w:val="00966DE2"/>
    <w:rsid w:val="00967E70"/>
    <w:rsid w:val="009704FD"/>
    <w:rsid w:val="00970B23"/>
    <w:rsid w:val="0097116F"/>
    <w:rsid w:val="00971403"/>
    <w:rsid w:val="00971432"/>
    <w:rsid w:val="00971914"/>
    <w:rsid w:val="00972098"/>
    <w:rsid w:val="0097259E"/>
    <w:rsid w:val="009726FD"/>
    <w:rsid w:val="00972721"/>
    <w:rsid w:val="0097320E"/>
    <w:rsid w:val="0097336E"/>
    <w:rsid w:val="00973A12"/>
    <w:rsid w:val="00973B6F"/>
    <w:rsid w:val="00973F64"/>
    <w:rsid w:val="00973FBC"/>
    <w:rsid w:val="00974363"/>
    <w:rsid w:val="009745F7"/>
    <w:rsid w:val="0097464D"/>
    <w:rsid w:val="00974CE6"/>
    <w:rsid w:val="0097528A"/>
    <w:rsid w:val="009759F5"/>
    <w:rsid w:val="00975A78"/>
    <w:rsid w:val="009761D7"/>
    <w:rsid w:val="00976AD3"/>
    <w:rsid w:val="00976D51"/>
    <w:rsid w:val="00976F86"/>
    <w:rsid w:val="009776EC"/>
    <w:rsid w:val="00980ACD"/>
    <w:rsid w:val="00980B1A"/>
    <w:rsid w:val="00980EE9"/>
    <w:rsid w:val="00981306"/>
    <w:rsid w:val="009814FB"/>
    <w:rsid w:val="00981898"/>
    <w:rsid w:val="00981B4A"/>
    <w:rsid w:val="00981F3A"/>
    <w:rsid w:val="0098204B"/>
    <w:rsid w:val="0098207E"/>
    <w:rsid w:val="00982A9F"/>
    <w:rsid w:val="00982C10"/>
    <w:rsid w:val="00982E91"/>
    <w:rsid w:val="00982F6C"/>
    <w:rsid w:val="00983391"/>
    <w:rsid w:val="0098453B"/>
    <w:rsid w:val="009853BF"/>
    <w:rsid w:val="00985684"/>
    <w:rsid w:val="0098569B"/>
    <w:rsid w:val="00985817"/>
    <w:rsid w:val="00985FA1"/>
    <w:rsid w:val="00986663"/>
    <w:rsid w:val="009868D1"/>
    <w:rsid w:val="00986CF2"/>
    <w:rsid w:val="00986FD5"/>
    <w:rsid w:val="009870FD"/>
    <w:rsid w:val="00987287"/>
    <w:rsid w:val="00987648"/>
    <w:rsid w:val="00987995"/>
    <w:rsid w:val="00987B99"/>
    <w:rsid w:val="009909CD"/>
    <w:rsid w:val="00990A0A"/>
    <w:rsid w:val="00990BB9"/>
    <w:rsid w:val="0099123E"/>
    <w:rsid w:val="009914A7"/>
    <w:rsid w:val="00991742"/>
    <w:rsid w:val="00991C4F"/>
    <w:rsid w:val="00991CD9"/>
    <w:rsid w:val="00991F0F"/>
    <w:rsid w:val="00992750"/>
    <w:rsid w:val="00992ECD"/>
    <w:rsid w:val="00992F7E"/>
    <w:rsid w:val="00993051"/>
    <w:rsid w:val="0099362C"/>
    <w:rsid w:val="00993C5C"/>
    <w:rsid w:val="00993DCA"/>
    <w:rsid w:val="00993F1D"/>
    <w:rsid w:val="00994722"/>
    <w:rsid w:val="0099545C"/>
    <w:rsid w:val="009955CD"/>
    <w:rsid w:val="0099577C"/>
    <w:rsid w:val="009962F3"/>
    <w:rsid w:val="0099663C"/>
    <w:rsid w:val="00996688"/>
    <w:rsid w:val="00996912"/>
    <w:rsid w:val="009977B2"/>
    <w:rsid w:val="00997BF0"/>
    <w:rsid w:val="009A0C7E"/>
    <w:rsid w:val="009A117B"/>
    <w:rsid w:val="009A1484"/>
    <w:rsid w:val="009A27C4"/>
    <w:rsid w:val="009A2C23"/>
    <w:rsid w:val="009A3403"/>
    <w:rsid w:val="009A37C8"/>
    <w:rsid w:val="009A384B"/>
    <w:rsid w:val="009A3876"/>
    <w:rsid w:val="009A3A7A"/>
    <w:rsid w:val="009A41EC"/>
    <w:rsid w:val="009A42F6"/>
    <w:rsid w:val="009A488C"/>
    <w:rsid w:val="009A4920"/>
    <w:rsid w:val="009A499C"/>
    <w:rsid w:val="009A4B99"/>
    <w:rsid w:val="009A5993"/>
    <w:rsid w:val="009A59A0"/>
    <w:rsid w:val="009A5F1B"/>
    <w:rsid w:val="009A743D"/>
    <w:rsid w:val="009A7FC8"/>
    <w:rsid w:val="009A7FE9"/>
    <w:rsid w:val="009B0419"/>
    <w:rsid w:val="009B0C98"/>
    <w:rsid w:val="009B1481"/>
    <w:rsid w:val="009B1CDB"/>
    <w:rsid w:val="009B2601"/>
    <w:rsid w:val="009B3395"/>
    <w:rsid w:val="009B3A56"/>
    <w:rsid w:val="009B3B19"/>
    <w:rsid w:val="009B44A6"/>
    <w:rsid w:val="009B4511"/>
    <w:rsid w:val="009B488B"/>
    <w:rsid w:val="009B4E9E"/>
    <w:rsid w:val="009B539A"/>
    <w:rsid w:val="009B587A"/>
    <w:rsid w:val="009B5F4A"/>
    <w:rsid w:val="009B6273"/>
    <w:rsid w:val="009B637F"/>
    <w:rsid w:val="009B6BFD"/>
    <w:rsid w:val="009B6DFA"/>
    <w:rsid w:val="009B70AB"/>
    <w:rsid w:val="009B723E"/>
    <w:rsid w:val="009B7745"/>
    <w:rsid w:val="009B7D14"/>
    <w:rsid w:val="009B7D58"/>
    <w:rsid w:val="009C0645"/>
    <w:rsid w:val="009C0761"/>
    <w:rsid w:val="009C098B"/>
    <w:rsid w:val="009C0AAF"/>
    <w:rsid w:val="009C0BE6"/>
    <w:rsid w:val="009C0EA1"/>
    <w:rsid w:val="009C11AA"/>
    <w:rsid w:val="009C14DD"/>
    <w:rsid w:val="009C1690"/>
    <w:rsid w:val="009C1F69"/>
    <w:rsid w:val="009C264A"/>
    <w:rsid w:val="009C2FFE"/>
    <w:rsid w:val="009C32EB"/>
    <w:rsid w:val="009C3A74"/>
    <w:rsid w:val="009C42E1"/>
    <w:rsid w:val="009C49F0"/>
    <w:rsid w:val="009C5A1C"/>
    <w:rsid w:val="009C60F1"/>
    <w:rsid w:val="009C6275"/>
    <w:rsid w:val="009C653D"/>
    <w:rsid w:val="009C6881"/>
    <w:rsid w:val="009C7446"/>
    <w:rsid w:val="009C76CD"/>
    <w:rsid w:val="009C7759"/>
    <w:rsid w:val="009C7876"/>
    <w:rsid w:val="009C78CE"/>
    <w:rsid w:val="009D0090"/>
    <w:rsid w:val="009D030A"/>
    <w:rsid w:val="009D043D"/>
    <w:rsid w:val="009D07C8"/>
    <w:rsid w:val="009D0EB7"/>
    <w:rsid w:val="009D2498"/>
    <w:rsid w:val="009D25D7"/>
    <w:rsid w:val="009D2DE8"/>
    <w:rsid w:val="009D3517"/>
    <w:rsid w:val="009D3560"/>
    <w:rsid w:val="009D383C"/>
    <w:rsid w:val="009D3A67"/>
    <w:rsid w:val="009D3B58"/>
    <w:rsid w:val="009D46AD"/>
    <w:rsid w:val="009D4777"/>
    <w:rsid w:val="009D4FAA"/>
    <w:rsid w:val="009D526D"/>
    <w:rsid w:val="009D54DB"/>
    <w:rsid w:val="009D61B0"/>
    <w:rsid w:val="009D643B"/>
    <w:rsid w:val="009D6A9B"/>
    <w:rsid w:val="009D6C54"/>
    <w:rsid w:val="009D6C71"/>
    <w:rsid w:val="009D7A2A"/>
    <w:rsid w:val="009D7F3D"/>
    <w:rsid w:val="009E0485"/>
    <w:rsid w:val="009E0577"/>
    <w:rsid w:val="009E0631"/>
    <w:rsid w:val="009E08B9"/>
    <w:rsid w:val="009E0CB3"/>
    <w:rsid w:val="009E0F3F"/>
    <w:rsid w:val="009E0F86"/>
    <w:rsid w:val="009E13B7"/>
    <w:rsid w:val="009E16D0"/>
    <w:rsid w:val="009E17C0"/>
    <w:rsid w:val="009E1864"/>
    <w:rsid w:val="009E1A61"/>
    <w:rsid w:val="009E1B6F"/>
    <w:rsid w:val="009E2FED"/>
    <w:rsid w:val="009E3063"/>
    <w:rsid w:val="009E31E5"/>
    <w:rsid w:val="009E330B"/>
    <w:rsid w:val="009E3520"/>
    <w:rsid w:val="009E38FD"/>
    <w:rsid w:val="009E41C8"/>
    <w:rsid w:val="009E5037"/>
    <w:rsid w:val="009E53C9"/>
    <w:rsid w:val="009E7038"/>
    <w:rsid w:val="009E7AFD"/>
    <w:rsid w:val="009E7F80"/>
    <w:rsid w:val="009F0108"/>
    <w:rsid w:val="009F02BC"/>
    <w:rsid w:val="009F05D1"/>
    <w:rsid w:val="009F07F5"/>
    <w:rsid w:val="009F0A1B"/>
    <w:rsid w:val="009F0DB3"/>
    <w:rsid w:val="009F0FF1"/>
    <w:rsid w:val="009F13D6"/>
    <w:rsid w:val="009F1456"/>
    <w:rsid w:val="009F1571"/>
    <w:rsid w:val="009F15B3"/>
    <w:rsid w:val="009F1673"/>
    <w:rsid w:val="009F231F"/>
    <w:rsid w:val="009F249A"/>
    <w:rsid w:val="009F310D"/>
    <w:rsid w:val="009F3174"/>
    <w:rsid w:val="009F419A"/>
    <w:rsid w:val="009F49A2"/>
    <w:rsid w:val="009F4A9E"/>
    <w:rsid w:val="009F4C6B"/>
    <w:rsid w:val="009F572F"/>
    <w:rsid w:val="009F5E07"/>
    <w:rsid w:val="009F658E"/>
    <w:rsid w:val="009F78A8"/>
    <w:rsid w:val="009F794D"/>
    <w:rsid w:val="00A000D0"/>
    <w:rsid w:val="00A0010E"/>
    <w:rsid w:val="00A0013F"/>
    <w:rsid w:val="00A00203"/>
    <w:rsid w:val="00A0073F"/>
    <w:rsid w:val="00A0082E"/>
    <w:rsid w:val="00A00930"/>
    <w:rsid w:val="00A009BA"/>
    <w:rsid w:val="00A00D1A"/>
    <w:rsid w:val="00A00E05"/>
    <w:rsid w:val="00A01611"/>
    <w:rsid w:val="00A01828"/>
    <w:rsid w:val="00A01C5A"/>
    <w:rsid w:val="00A01EB5"/>
    <w:rsid w:val="00A02017"/>
    <w:rsid w:val="00A02176"/>
    <w:rsid w:val="00A02AD6"/>
    <w:rsid w:val="00A02D08"/>
    <w:rsid w:val="00A02E95"/>
    <w:rsid w:val="00A02F8C"/>
    <w:rsid w:val="00A0369A"/>
    <w:rsid w:val="00A03B91"/>
    <w:rsid w:val="00A045E5"/>
    <w:rsid w:val="00A04782"/>
    <w:rsid w:val="00A0514D"/>
    <w:rsid w:val="00A06649"/>
    <w:rsid w:val="00A066FC"/>
    <w:rsid w:val="00A068F5"/>
    <w:rsid w:val="00A06EF0"/>
    <w:rsid w:val="00A06F34"/>
    <w:rsid w:val="00A07096"/>
    <w:rsid w:val="00A07137"/>
    <w:rsid w:val="00A0713E"/>
    <w:rsid w:val="00A07318"/>
    <w:rsid w:val="00A07743"/>
    <w:rsid w:val="00A07C39"/>
    <w:rsid w:val="00A106A7"/>
    <w:rsid w:val="00A106C6"/>
    <w:rsid w:val="00A106EC"/>
    <w:rsid w:val="00A10824"/>
    <w:rsid w:val="00A10EED"/>
    <w:rsid w:val="00A11196"/>
    <w:rsid w:val="00A11370"/>
    <w:rsid w:val="00A11D08"/>
    <w:rsid w:val="00A11FAB"/>
    <w:rsid w:val="00A13290"/>
    <w:rsid w:val="00A138EE"/>
    <w:rsid w:val="00A13E17"/>
    <w:rsid w:val="00A140B6"/>
    <w:rsid w:val="00A14BB7"/>
    <w:rsid w:val="00A15042"/>
    <w:rsid w:val="00A1557E"/>
    <w:rsid w:val="00A15BCE"/>
    <w:rsid w:val="00A15C39"/>
    <w:rsid w:val="00A15D52"/>
    <w:rsid w:val="00A16104"/>
    <w:rsid w:val="00A161DE"/>
    <w:rsid w:val="00A16630"/>
    <w:rsid w:val="00A16C15"/>
    <w:rsid w:val="00A16D29"/>
    <w:rsid w:val="00A16FF9"/>
    <w:rsid w:val="00A1714A"/>
    <w:rsid w:val="00A1766B"/>
    <w:rsid w:val="00A176D4"/>
    <w:rsid w:val="00A179D2"/>
    <w:rsid w:val="00A17AAE"/>
    <w:rsid w:val="00A2003F"/>
    <w:rsid w:val="00A20302"/>
    <w:rsid w:val="00A2079D"/>
    <w:rsid w:val="00A209E1"/>
    <w:rsid w:val="00A21435"/>
    <w:rsid w:val="00A21694"/>
    <w:rsid w:val="00A21814"/>
    <w:rsid w:val="00A21DD1"/>
    <w:rsid w:val="00A21F95"/>
    <w:rsid w:val="00A224CE"/>
    <w:rsid w:val="00A22522"/>
    <w:rsid w:val="00A22809"/>
    <w:rsid w:val="00A22CB0"/>
    <w:rsid w:val="00A23463"/>
    <w:rsid w:val="00A23A67"/>
    <w:rsid w:val="00A23B40"/>
    <w:rsid w:val="00A24446"/>
    <w:rsid w:val="00A24472"/>
    <w:rsid w:val="00A24AFD"/>
    <w:rsid w:val="00A24DD5"/>
    <w:rsid w:val="00A24F5C"/>
    <w:rsid w:val="00A2525C"/>
    <w:rsid w:val="00A2540C"/>
    <w:rsid w:val="00A25816"/>
    <w:rsid w:val="00A259CA"/>
    <w:rsid w:val="00A25D99"/>
    <w:rsid w:val="00A2631D"/>
    <w:rsid w:val="00A267A8"/>
    <w:rsid w:val="00A27602"/>
    <w:rsid w:val="00A27742"/>
    <w:rsid w:val="00A277D5"/>
    <w:rsid w:val="00A27D30"/>
    <w:rsid w:val="00A30159"/>
    <w:rsid w:val="00A30790"/>
    <w:rsid w:val="00A3090E"/>
    <w:rsid w:val="00A30B5B"/>
    <w:rsid w:val="00A30C58"/>
    <w:rsid w:val="00A30CFC"/>
    <w:rsid w:val="00A312EF"/>
    <w:rsid w:val="00A31926"/>
    <w:rsid w:val="00A323F5"/>
    <w:rsid w:val="00A32DD7"/>
    <w:rsid w:val="00A32F96"/>
    <w:rsid w:val="00A33B4C"/>
    <w:rsid w:val="00A33F90"/>
    <w:rsid w:val="00A341E4"/>
    <w:rsid w:val="00A3433F"/>
    <w:rsid w:val="00A3456F"/>
    <w:rsid w:val="00A35507"/>
    <w:rsid w:val="00A35596"/>
    <w:rsid w:val="00A35B03"/>
    <w:rsid w:val="00A35F83"/>
    <w:rsid w:val="00A36118"/>
    <w:rsid w:val="00A36272"/>
    <w:rsid w:val="00A36B17"/>
    <w:rsid w:val="00A37CC8"/>
    <w:rsid w:val="00A37F49"/>
    <w:rsid w:val="00A403B2"/>
    <w:rsid w:val="00A407A1"/>
    <w:rsid w:val="00A40871"/>
    <w:rsid w:val="00A40D2F"/>
    <w:rsid w:val="00A412AB"/>
    <w:rsid w:val="00A41307"/>
    <w:rsid w:val="00A417D6"/>
    <w:rsid w:val="00A4193E"/>
    <w:rsid w:val="00A41F11"/>
    <w:rsid w:val="00A41F77"/>
    <w:rsid w:val="00A42082"/>
    <w:rsid w:val="00A42544"/>
    <w:rsid w:val="00A42EE9"/>
    <w:rsid w:val="00A43006"/>
    <w:rsid w:val="00A43223"/>
    <w:rsid w:val="00A43459"/>
    <w:rsid w:val="00A435A4"/>
    <w:rsid w:val="00A43F41"/>
    <w:rsid w:val="00A440E0"/>
    <w:rsid w:val="00A442EF"/>
    <w:rsid w:val="00A4569B"/>
    <w:rsid w:val="00A45CCD"/>
    <w:rsid w:val="00A466DC"/>
    <w:rsid w:val="00A46777"/>
    <w:rsid w:val="00A46ABC"/>
    <w:rsid w:val="00A46D09"/>
    <w:rsid w:val="00A4733D"/>
    <w:rsid w:val="00A47B4A"/>
    <w:rsid w:val="00A47CA1"/>
    <w:rsid w:val="00A47CB3"/>
    <w:rsid w:val="00A47F34"/>
    <w:rsid w:val="00A50C01"/>
    <w:rsid w:val="00A50C0F"/>
    <w:rsid w:val="00A50F3C"/>
    <w:rsid w:val="00A514D0"/>
    <w:rsid w:val="00A5154C"/>
    <w:rsid w:val="00A51948"/>
    <w:rsid w:val="00A51D1A"/>
    <w:rsid w:val="00A52046"/>
    <w:rsid w:val="00A52BEA"/>
    <w:rsid w:val="00A52E0D"/>
    <w:rsid w:val="00A533DA"/>
    <w:rsid w:val="00A53BF8"/>
    <w:rsid w:val="00A5418D"/>
    <w:rsid w:val="00A5474E"/>
    <w:rsid w:val="00A549A1"/>
    <w:rsid w:val="00A54D1F"/>
    <w:rsid w:val="00A54E97"/>
    <w:rsid w:val="00A5503E"/>
    <w:rsid w:val="00A55071"/>
    <w:rsid w:val="00A550A7"/>
    <w:rsid w:val="00A55B38"/>
    <w:rsid w:val="00A55BE8"/>
    <w:rsid w:val="00A564F0"/>
    <w:rsid w:val="00A566E0"/>
    <w:rsid w:val="00A56C27"/>
    <w:rsid w:val="00A56FF3"/>
    <w:rsid w:val="00A5710E"/>
    <w:rsid w:val="00A57494"/>
    <w:rsid w:val="00A5770A"/>
    <w:rsid w:val="00A578BC"/>
    <w:rsid w:val="00A57C83"/>
    <w:rsid w:val="00A57D79"/>
    <w:rsid w:val="00A57DBC"/>
    <w:rsid w:val="00A60139"/>
    <w:rsid w:val="00A6130D"/>
    <w:rsid w:val="00A616C4"/>
    <w:rsid w:val="00A61702"/>
    <w:rsid w:val="00A61888"/>
    <w:rsid w:val="00A61DC3"/>
    <w:rsid w:val="00A627EC"/>
    <w:rsid w:val="00A63ABB"/>
    <w:rsid w:val="00A63F2A"/>
    <w:rsid w:val="00A64015"/>
    <w:rsid w:val="00A64234"/>
    <w:rsid w:val="00A642AF"/>
    <w:rsid w:val="00A6444F"/>
    <w:rsid w:val="00A648DF"/>
    <w:rsid w:val="00A64A14"/>
    <w:rsid w:val="00A64DB5"/>
    <w:rsid w:val="00A64DF0"/>
    <w:rsid w:val="00A650FF"/>
    <w:rsid w:val="00A65C7B"/>
    <w:rsid w:val="00A65ED8"/>
    <w:rsid w:val="00A661F0"/>
    <w:rsid w:val="00A66631"/>
    <w:rsid w:val="00A666B6"/>
    <w:rsid w:val="00A66C3A"/>
    <w:rsid w:val="00A66E8D"/>
    <w:rsid w:val="00A66F9E"/>
    <w:rsid w:val="00A66FFA"/>
    <w:rsid w:val="00A6709A"/>
    <w:rsid w:val="00A67202"/>
    <w:rsid w:val="00A674A0"/>
    <w:rsid w:val="00A674DB"/>
    <w:rsid w:val="00A67865"/>
    <w:rsid w:val="00A6797B"/>
    <w:rsid w:val="00A679F9"/>
    <w:rsid w:val="00A705DE"/>
    <w:rsid w:val="00A7095E"/>
    <w:rsid w:val="00A70ADF"/>
    <w:rsid w:val="00A70F47"/>
    <w:rsid w:val="00A7142C"/>
    <w:rsid w:val="00A71466"/>
    <w:rsid w:val="00A716B7"/>
    <w:rsid w:val="00A716C2"/>
    <w:rsid w:val="00A7188C"/>
    <w:rsid w:val="00A71B9E"/>
    <w:rsid w:val="00A71C8E"/>
    <w:rsid w:val="00A71F80"/>
    <w:rsid w:val="00A724E7"/>
    <w:rsid w:val="00A729C8"/>
    <w:rsid w:val="00A72CCF"/>
    <w:rsid w:val="00A72FCA"/>
    <w:rsid w:val="00A7326F"/>
    <w:rsid w:val="00A734CE"/>
    <w:rsid w:val="00A736D2"/>
    <w:rsid w:val="00A73B27"/>
    <w:rsid w:val="00A73B50"/>
    <w:rsid w:val="00A7403A"/>
    <w:rsid w:val="00A74AB4"/>
    <w:rsid w:val="00A74B5E"/>
    <w:rsid w:val="00A751E5"/>
    <w:rsid w:val="00A751F7"/>
    <w:rsid w:val="00A75AAF"/>
    <w:rsid w:val="00A76060"/>
    <w:rsid w:val="00A7610E"/>
    <w:rsid w:val="00A763AF"/>
    <w:rsid w:val="00A767B7"/>
    <w:rsid w:val="00A76A7A"/>
    <w:rsid w:val="00A770EF"/>
    <w:rsid w:val="00A801C0"/>
    <w:rsid w:val="00A802B9"/>
    <w:rsid w:val="00A804CD"/>
    <w:rsid w:val="00A805ED"/>
    <w:rsid w:val="00A80825"/>
    <w:rsid w:val="00A808E3"/>
    <w:rsid w:val="00A8114F"/>
    <w:rsid w:val="00A81687"/>
    <w:rsid w:val="00A817AC"/>
    <w:rsid w:val="00A81BED"/>
    <w:rsid w:val="00A81EC4"/>
    <w:rsid w:val="00A81FA7"/>
    <w:rsid w:val="00A82080"/>
    <w:rsid w:val="00A82114"/>
    <w:rsid w:val="00A82792"/>
    <w:rsid w:val="00A82C91"/>
    <w:rsid w:val="00A82F70"/>
    <w:rsid w:val="00A848D1"/>
    <w:rsid w:val="00A84EFB"/>
    <w:rsid w:val="00A8617E"/>
    <w:rsid w:val="00A8645B"/>
    <w:rsid w:val="00A86898"/>
    <w:rsid w:val="00A874CF"/>
    <w:rsid w:val="00A874FA"/>
    <w:rsid w:val="00A8766A"/>
    <w:rsid w:val="00A87915"/>
    <w:rsid w:val="00A901C5"/>
    <w:rsid w:val="00A9043E"/>
    <w:rsid w:val="00A907B4"/>
    <w:rsid w:val="00A90818"/>
    <w:rsid w:val="00A9095D"/>
    <w:rsid w:val="00A90BBD"/>
    <w:rsid w:val="00A90E25"/>
    <w:rsid w:val="00A90E9D"/>
    <w:rsid w:val="00A9171C"/>
    <w:rsid w:val="00A9185A"/>
    <w:rsid w:val="00A918E9"/>
    <w:rsid w:val="00A919EC"/>
    <w:rsid w:val="00A91C26"/>
    <w:rsid w:val="00A92511"/>
    <w:rsid w:val="00A927C4"/>
    <w:rsid w:val="00A928C3"/>
    <w:rsid w:val="00A92E12"/>
    <w:rsid w:val="00A9310F"/>
    <w:rsid w:val="00A9339E"/>
    <w:rsid w:val="00A93743"/>
    <w:rsid w:val="00A9438F"/>
    <w:rsid w:val="00A94B1A"/>
    <w:rsid w:val="00A94BBB"/>
    <w:rsid w:val="00A9506F"/>
    <w:rsid w:val="00A955CA"/>
    <w:rsid w:val="00A9571E"/>
    <w:rsid w:val="00A95A30"/>
    <w:rsid w:val="00A95A97"/>
    <w:rsid w:val="00A96482"/>
    <w:rsid w:val="00A967FD"/>
    <w:rsid w:val="00A96B2C"/>
    <w:rsid w:val="00A97CE3"/>
    <w:rsid w:val="00A97E6D"/>
    <w:rsid w:val="00AA0BDC"/>
    <w:rsid w:val="00AA15BC"/>
    <w:rsid w:val="00AA15F2"/>
    <w:rsid w:val="00AA1709"/>
    <w:rsid w:val="00AA1CF5"/>
    <w:rsid w:val="00AA2525"/>
    <w:rsid w:val="00AA275D"/>
    <w:rsid w:val="00AA2A9B"/>
    <w:rsid w:val="00AA2C3D"/>
    <w:rsid w:val="00AA322C"/>
    <w:rsid w:val="00AA3298"/>
    <w:rsid w:val="00AA43F2"/>
    <w:rsid w:val="00AA45B0"/>
    <w:rsid w:val="00AA5321"/>
    <w:rsid w:val="00AA5F3D"/>
    <w:rsid w:val="00AA619E"/>
    <w:rsid w:val="00AA64AA"/>
    <w:rsid w:val="00AA64B0"/>
    <w:rsid w:val="00AA6963"/>
    <w:rsid w:val="00AA6E3B"/>
    <w:rsid w:val="00AA6EE0"/>
    <w:rsid w:val="00AA746A"/>
    <w:rsid w:val="00AA7D4C"/>
    <w:rsid w:val="00AB00AD"/>
    <w:rsid w:val="00AB0340"/>
    <w:rsid w:val="00AB0F5A"/>
    <w:rsid w:val="00AB156C"/>
    <w:rsid w:val="00AB1A67"/>
    <w:rsid w:val="00AB1C92"/>
    <w:rsid w:val="00AB1F7F"/>
    <w:rsid w:val="00AB1FE2"/>
    <w:rsid w:val="00AB2A15"/>
    <w:rsid w:val="00AB2C20"/>
    <w:rsid w:val="00AB3BD2"/>
    <w:rsid w:val="00AB4A4F"/>
    <w:rsid w:val="00AB4E9B"/>
    <w:rsid w:val="00AB52F0"/>
    <w:rsid w:val="00AB5442"/>
    <w:rsid w:val="00AB55F3"/>
    <w:rsid w:val="00AB57E5"/>
    <w:rsid w:val="00AB5DA2"/>
    <w:rsid w:val="00AB6735"/>
    <w:rsid w:val="00AB6814"/>
    <w:rsid w:val="00AB77C0"/>
    <w:rsid w:val="00AC03A7"/>
    <w:rsid w:val="00AC04BA"/>
    <w:rsid w:val="00AC074A"/>
    <w:rsid w:val="00AC0BDE"/>
    <w:rsid w:val="00AC0D30"/>
    <w:rsid w:val="00AC0E39"/>
    <w:rsid w:val="00AC12C6"/>
    <w:rsid w:val="00AC15AB"/>
    <w:rsid w:val="00AC20B4"/>
    <w:rsid w:val="00AC2377"/>
    <w:rsid w:val="00AC2382"/>
    <w:rsid w:val="00AC2500"/>
    <w:rsid w:val="00AC2AED"/>
    <w:rsid w:val="00AC30C8"/>
    <w:rsid w:val="00AC35F5"/>
    <w:rsid w:val="00AC3804"/>
    <w:rsid w:val="00AC3D61"/>
    <w:rsid w:val="00AC3D96"/>
    <w:rsid w:val="00AC4159"/>
    <w:rsid w:val="00AC4205"/>
    <w:rsid w:val="00AC437D"/>
    <w:rsid w:val="00AC4812"/>
    <w:rsid w:val="00AC4A08"/>
    <w:rsid w:val="00AC5133"/>
    <w:rsid w:val="00AC5626"/>
    <w:rsid w:val="00AC568A"/>
    <w:rsid w:val="00AC56CC"/>
    <w:rsid w:val="00AC5716"/>
    <w:rsid w:val="00AC5D88"/>
    <w:rsid w:val="00AC631A"/>
    <w:rsid w:val="00AC65C6"/>
    <w:rsid w:val="00AC691E"/>
    <w:rsid w:val="00AC6A99"/>
    <w:rsid w:val="00AC7336"/>
    <w:rsid w:val="00AC7578"/>
    <w:rsid w:val="00AC7A62"/>
    <w:rsid w:val="00AC7D4B"/>
    <w:rsid w:val="00AD035B"/>
    <w:rsid w:val="00AD0483"/>
    <w:rsid w:val="00AD0BC6"/>
    <w:rsid w:val="00AD0EEB"/>
    <w:rsid w:val="00AD1671"/>
    <w:rsid w:val="00AD1AAE"/>
    <w:rsid w:val="00AD1C00"/>
    <w:rsid w:val="00AD1C50"/>
    <w:rsid w:val="00AD21B3"/>
    <w:rsid w:val="00AD277F"/>
    <w:rsid w:val="00AD283A"/>
    <w:rsid w:val="00AD2D42"/>
    <w:rsid w:val="00AD3082"/>
    <w:rsid w:val="00AD32B4"/>
    <w:rsid w:val="00AD32C9"/>
    <w:rsid w:val="00AD35B8"/>
    <w:rsid w:val="00AD36FA"/>
    <w:rsid w:val="00AD45CD"/>
    <w:rsid w:val="00AD4AD0"/>
    <w:rsid w:val="00AD4C4E"/>
    <w:rsid w:val="00AD52B7"/>
    <w:rsid w:val="00AD5347"/>
    <w:rsid w:val="00AD5379"/>
    <w:rsid w:val="00AD5436"/>
    <w:rsid w:val="00AD60CD"/>
    <w:rsid w:val="00AD6AD3"/>
    <w:rsid w:val="00AD6C8C"/>
    <w:rsid w:val="00AD733D"/>
    <w:rsid w:val="00AD789E"/>
    <w:rsid w:val="00AD7F28"/>
    <w:rsid w:val="00AE04D3"/>
    <w:rsid w:val="00AE091D"/>
    <w:rsid w:val="00AE0C82"/>
    <w:rsid w:val="00AE0FC6"/>
    <w:rsid w:val="00AE2ABA"/>
    <w:rsid w:val="00AE2C61"/>
    <w:rsid w:val="00AE31E2"/>
    <w:rsid w:val="00AE3B60"/>
    <w:rsid w:val="00AE3BF5"/>
    <w:rsid w:val="00AE3CA3"/>
    <w:rsid w:val="00AE3E97"/>
    <w:rsid w:val="00AE42E2"/>
    <w:rsid w:val="00AE4753"/>
    <w:rsid w:val="00AE4965"/>
    <w:rsid w:val="00AE4BCA"/>
    <w:rsid w:val="00AE4D67"/>
    <w:rsid w:val="00AE4EFA"/>
    <w:rsid w:val="00AE53A1"/>
    <w:rsid w:val="00AE5744"/>
    <w:rsid w:val="00AE5A22"/>
    <w:rsid w:val="00AE5C53"/>
    <w:rsid w:val="00AE5DFA"/>
    <w:rsid w:val="00AE5E25"/>
    <w:rsid w:val="00AE63A3"/>
    <w:rsid w:val="00AE6453"/>
    <w:rsid w:val="00AE71F5"/>
    <w:rsid w:val="00AE74CF"/>
    <w:rsid w:val="00AE7615"/>
    <w:rsid w:val="00AE778C"/>
    <w:rsid w:val="00AE7FD8"/>
    <w:rsid w:val="00AF01AF"/>
    <w:rsid w:val="00AF01BC"/>
    <w:rsid w:val="00AF01C0"/>
    <w:rsid w:val="00AF0880"/>
    <w:rsid w:val="00AF12B6"/>
    <w:rsid w:val="00AF1598"/>
    <w:rsid w:val="00AF19BE"/>
    <w:rsid w:val="00AF2484"/>
    <w:rsid w:val="00AF2E71"/>
    <w:rsid w:val="00AF3168"/>
    <w:rsid w:val="00AF316F"/>
    <w:rsid w:val="00AF3299"/>
    <w:rsid w:val="00AF3348"/>
    <w:rsid w:val="00AF3361"/>
    <w:rsid w:val="00AF3B68"/>
    <w:rsid w:val="00AF3F8B"/>
    <w:rsid w:val="00AF4D09"/>
    <w:rsid w:val="00AF5350"/>
    <w:rsid w:val="00AF637E"/>
    <w:rsid w:val="00AF63E7"/>
    <w:rsid w:val="00AF65F1"/>
    <w:rsid w:val="00AF668D"/>
    <w:rsid w:val="00AF675B"/>
    <w:rsid w:val="00AF6C4C"/>
    <w:rsid w:val="00AF6DCC"/>
    <w:rsid w:val="00AF6E17"/>
    <w:rsid w:val="00AF6F78"/>
    <w:rsid w:val="00AF78CE"/>
    <w:rsid w:val="00AF7DDA"/>
    <w:rsid w:val="00AF7F33"/>
    <w:rsid w:val="00B010BE"/>
    <w:rsid w:val="00B0165D"/>
    <w:rsid w:val="00B01AA6"/>
    <w:rsid w:val="00B01AAE"/>
    <w:rsid w:val="00B01B60"/>
    <w:rsid w:val="00B02062"/>
    <w:rsid w:val="00B02631"/>
    <w:rsid w:val="00B026E8"/>
    <w:rsid w:val="00B02919"/>
    <w:rsid w:val="00B02C86"/>
    <w:rsid w:val="00B02D7B"/>
    <w:rsid w:val="00B031F3"/>
    <w:rsid w:val="00B03387"/>
    <w:rsid w:val="00B041D6"/>
    <w:rsid w:val="00B042D3"/>
    <w:rsid w:val="00B04F39"/>
    <w:rsid w:val="00B05171"/>
    <w:rsid w:val="00B051DA"/>
    <w:rsid w:val="00B052A4"/>
    <w:rsid w:val="00B07FB5"/>
    <w:rsid w:val="00B100D4"/>
    <w:rsid w:val="00B108F7"/>
    <w:rsid w:val="00B10EA1"/>
    <w:rsid w:val="00B11728"/>
    <w:rsid w:val="00B125DE"/>
    <w:rsid w:val="00B12C6F"/>
    <w:rsid w:val="00B13426"/>
    <w:rsid w:val="00B1350D"/>
    <w:rsid w:val="00B136B3"/>
    <w:rsid w:val="00B138EF"/>
    <w:rsid w:val="00B13A1C"/>
    <w:rsid w:val="00B13EB7"/>
    <w:rsid w:val="00B13FDD"/>
    <w:rsid w:val="00B14A59"/>
    <w:rsid w:val="00B14D15"/>
    <w:rsid w:val="00B14DB9"/>
    <w:rsid w:val="00B15596"/>
    <w:rsid w:val="00B1578F"/>
    <w:rsid w:val="00B15AC3"/>
    <w:rsid w:val="00B160DF"/>
    <w:rsid w:val="00B16411"/>
    <w:rsid w:val="00B16F68"/>
    <w:rsid w:val="00B172CE"/>
    <w:rsid w:val="00B17745"/>
    <w:rsid w:val="00B17B8B"/>
    <w:rsid w:val="00B17DC7"/>
    <w:rsid w:val="00B2030F"/>
    <w:rsid w:val="00B20AFA"/>
    <w:rsid w:val="00B20CDD"/>
    <w:rsid w:val="00B211D1"/>
    <w:rsid w:val="00B213F2"/>
    <w:rsid w:val="00B2171A"/>
    <w:rsid w:val="00B22392"/>
    <w:rsid w:val="00B225AD"/>
    <w:rsid w:val="00B228E5"/>
    <w:rsid w:val="00B22921"/>
    <w:rsid w:val="00B22EB2"/>
    <w:rsid w:val="00B2318D"/>
    <w:rsid w:val="00B2342D"/>
    <w:rsid w:val="00B2366E"/>
    <w:rsid w:val="00B23C44"/>
    <w:rsid w:val="00B245F5"/>
    <w:rsid w:val="00B2469C"/>
    <w:rsid w:val="00B24775"/>
    <w:rsid w:val="00B247A2"/>
    <w:rsid w:val="00B24A60"/>
    <w:rsid w:val="00B24BBE"/>
    <w:rsid w:val="00B25372"/>
    <w:rsid w:val="00B2551A"/>
    <w:rsid w:val="00B2598A"/>
    <w:rsid w:val="00B259A7"/>
    <w:rsid w:val="00B269A2"/>
    <w:rsid w:val="00B272EA"/>
    <w:rsid w:val="00B27442"/>
    <w:rsid w:val="00B27564"/>
    <w:rsid w:val="00B27749"/>
    <w:rsid w:val="00B277BF"/>
    <w:rsid w:val="00B27A4D"/>
    <w:rsid w:val="00B304E3"/>
    <w:rsid w:val="00B3091D"/>
    <w:rsid w:val="00B30C47"/>
    <w:rsid w:val="00B30DBE"/>
    <w:rsid w:val="00B31167"/>
    <w:rsid w:val="00B31195"/>
    <w:rsid w:val="00B31453"/>
    <w:rsid w:val="00B31AB7"/>
    <w:rsid w:val="00B31DB9"/>
    <w:rsid w:val="00B329D8"/>
    <w:rsid w:val="00B32BB9"/>
    <w:rsid w:val="00B32E98"/>
    <w:rsid w:val="00B3343F"/>
    <w:rsid w:val="00B337BB"/>
    <w:rsid w:val="00B3388E"/>
    <w:rsid w:val="00B339D1"/>
    <w:rsid w:val="00B33AE1"/>
    <w:rsid w:val="00B33B81"/>
    <w:rsid w:val="00B3401B"/>
    <w:rsid w:val="00B34298"/>
    <w:rsid w:val="00B34424"/>
    <w:rsid w:val="00B34BDB"/>
    <w:rsid w:val="00B35476"/>
    <w:rsid w:val="00B3571E"/>
    <w:rsid w:val="00B362E3"/>
    <w:rsid w:val="00B36722"/>
    <w:rsid w:val="00B379AE"/>
    <w:rsid w:val="00B37A05"/>
    <w:rsid w:val="00B37C38"/>
    <w:rsid w:val="00B40C53"/>
    <w:rsid w:val="00B40D1E"/>
    <w:rsid w:val="00B40D3B"/>
    <w:rsid w:val="00B40EBB"/>
    <w:rsid w:val="00B41517"/>
    <w:rsid w:val="00B41819"/>
    <w:rsid w:val="00B427E2"/>
    <w:rsid w:val="00B4288C"/>
    <w:rsid w:val="00B42A32"/>
    <w:rsid w:val="00B43262"/>
    <w:rsid w:val="00B43510"/>
    <w:rsid w:val="00B43D42"/>
    <w:rsid w:val="00B43D9D"/>
    <w:rsid w:val="00B44100"/>
    <w:rsid w:val="00B4480C"/>
    <w:rsid w:val="00B4487F"/>
    <w:rsid w:val="00B45C75"/>
    <w:rsid w:val="00B45DAB"/>
    <w:rsid w:val="00B45FDA"/>
    <w:rsid w:val="00B465C9"/>
    <w:rsid w:val="00B466BB"/>
    <w:rsid w:val="00B468E4"/>
    <w:rsid w:val="00B46CBA"/>
    <w:rsid w:val="00B46F94"/>
    <w:rsid w:val="00B47C14"/>
    <w:rsid w:val="00B514B8"/>
    <w:rsid w:val="00B51774"/>
    <w:rsid w:val="00B519AC"/>
    <w:rsid w:val="00B521E5"/>
    <w:rsid w:val="00B52324"/>
    <w:rsid w:val="00B52691"/>
    <w:rsid w:val="00B52756"/>
    <w:rsid w:val="00B52B51"/>
    <w:rsid w:val="00B52BCF"/>
    <w:rsid w:val="00B532A0"/>
    <w:rsid w:val="00B54015"/>
    <w:rsid w:val="00B5403D"/>
    <w:rsid w:val="00B541B7"/>
    <w:rsid w:val="00B5473E"/>
    <w:rsid w:val="00B54889"/>
    <w:rsid w:val="00B548F2"/>
    <w:rsid w:val="00B55256"/>
    <w:rsid w:val="00B55387"/>
    <w:rsid w:val="00B55977"/>
    <w:rsid w:val="00B56445"/>
    <w:rsid w:val="00B5645B"/>
    <w:rsid w:val="00B565D4"/>
    <w:rsid w:val="00B56938"/>
    <w:rsid w:val="00B57277"/>
    <w:rsid w:val="00B5738F"/>
    <w:rsid w:val="00B573F3"/>
    <w:rsid w:val="00B574FA"/>
    <w:rsid w:val="00B57D57"/>
    <w:rsid w:val="00B57DC3"/>
    <w:rsid w:val="00B6003C"/>
    <w:rsid w:val="00B609F1"/>
    <w:rsid w:val="00B60A66"/>
    <w:rsid w:val="00B60B11"/>
    <w:rsid w:val="00B60BFA"/>
    <w:rsid w:val="00B61158"/>
    <w:rsid w:val="00B616D9"/>
    <w:rsid w:val="00B61BC7"/>
    <w:rsid w:val="00B61E9E"/>
    <w:rsid w:val="00B61F03"/>
    <w:rsid w:val="00B61FC1"/>
    <w:rsid w:val="00B6218E"/>
    <w:rsid w:val="00B62247"/>
    <w:rsid w:val="00B626E4"/>
    <w:rsid w:val="00B6279C"/>
    <w:rsid w:val="00B62FA6"/>
    <w:rsid w:val="00B634AC"/>
    <w:rsid w:val="00B637A2"/>
    <w:rsid w:val="00B63F44"/>
    <w:rsid w:val="00B64C88"/>
    <w:rsid w:val="00B64D3E"/>
    <w:rsid w:val="00B65068"/>
    <w:rsid w:val="00B65231"/>
    <w:rsid w:val="00B65737"/>
    <w:rsid w:val="00B6601F"/>
    <w:rsid w:val="00B6657D"/>
    <w:rsid w:val="00B667FE"/>
    <w:rsid w:val="00B6778B"/>
    <w:rsid w:val="00B67A08"/>
    <w:rsid w:val="00B67A39"/>
    <w:rsid w:val="00B67B75"/>
    <w:rsid w:val="00B709BF"/>
    <w:rsid w:val="00B70F87"/>
    <w:rsid w:val="00B7106E"/>
    <w:rsid w:val="00B7138A"/>
    <w:rsid w:val="00B72261"/>
    <w:rsid w:val="00B727E9"/>
    <w:rsid w:val="00B72C4A"/>
    <w:rsid w:val="00B72DB2"/>
    <w:rsid w:val="00B72F4A"/>
    <w:rsid w:val="00B73252"/>
    <w:rsid w:val="00B7330F"/>
    <w:rsid w:val="00B73366"/>
    <w:rsid w:val="00B735F5"/>
    <w:rsid w:val="00B73957"/>
    <w:rsid w:val="00B73A3F"/>
    <w:rsid w:val="00B73CFE"/>
    <w:rsid w:val="00B7404B"/>
    <w:rsid w:val="00B747E1"/>
    <w:rsid w:val="00B74E7A"/>
    <w:rsid w:val="00B74EC3"/>
    <w:rsid w:val="00B75087"/>
    <w:rsid w:val="00B755AE"/>
    <w:rsid w:val="00B75618"/>
    <w:rsid w:val="00B75775"/>
    <w:rsid w:val="00B75A6C"/>
    <w:rsid w:val="00B75AC2"/>
    <w:rsid w:val="00B760AC"/>
    <w:rsid w:val="00B767BF"/>
    <w:rsid w:val="00B7681C"/>
    <w:rsid w:val="00B76F6D"/>
    <w:rsid w:val="00B7707C"/>
    <w:rsid w:val="00B771EC"/>
    <w:rsid w:val="00B77341"/>
    <w:rsid w:val="00B77544"/>
    <w:rsid w:val="00B777C0"/>
    <w:rsid w:val="00B77FC2"/>
    <w:rsid w:val="00B801AB"/>
    <w:rsid w:val="00B80555"/>
    <w:rsid w:val="00B80595"/>
    <w:rsid w:val="00B810A2"/>
    <w:rsid w:val="00B81138"/>
    <w:rsid w:val="00B815D9"/>
    <w:rsid w:val="00B81A45"/>
    <w:rsid w:val="00B81E7C"/>
    <w:rsid w:val="00B82069"/>
    <w:rsid w:val="00B82340"/>
    <w:rsid w:val="00B82D2E"/>
    <w:rsid w:val="00B830D0"/>
    <w:rsid w:val="00B8339F"/>
    <w:rsid w:val="00B83C27"/>
    <w:rsid w:val="00B83CC4"/>
    <w:rsid w:val="00B83EE3"/>
    <w:rsid w:val="00B83F8F"/>
    <w:rsid w:val="00B842B0"/>
    <w:rsid w:val="00B84700"/>
    <w:rsid w:val="00B84904"/>
    <w:rsid w:val="00B84965"/>
    <w:rsid w:val="00B84A97"/>
    <w:rsid w:val="00B84BC3"/>
    <w:rsid w:val="00B84BDD"/>
    <w:rsid w:val="00B84DB2"/>
    <w:rsid w:val="00B851E3"/>
    <w:rsid w:val="00B864BB"/>
    <w:rsid w:val="00B86678"/>
    <w:rsid w:val="00B86855"/>
    <w:rsid w:val="00B868CB"/>
    <w:rsid w:val="00B86C35"/>
    <w:rsid w:val="00B870EF"/>
    <w:rsid w:val="00B872B3"/>
    <w:rsid w:val="00B87646"/>
    <w:rsid w:val="00B8783C"/>
    <w:rsid w:val="00B8785F"/>
    <w:rsid w:val="00B87E7C"/>
    <w:rsid w:val="00B90022"/>
    <w:rsid w:val="00B9014C"/>
    <w:rsid w:val="00B9054D"/>
    <w:rsid w:val="00B90D53"/>
    <w:rsid w:val="00B91108"/>
    <w:rsid w:val="00B911D6"/>
    <w:rsid w:val="00B91314"/>
    <w:rsid w:val="00B91637"/>
    <w:rsid w:val="00B9195F"/>
    <w:rsid w:val="00B91BFC"/>
    <w:rsid w:val="00B91DFA"/>
    <w:rsid w:val="00B92141"/>
    <w:rsid w:val="00B9217D"/>
    <w:rsid w:val="00B926A1"/>
    <w:rsid w:val="00B92812"/>
    <w:rsid w:val="00B929B9"/>
    <w:rsid w:val="00B932A5"/>
    <w:rsid w:val="00B937C5"/>
    <w:rsid w:val="00B9470D"/>
    <w:rsid w:val="00B94C86"/>
    <w:rsid w:val="00B95841"/>
    <w:rsid w:val="00B959D2"/>
    <w:rsid w:val="00B95AAA"/>
    <w:rsid w:val="00B962CD"/>
    <w:rsid w:val="00B96762"/>
    <w:rsid w:val="00B96C20"/>
    <w:rsid w:val="00B96DBC"/>
    <w:rsid w:val="00B96DFD"/>
    <w:rsid w:val="00B97161"/>
    <w:rsid w:val="00B971FB"/>
    <w:rsid w:val="00B97667"/>
    <w:rsid w:val="00BA00C6"/>
    <w:rsid w:val="00BA046F"/>
    <w:rsid w:val="00BA0673"/>
    <w:rsid w:val="00BA09A8"/>
    <w:rsid w:val="00BA1590"/>
    <w:rsid w:val="00BA181B"/>
    <w:rsid w:val="00BA183E"/>
    <w:rsid w:val="00BA25B3"/>
    <w:rsid w:val="00BA25DD"/>
    <w:rsid w:val="00BA2679"/>
    <w:rsid w:val="00BA26FE"/>
    <w:rsid w:val="00BA2D2E"/>
    <w:rsid w:val="00BA34A4"/>
    <w:rsid w:val="00BA3D87"/>
    <w:rsid w:val="00BA48AA"/>
    <w:rsid w:val="00BA498C"/>
    <w:rsid w:val="00BA49E4"/>
    <w:rsid w:val="00BA5537"/>
    <w:rsid w:val="00BA5DA7"/>
    <w:rsid w:val="00BA6010"/>
    <w:rsid w:val="00BA7AE9"/>
    <w:rsid w:val="00BB048E"/>
    <w:rsid w:val="00BB06BC"/>
    <w:rsid w:val="00BB0B09"/>
    <w:rsid w:val="00BB1258"/>
    <w:rsid w:val="00BB14AB"/>
    <w:rsid w:val="00BB1907"/>
    <w:rsid w:val="00BB1CDE"/>
    <w:rsid w:val="00BB2944"/>
    <w:rsid w:val="00BB2A90"/>
    <w:rsid w:val="00BB303E"/>
    <w:rsid w:val="00BB38F9"/>
    <w:rsid w:val="00BB3B22"/>
    <w:rsid w:val="00BB44EF"/>
    <w:rsid w:val="00BB4594"/>
    <w:rsid w:val="00BB45A1"/>
    <w:rsid w:val="00BB4B2C"/>
    <w:rsid w:val="00BB4EA4"/>
    <w:rsid w:val="00BB5233"/>
    <w:rsid w:val="00BB5498"/>
    <w:rsid w:val="00BB6070"/>
    <w:rsid w:val="00BB6309"/>
    <w:rsid w:val="00BB6428"/>
    <w:rsid w:val="00BB6634"/>
    <w:rsid w:val="00BB6D81"/>
    <w:rsid w:val="00BB7187"/>
    <w:rsid w:val="00BB7328"/>
    <w:rsid w:val="00BB7686"/>
    <w:rsid w:val="00BB788D"/>
    <w:rsid w:val="00BB7915"/>
    <w:rsid w:val="00BC015C"/>
    <w:rsid w:val="00BC0C4A"/>
    <w:rsid w:val="00BC0D00"/>
    <w:rsid w:val="00BC0D50"/>
    <w:rsid w:val="00BC0E4C"/>
    <w:rsid w:val="00BC1967"/>
    <w:rsid w:val="00BC1B76"/>
    <w:rsid w:val="00BC1FF2"/>
    <w:rsid w:val="00BC23F9"/>
    <w:rsid w:val="00BC324A"/>
    <w:rsid w:val="00BC33FD"/>
    <w:rsid w:val="00BC3421"/>
    <w:rsid w:val="00BC38F8"/>
    <w:rsid w:val="00BC4222"/>
    <w:rsid w:val="00BC429C"/>
    <w:rsid w:val="00BC5180"/>
    <w:rsid w:val="00BC55D6"/>
    <w:rsid w:val="00BC5942"/>
    <w:rsid w:val="00BC5CC2"/>
    <w:rsid w:val="00BC629D"/>
    <w:rsid w:val="00BC673B"/>
    <w:rsid w:val="00BC6B8C"/>
    <w:rsid w:val="00BC6DDD"/>
    <w:rsid w:val="00BC732C"/>
    <w:rsid w:val="00BC738B"/>
    <w:rsid w:val="00BC7708"/>
    <w:rsid w:val="00BC79B9"/>
    <w:rsid w:val="00BC7F0B"/>
    <w:rsid w:val="00BD0C06"/>
    <w:rsid w:val="00BD1600"/>
    <w:rsid w:val="00BD186B"/>
    <w:rsid w:val="00BD189F"/>
    <w:rsid w:val="00BD18A5"/>
    <w:rsid w:val="00BD2194"/>
    <w:rsid w:val="00BD2593"/>
    <w:rsid w:val="00BD2B64"/>
    <w:rsid w:val="00BD2EEB"/>
    <w:rsid w:val="00BD34F1"/>
    <w:rsid w:val="00BD36DA"/>
    <w:rsid w:val="00BD3820"/>
    <w:rsid w:val="00BD4D2A"/>
    <w:rsid w:val="00BD4E1C"/>
    <w:rsid w:val="00BD528D"/>
    <w:rsid w:val="00BD54CD"/>
    <w:rsid w:val="00BD5862"/>
    <w:rsid w:val="00BD5B28"/>
    <w:rsid w:val="00BD5B2C"/>
    <w:rsid w:val="00BD60E3"/>
    <w:rsid w:val="00BD6168"/>
    <w:rsid w:val="00BD6AED"/>
    <w:rsid w:val="00BD6CAB"/>
    <w:rsid w:val="00BD73C0"/>
    <w:rsid w:val="00BD7F04"/>
    <w:rsid w:val="00BE0423"/>
    <w:rsid w:val="00BE0B4F"/>
    <w:rsid w:val="00BE0BC1"/>
    <w:rsid w:val="00BE13F4"/>
    <w:rsid w:val="00BE194D"/>
    <w:rsid w:val="00BE1B55"/>
    <w:rsid w:val="00BE1C25"/>
    <w:rsid w:val="00BE2203"/>
    <w:rsid w:val="00BE2580"/>
    <w:rsid w:val="00BE266D"/>
    <w:rsid w:val="00BE291C"/>
    <w:rsid w:val="00BE2C02"/>
    <w:rsid w:val="00BE2CC9"/>
    <w:rsid w:val="00BE2DC0"/>
    <w:rsid w:val="00BE38BD"/>
    <w:rsid w:val="00BE3938"/>
    <w:rsid w:val="00BE3A94"/>
    <w:rsid w:val="00BE43B6"/>
    <w:rsid w:val="00BE4890"/>
    <w:rsid w:val="00BE4C11"/>
    <w:rsid w:val="00BE4FB5"/>
    <w:rsid w:val="00BE5811"/>
    <w:rsid w:val="00BE59BE"/>
    <w:rsid w:val="00BE6916"/>
    <w:rsid w:val="00BE6AAD"/>
    <w:rsid w:val="00BE71C0"/>
    <w:rsid w:val="00BE7323"/>
    <w:rsid w:val="00BE75A7"/>
    <w:rsid w:val="00BE7AFE"/>
    <w:rsid w:val="00BF0ED1"/>
    <w:rsid w:val="00BF1606"/>
    <w:rsid w:val="00BF2007"/>
    <w:rsid w:val="00BF204E"/>
    <w:rsid w:val="00BF26C5"/>
    <w:rsid w:val="00BF346D"/>
    <w:rsid w:val="00BF3786"/>
    <w:rsid w:val="00BF3D4A"/>
    <w:rsid w:val="00BF3EC0"/>
    <w:rsid w:val="00BF456C"/>
    <w:rsid w:val="00BF4BFF"/>
    <w:rsid w:val="00BF4E58"/>
    <w:rsid w:val="00BF546C"/>
    <w:rsid w:val="00BF5FD2"/>
    <w:rsid w:val="00BF610C"/>
    <w:rsid w:val="00BF6675"/>
    <w:rsid w:val="00BF6B26"/>
    <w:rsid w:val="00BF6CEA"/>
    <w:rsid w:val="00BF728D"/>
    <w:rsid w:val="00BF7348"/>
    <w:rsid w:val="00BF76BC"/>
    <w:rsid w:val="00BF7A33"/>
    <w:rsid w:val="00BF7D9F"/>
    <w:rsid w:val="00C0060B"/>
    <w:rsid w:val="00C0067C"/>
    <w:rsid w:val="00C01D18"/>
    <w:rsid w:val="00C0236C"/>
    <w:rsid w:val="00C02759"/>
    <w:rsid w:val="00C0277D"/>
    <w:rsid w:val="00C02C2A"/>
    <w:rsid w:val="00C02CD4"/>
    <w:rsid w:val="00C02DED"/>
    <w:rsid w:val="00C03302"/>
    <w:rsid w:val="00C0336E"/>
    <w:rsid w:val="00C03871"/>
    <w:rsid w:val="00C03BF4"/>
    <w:rsid w:val="00C0442E"/>
    <w:rsid w:val="00C0454F"/>
    <w:rsid w:val="00C0487A"/>
    <w:rsid w:val="00C0488E"/>
    <w:rsid w:val="00C04CE8"/>
    <w:rsid w:val="00C04FC0"/>
    <w:rsid w:val="00C0526F"/>
    <w:rsid w:val="00C0539D"/>
    <w:rsid w:val="00C053A1"/>
    <w:rsid w:val="00C05934"/>
    <w:rsid w:val="00C05D37"/>
    <w:rsid w:val="00C05DF9"/>
    <w:rsid w:val="00C05FB9"/>
    <w:rsid w:val="00C0647F"/>
    <w:rsid w:val="00C06614"/>
    <w:rsid w:val="00C0685A"/>
    <w:rsid w:val="00C06D75"/>
    <w:rsid w:val="00C06F98"/>
    <w:rsid w:val="00C073D9"/>
    <w:rsid w:val="00C10118"/>
    <w:rsid w:val="00C107F5"/>
    <w:rsid w:val="00C1097D"/>
    <w:rsid w:val="00C10A83"/>
    <w:rsid w:val="00C10B00"/>
    <w:rsid w:val="00C10DEF"/>
    <w:rsid w:val="00C10EF3"/>
    <w:rsid w:val="00C1152D"/>
    <w:rsid w:val="00C11E22"/>
    <w:rsid w:val="00C11FCB"/>
    <w:rsid w:val="00C12084"/>
    <w:rsid w:val="00C12207"/>
    <w:rsid w:val="00C12545"/>
    <w:rsid w:val="00C1270E"/>
    <w:rsid w:val="00C12F50"/>
    <w:rsid w:val="00C12F75"/>
    <w:rsid w:val="00C132A1"/>
    <w:rsid w:val="00C13349"/>
    <w:rsid w:val="00C1475E"/>
    <w:rsid w:val="00C14ABE"/>
    <w:rsid w:val="00C14AD3"/>
    <w:rsid w:val="00C1500C"/>
    <w:rsid w:val="00C1576A"/>
    <w:rsid w:val="00C15BA7"/>
    <w:rsid w:val="00C15BB6"/>
    <w:rsid w:val="00C15CC6"/>
    <w:rsid w:val="00C15D46"/>
    <w:rsid w:val="00C16198"/>
    <w:rsid w:val="00C16F12"/>
    <w:rsid w:val="00C171A0"/>
    <w:rsid w:val="00C174A4"/>
    <w:rsid w:val="00C17DA2"/>
    <w:rsid w:val="00C200E3"/>
    <w:rsid w:val="00C2083D"/>
    <w:rsid w:val="00C20C9A"/>
    <w:rsid w:val="00C21030"/>
    <w:rsid w:val="00C21909"/>
    <w:rsid w:val="00C21912"/>
    <w:rsid w:val="00C21B53"/>
    <w:rsid w:val="00C21F4C"/>
    <w:rsid w:val="00C22ED2"/>
    <w:rsid w:val="00C232CA"/>
    <w:rsid w:val="00C2367E"/>
    <w:rsid w:val="00C23C75"/>
    <w:rsid w:val="00C23E35"/>
    <w:rsid w:val="00C23F9E"/>
    <w:rsid w:val="00C24A53"/>
    <w:rsid w:val="00C25A23"/>
    <w:rsid w:val="00C260DF"/>
    <w:rsid w:val="00C26173"/>
    <w:rsid w:val="00C2668B"/>
    <w:rsid w:val="00C27140"/>
    <w:rsid w:val="00C2734E"/>
    <w:rsid w:val="00C30372"/>
    <w:rsid w:val="00C30B26"/>
    <w:rsid w:val="00C3158F"/>
    <w:rsid w:val="00C319E5"/>
    <w:rsid w:val="00C32455"/>
    <w:rsid w:val="00C327A6"/>
    <w:rsid w:val="00C32A63"/>
    <w:rsid w:val="00C32FE4"/>
    <w:rsid w:val="00C33021"/>
    <w:rsid w:val="00C33176"/>
    <w:rsid w:val="00C33A37"/>
    <w:rsid w:val="00C347F6"/>
    <w:rsid w:val="00C34A05"/>
    <w:rsid w:val="00C355ED"/>
    <w:rsid w:val="00C35901"/>
    <w:rsid w:val="00C35920"/>
    <w:rsid w:val="00C35A25"/>
    <w:rsid w:val="00C35ABF"/>
    <w:rsid w:val="00C3604C"/>
    <w:rsid w:val="00C364F1"/>
    <w:rsid w:val="00C36639"/>
    <w:rsid w:val="00C3665E"/>
    <w:rsid w:val="00C367FC"/>
    <w:rsid w:val="00C36C96"/>
    <w:rsid w:val="00C374D1"/>
    <w:rsid w:val="00C37768"/>
    <w:rsid w:val="00C37AE0"/>
    <w:rsid w:val="00C400F4"/>
    <w:rsid w:val="00C401A8"/>
    <w:rsid w:val="00C4032F"/>
    <w:rsid w:val="00C404E9"/>
    <w:rsid w:val="00C407B7"/>
    <w:rsid w:val="00C40966"/>
    <w:rsid w:val="00C409CA"/>
    <w:rsid w:val="00C40E65"/>
    <w:rsid w:val="00C41F76"/>
    <w:rsid w:val="00C42276"/>
    <w:rsid w:val="00C42991"/>
    <w:rsid w:val="00C429D4"/>
    <w:rsid w:val="00C42A48"/>
    <w:rsid w:val="00C42BCF"/>
    <w:rsid w:val="00C42C15"/>
    <w:rsid w:val="00C43153"/>
    <w:rsid w:val="00C433AB"/>
    <w:rsid w:val="00C43A99"/>
    <w:rsid w:val="00C43D45"/>
    <w:rsid w:val="00C44047"/>
    <w:rsid w:val="00C443C7"/>
    <w:rsid w:val="00C44770"/>
    <w:rsid w:val="00C44903"/>
    <w:rsid w:val="00C44E73"/>
    <w:rsid w:val="00C45155"/>
    <w:rsid w:val="00C45395"/>
    <w:rsid w:val="00C458EA"/>
    <w:rsid w:val="00C45AA4"/>
    <w:rsid w:val="00C4637D"/>
    <w:rsid w:val="00C4678B"/>
    <w:rsid w:val="00C4694C"/>
    <w:rsid w:val="00C469C7"/>
    <w:rsid w:val="00C46BF3"/>
    <w:rsid w:val="00C50103"/>
    <w:rsid w:val="00C50635"/>
    <w:rsid w:val="00C50A4C"/>
    <w:rsid w:val="00C50B4E"/>
    <w:rsid w:val="00C50CD1"/>
    <w:rsid w:val="00C5109E"/>
    <w:rsid w:val="00C51923"/>
    <w:rsid w:val="00C5192A"/>
    <w:rsid w:val="00C52474"/>
    <w:rsid w:val="00C52619"/>
    <w:rsid w:val="00C52A58"/>
    <w:rsid w:val="00C52A8F"/>
    <w:rsid w:val="00C52C07"/>
    <w:rsid w:val="00C53383"/>
    <w:rsid w:val="00C533F4"/>
    <w:rsid w:val="00C5369F"/>
    <w:rsid w:val="00C53C74"/>
    <w:rsid w:val="00C543D2"/>
    <w:rsid w:val="00C5498F"/>
    <w:rsid w:val="00C54BEA"/>
    <w:rsid w:val="00C54DE0"/>
    <w:rsid w:val="00C55235"/>
    <w:rsid w:val="00C55263"/>
    <w:rsid w:val="00C55D45"/>
    <w:rsid w:val="00C55E57"/>
    <w:rsid w:val="00C56000"/>
    <w:rsid w:val="00C564E1"/>
    <w:rsid w:val="00C567B9"/>
    <w:rsid w:val="00C568CD"/>
    <w:rsid w:val="00C569F1"/>
    <w:rsid w:val="00C56B65"/>
    <w:rsid w:val="00C56B71"/>
    <w:rsid w:val="00C56E61"/>
    <w:rsid w:val="00C57226"/>
    <w:rsid w:val="00C5782B"/>
    <w:rsid w:val="00C57888"/>
    <w:rsid w:val="00C5788B"/>
    <w:rsid w:val="00C57BF6"/>
    <w:rsid w:val="00C57EFE"/>
    <w:rsid w:val="00C57F57"/>
    <w:rsid w:val="00C603C6"/>
    <w:rsid w:val="00C603FF"/>
    <w:rsid w:val="00C60F01"/>
    <w:rsid w:val="00C61075"/>
    <w:rsid w:val="00C61187"/>
    <w:rsid w:val="00C61717"/>
    <w:rsid w:val="00C61B31"/>
    <w:rsid w:val="00C61FD4"/>
    <w:rsid w:val="00C62009"/>
    <w:rsid w:val="00C63BEC"/>
    <w:rsid w:val="00C64561"/>
    <w:rsid w:val="00C6464C"/>
    <w:rsid w:val="00C64CD0"/>
    <w:rsid w:val="00C65B01"/>
    <w:rsid w:val="00C66453"/>
    <w:rsid w:val="00C6684F"/>
    <w:rsid w:val="00C66850"/>
    <w:rsid w:val="00C66ADD"/>
    <w:rsid w:val="00C66FA9"/>
    <w:rsid w:val="00C67429"/>
    <w:rsid w:val="00C67AF6"/>
    <w:rsid w:val="00C67DDB"/>
    <w:rsid w:val="00C67E91"/>
    <w:rsid w:val="00C70630"/>
    <w:rsid w:val="00C70674"/>
    <w:rsid w:val="00C7089C"/>
    <w:rsid w:val="00C70997"/>
    <w:rsid w:val="00C70E70"/>
    <w:rsid w:val="00C70FBF"/>
    <w:rsid w:val="00C7153A"/>
    <w:rsid w:val="00C72265"/>
    <w:rsid w:val="00C7245A"/>
    <w:rsid w:val="00C72A4C"/>
    <w:rsid w:val="00C72BF9"/>
    <w:rsid w:val="00C74ACC"/>
    <w:rsid w:val="00C74ADE"/>
    <w:rsid w:val="00C74B41"/>
    <w:rsid w:val="00C74CA1"/>
    <w:rsid w:val="00C75BFD"/>
    <w:rsid w:val="00C75EC8"/>
    <w:rsid w:val="00C75F8D"/>
    <w:rsid w:val="00C76383"/>
    <w:rsid w:val="00C765F9"/>
    <w:rsid w:val="00C7660A"/>
    <w:rsid w:val="00C76C17"/>
    <w:rsid w:val="00C76C36"/>
    <w:rsid w:val="00C76DB6"/>
    <w:rsid w:val="00C76E06"/>
    <w:rsid w:val="00C7711E"/>
    <w:rsid w:val="00C77380"/>
    <w:rsid w:val="00C775FE"/>
    <w:rsid w:val="00C77641"/>
    <w:rsid w:val="00C7787A"/>
    <w:rsid w:val="00C77B91"/>
    <w:rsid w:val="00C77D22"/>
    <w:rsid w:val="00C80011"/>
    <w:rsid w:val="00C8052B"/>
    <w:rsid w:val="00C808DB"/>
    <w:rsid w:val="00C81327"/>
    <w:rsid w:val="00C81934"/>
    <w:rsid w:val="00C81AB6"/>
    <w:rsid w:val="00C8209A"/>
    <w:rsid w:val="00C82255"/>
    <w:rsid w:val="00C82472"/>
    <w:rsid w:val="00C82984"/>
    <w:rsid w:val="00C83799"/>
    <w:rsid w:val="00C837A5"/>
    <w:rsid w:val="00C83887"/>
    <w:rsid w:val="00C83A57"/>
    <w:rsid w:val="00C83B47"/>
    <w:rsid w:val="00C83C71"/>
    <w:rsid w:val="00C84314"/>
    <w:rsid w:val="00C84323"/>
    <w:rsid w:val="00C85003"/>
    <w:rsid w:val="00C8570C"/>
    <w:rsid w:val="00C86356"/>
    <w:rsid w:val="00C86A25"/>
    <w:rsid w:val="00C8721B"/>
    <w:rsid w:val="00C87342"/>
    <w:rsid w:val="00C879B4"/>
    <w:rsid w:val="00C87EF3"/>
    <w:rsid w:val="00C901EF"/>
    <w:rsid w:val="00C90475"/>
    <w:rsid w:val="00C90A45"/>
    <w:rsid w:val="00C90D8B"/>
    <w:rsid w:val="00C90E70"/>
    <w:rsid w:val="00C91243"/>
    <w:rsid w:val="00C91793"/>
    <w:rsid w:val="00C918FF"/>
    <w:rsid w:val="00C919C5"/>
    <w:rsid w:val="00C92115"/>
    <w:rsid w:val="00C9230E"/>
    <w:rsid w:val="00C92594"/>
    <w:rsid w:val="00C93139"/>
    <w:rsid w:val="00C932C4"/>
    <w:rsid w:val="00C9390F"/>
    <w:rsid w:val="00C939D5"/>
    <w:rsid w:val="00C94409"/>
    <w:rsid w:val="00C94652"/>
    <w:rsid w:val="00C948F5"/>
    <w:rsid w:val="00C94AA8"/>
    <w:rsid w:val="00C94B42"/>
    <w:rsid w:val="00C95B03"/>
    <w:rsid w:val="00C96325"/>
    <w:rsid w:val="00C9672C"/>
    <w:rsid w:val="00C96A25"/>
    <w:rsid w:val="00C96CB4"/>
    <w:rsid w:val="00C96D02"/>
    <w:rsid w:val="00C97736"/>
    <w:rsid w:val="00C979DB"/>
    <w:rsid w:val="00CA01D5"/>
    <w:rsid w:val="00CA0245"/>
    <w:rsid w:val="00CA03C3"/>
    <w:rsid w:val="00CA049A"/>
    <w:rsid w:val="00CA0DFC"/>
    <w:rsid w:val="00CA13F7"/>
    <w:rsid w:val="00CA26C9"/>
    <w:rsid w:val="00CA289D"/>
    <w:rsid w:val="00CA29A1"/>
    <w:rsid w:val="00CA3025"/>
    <w:rsid w:val="00CA3436"/>
    <w:rsid w:val="00CA345A"/>
    <w:rsid w:val="00CA3CCA"/>
    <w:rsid w:val="00CA3DBE"/>
    <w:rsid w:val="00CA3FF4"/>
    <w:rsid w:val="00CA45D7"/>
    <w:rsid w:val="00CA46C1"/>
    <w:rsid w:val="00CA4F05"/>
    <w:rsid w:val="00CA524D"/>
    <w:rsid w:val="00CA55FB"/>
    <w:rsid w:val="00CA57F5"/>
    <w:rsid w:val="00CA5A31"/>
    <w:rsid w:val="00CA5FD2"/>
    <w:rsid w:val="00CA6207"/>
    <w:rsid w:val="00CA636C"/>
    <w:rsid w:val="00CA6804"/>
    <w:rsid w:val="00CA6DC3"/>
    <w:rsid w:val="00CA71C5"/>
    <w:rsid w:val="00CB0040"/>
    <w:rsid w:val="00CB0353"/>
    <w:rsid w:val="00CB050D"/>
    <w:rsid w:val="00CB074E"/>
    <w:rsid w:val="00CB087E"/>
    <w:rsid w:val="00CB0963"/>
    <w:rsid w:val="00CB0ED4"/>
    <w:rsid w:val="00CB14D5"/>
    <w:rsid w:val="00CB1AA5"/>
    <w:rsid w:val="00CB1DCC"/>
    <w:rsid w:val="00CB1E82"/>
    <w:rsid w:val="00CB2223"/>
    <w:rsid w:val="00CB2374"/>
    <w:rsid w:val="00CB24A1"/>
    <w:rsid w:val="00CB2B01"/>
    <w:rsid w:val="00CB2CC1"/>
    <w:rsid w:val="00CB368F"/>
    <w:rsid w:val="00CB373C"/>
    <w:rsid w:val="00CB40F1"/>
    <w:rsid w:val="00CB4118"/>
    <w:rsid w:val="00CB4BA8"/>
    <w:rsid w:val="00CB4C45"/>
    <w:rsid w:val="00CB4E08"/>
    <w:rsid w:val="00CB52D7"/>
    <w:rsid w:val="00CB5716"/>
    <w:rsid w:val="00CB5884"/>
    <w:rsid w:val="00CB6389"/>
    <w:rsid w:val="00CB64EC"/>
    <w:rsid w:val="00CB687F"/>
    <w:rsid w:val="00CB6E97"/>
    <w:rsid w:val="00CC0240"/>
    <w:rsid w:val="00CC0445"/>
    <w:rsid w:val="00CC06D8"/>
    <w:rsid w:val="00CC06DD"/>
    <w:rsid w:val="00CC09F5"/>
    <w:rsid w:val="00CC0A68"/>
    <w:rsid w:val="00CC0B2B"/>
    <w:rsid w:val="00CC1371"/>
    <w:rsid w:val="00CC15B2"/>
    <w:rsid w:val="00CC17B7"/>
    <w:rsid w:val="00CC18D6"/>
    <w:rsid w:val="00CC1E13"/>
    <w:rsid w:val="00CC2508"/>
    <w:rsid w:val="00CC296A"/>
    <w:rsid w:val="00CC2FB3"/>
    <w:rsid w:val="00CC342E"/>
    <w:rsid w:val="00CC36C2"/>
    <w:rsid w:val="00CC38CA"/>
    <w:rsid w:val="00CC3CBB"/>
    <w:rsid w:val="00CC3FC1"/>
    <w:rsid w:val="00CC4D77"/>
    <w:rsid w:val="00CC5B35"/>
    <w:rsid w:val="00CC5B97"/>
    <w:rsid w:val="00CC5C65"/>
    <w:rsid w:val="00CC61D5"/>
    <w:rsid w:val="00CC6732"/>
    <w:rsid w:val="00CC6950"/>
    <w:rsid w:val="00CC6D4C"/>
    <w:rsid w:val="00CC6E47"/>
    <w:rsid w:val="00CC7472"/>
    <w:rsid w:val="00CC78AD"/>
    <w:rsid w:val="00CD0046"/>
    <w:rsid w:val="00CD12F0"/>
    <w:rsid w:val="00CD16E1"/>
    <w:rsid w:val="00CD17DD"/>
    <w:rsid w:val="00CD1E47"/>
    <w:rsid w:val="00CD20C4"/>
    <w:rsid w:val="00CD35A7"/>
    <w:rsid w:val="00CD3AD4"/>
    <w:rsid w:val="00CD3BDA"/>
    <w:rsid w:val="00CD3EAA"/>
    <w:rsid w:val="00CD4145"/>
    <w:rsid w:val="00CD459E"/>
    <w:rsid w:val="00CD47B3"/>
    <w:rsid w:val="00CD4A5B"/>
    <w:rsid w:val="00CD5625"/>
    <w:rsid w:val="00CD56D5"/>
    <w:rsid w:val="00CD5C5B"/>
    <w:rsid w:val="00CD61C3"/>
    <w:rsid w:val="00CD69F5"/>
    <w:rsid w:val="00CD6F0A"/>
    <w:rsid w:val="00CD7056"/>
    <w:rsid w:val="00CD70A3"/>
    <w:rsid w:val="00CD72D5"/>
    <w:rsid w:val="00CD77BB"/>
    <w:rsid w:val="00CD7A87"/>
    <w:rsid w:val="00CE00C9"/>
    <w:rsid w:val="00CE04A3"/>
    <w:rsid w:val="00CE09FE"/>
    <w:rsid w:val="00CE0B46"/>
    <w:rsid w:val="00CE1123"/>
    <w:rsid w:val="00CE1D8A"/>
    <w:rsid w:val="00CE2B49"/>
    <w:rsid w:val="00CE2E9C"/>
    <w:rsid w:val="00CE315E"/>
    <w:rsid w:val="00CE36AE"/>
    <w:rsid w:val="00CE38E8"/>
    <w:rsid w:val="00CE3A28"/>
    <w:rsid w:val="00CE3C2E"/>
    <w:rsid w:val="00CE3C96"/>
    <w:rsid w:val="00CE3EF0"/>
    <w:rsid w:val="00CE4127"/>
    <w:rsid w:val="00CE45B3"/>
    <w:rsid w:val="00CE4E75"/>
    <w:rsid w:val="00CE51A8"/>
    <w:rsid w:val="00CE5571"/>
    <w:rsid w:val="00CE5C85"/>
    <w:rsid w:val="00CE6032"/>
    <w:rsid w:val="00CE63EC"/>
    <w:rsid w:val="00CE6D4A"/>
    <w:rsid w:val="00CE7AC8"/>
    <w:rsid w:val="00CE7E15"/>
    <w:rsid w:val="00CF1BE6"/>
    <w:rsid w:val="00CF1EC4"/>
    <w:rsid w:val="00CF1FEF"/>
    <w:rsid w:val="00CF22C7"/>
    <w:rsid w:val="00CF26B7"/>
    <w:rsid w:val="00CF29B2"/>
    <w:rsid w:val="00CF322E"/>
    <w:rsid w:val="00CF369B"/>
    <w:rsid w:val="00CF3D41"/>
    <w:rsid w:val="00CF4F74"/>
    <w:rsid w:val="00CF505E"/>
    <w:rsid w:val="00CF5365"/>
    <w:rsid w:val="00CF55DE"/>
    <w:rsid w:val="00CF58FB"/>
    <w:rsid w:val="00CF5999"/>
    <w:rsid w:val="00CF6ED1"/>
    <w:rsid w:val="00CF7198"/>
    <w:rsid w:val="00CF75B8"/>
    <w:rsid w:val="00CF7B42"/>
    <w:rsid w:val="00CF7C7A"/>
    <w:rsid w:val="00CF7DA3"/>
    <w:rsid w:val="00D00412"/>
    <w:rsid w:val="00D004A3"/>
    <w:rsid w:val="00D00BC3"/>
    <w:rsid w:val="00D00E28"/>
    <w:rsid w:val="00D00FCC"/>
    <w:rsid w:val="00D01D55"/>
    <w:rsid w:val="00D01DA7"/>
    <w:rsid w:val="00D01E2E"/>
    <w:rsid w:val="00D02159"/>
    <w:rsid w:val="00D0227D"/>
    <w:rsid w:val="00D02662"/>
    <w:rsid w:val="00D0269E"/>
    <w:rsid w:val="00D028F7"/>
    <w:rsid w:val="00D02B2C"/>
    <w:rsid w:val="00D034B2"/>
    <w:rsid w:val="00D038FC"/>
    <w:rsid w:val="00D045E1"/>
    <w:rsid w:val="00D045F3"/>
    <w:rsid w:val="00D04A5A"/>
    <w:rsid w:val="00D04F2B"/>
    <w:rsid w:val="00D0518C"/>
    <w:rsid w:val="00D05A8D"/>
    <w:rsid w:val="00D05D6C"/>
    <w:rsid w:val="00D05F1A"/>
    <w:rsid w:val="00D06279"/>
    <w:rsid w:val="00D0698A"/>
    <w:rsid w:val="00D06996"/>
    <w:rsid w:val="00D06C1E"/>
    <w:rsid w:val="00D07167"/>
    <w:rsid w:val="00D07192"/>
    <w:rsid w:val="00D0778B"/>
    <w:rsid w:val="00D10280"/>
    <w:rsid w:val="00D110FC"/>
    <w:rsid w:val="00D1134B"/>
    <w:rsid w:val="00D11951"/>
    <w:rsid w:val="00D11D4B"/>
    <w:rsid w:val="00D123E8"/>
    <w:rsid w:val="00D127FC"/>
    <w:rsid w:val="00D12899"/>
    <w:rsid w:val="00D12BB1"/>
    <w:rsid w:val="00D13BC8"/>
    <w:rsid w:val="00D13FC5"/>
    <w:rsid w:val="00D143F0"/>
    <w:rsid w:val="00D14434"/>
    <w:rsid w:val="00D15191"/>
    <w:rsid w:val="00D15256"/>
    <w:rsid w:val="00D1527A"/>
    <w:rsid w:val="00D15810"/>
    <w:rsid w:val="00D158D6"/>
    <w:rsid w:val="00D15CCF"/>
    <w:rsid w:val="00D161DF"/>
    <w:rsid w:val="00D162CB"/>
    <w:rsid w:val="00D16385"/>
    <w:rsid w:val="00D1638A"/>
    <w:rsid w:val="00D16411"/>
    <w:rsid w:val="00D169BA"/>
    <w:rsid w:val="00D16A11"/>
    <w:rsid w:val="00D16BEB"/>
    <w:rsid w:val="00D16D4E"/>
    <w:rsid w:val="00D16FE3"/>
    <w:rsid w:val="00D170B9"/>
    <w:rsid w:val="00D17557"/>
    <w:rsid w:val="00D20753"/>
    <w:rsid w:val="00D210EA"/>
    <w:rsid w:val="00D21C04"/>
    <w:rsid w:val="00D22AFB"/>
    <w:rsid w:val="00D22CAE"/>
    <w:rsid w:val="00D2321C"/>
    <w:rsid w:val="00D232C0"/>
    <w:rsid w:val="00D23863"/>
    <w:rsid w:val="00D23871"/>
    <w:rsid w:val="00D23B04"/>
    <w:rsid w:val="00D23F2E"/>
    <w:rsid w:val="00D2475C"/>
    <w:rsid w:val="00D24E0D"/>
    <w:rsid w:val="00D24EC9"/>
    <w:rsid w:val="00D24ECA"/>
    <w:rsid w:val="00D25046"/>
    <w:rsid w:val="00D25492"/>
    <w:rsid w:val="00D2553A"/>
    <w:rsid w:val="00D25B7C"/>
    <w:rsid w:val="00D25F9B"/>
    <w:rsid w:val="00D26163"/>
    <w:rsid w:val="00D263A8"/>
    <w:rsid w:val="00D267CF"/>
    <w:rsid w:val="00D26845"/>
    <w:rsid w:val="00D268FF"/>
    <w:rsid w:val="00D27095"/>
    <w:rsid w:val="00D2732D"/>
    <w:rsid w:val="00D27EE4"/>
    <w:rsid w:val="00D27F41"/>
    <w:rsid w:val="00D27F67"/>
    <w:rsid w:val="00D3059D"/>
    <w:rsid w:val="00D306D3"/>
    <w:rsid w:val="00D30865"/>
    <w:rsid w:val="00D30AEF"/>
    <w:rsid w:val="00D31129"/>
    <w:rsid w:val="00D315CE"/>
    <w:rsid w:val="00D3165D"/>
    <w:rsid w:val="00D322AE"/>
    <w:rsid w:val="00D32E04"/>
    <w:rsid w:val="00D33077"/>
    <w:rsid w:val="00D339FD"/>
    <w:rsid w:val="00D34107"/>
    <w:rsid w:val="00D34788"/>
    <w:rsid w:val="00D3495C"/>
    <w:rsid w:val="00D34C68"/>
    <w:rsid w:val="00D357B4"/>
    <w:rsid w:val="00D35A66"/>
    <w:rsid w:val="00D35B32"/>
    <w:rsid w:val="00D36441"/>
    <w:rsid w:val="00D365CA"/>
    <w:rsid w:val="00D36DCE"/>
    <w:rsid w:val="00D37548"/>
    <w:rsid w:val="00D37927"/>
    <w:rsid w:val="00D37C78"/>
    <w:rsid w:val="00D4064E"/>
    <w:rsid w:val="00D40975"/>
    <w:rsid w:val="00D409F6"/>
    <w:rsid w:val="00D4102A"/>
    <w:rsid w:val="00D411B9"/>
    <w:rsid w:val="00D41227"/>
    <w:rsid w:val="00D4180B"/>
    <w:rsid w:val="00D423BA"/>
    <w:rsid w:val="00D42441"/>
    <w:rsid w:val="00D4263E"/>
    <w:rsid w:val="00D42788"/>
    <w:rsid w:val="00D42D90"/>
    <w:rsid w:val="00D431CC"/>
    <w:rsid w:val="00D433F2"/>
    <w:rsid w:val="00D4390B"/>
    <w:rsid w:val="00D440E8"/>
    <w:rsid w:val="00D44420"/>
    <w:rsid w:val="00D4447A"/>
    <w:rsid w:val="00D447F5"/>
    <w:rsid w:val="00D4494E"/>
    <w:rsid w:val="00D44CDE"/>
    <w:rsid w:val="00D44E9B"/>
    <w:rsid w:val="00D45071"/>
    <w:rsid w:val="00D455AB"/>
    <w:rsid w:val="00D456EC"/>
    <w:rsid w:val="00D46D0F"/>
    <w:rsid w:val="00D46D79"/>
    <w:rsid w:val="00D46F26"/>
    <w:rsid w:val="00D4726B"/>
    <w:rsid w:val="00D47533"/>
    <w:rsid w:val="00D47775"/>
    <w:rsid w:val="00D47AEB"/>
    <w:rsid w:val="00D47F6A"/>
    <w:rsid w:val="00D50A45"/>
    <w:rsid w:val="00D50DB9"/>
    <w:rsid w:val="00D50FE7"/>
    <w:rsid w:val="00D512E8"/>
    <w:rsid w:val="00D51302"/>
    <w:rsid w:val="00D515B5"/>
    <w:rsid w:val="00D5184E"/>
    <w:rsid w:val="00D51B44"/>
    <w:rsid w:val="00D51FFF"/>
    <w:rsid w:val="00D52C43"/>
    <w:rsid w:val="00D52F13"/>
    <w:rsid w:val="00D5330A"/>
    <w:rsid w:val="00D53B9A"/>
    <w:rsid w:val="00D53F9B"/>
    <w:rsid w:val="00D54277"/>
    <w:rsid w:val="00D56126"/>
    <w:rsid w:val="00D56202"/>
    <w:rsid w:val="00D562EB"/>
    <w:rsid w:val="00D56A3C"/>
    <w:rsid w:val="00D579BF"/>
    <w:rsid w:val="00D61EDE"/>
    <w:rsid w:val="00D6253E"/>
    <w:rsid w:val="00D6330F"/>
    <w:rsid w:val="00D64ACF"/>
    <w:rsid w:val="00D6507F"/>
    <w:rsid w:val="00D651D6"/>
    <w:rsid w:val="00D65B4A"/>
    <w:rsid w:val="00D66004"/>
    <w:rsid w:val="00D6681F"/>
    <w:rsid w:val="00D66846"/>
    <w:rsid w:val="00D67A77"/>
    <w:rsid w:val="00D70C57"/>
    <w:rsid w:val="00D70DE0"/>
    <w:rsid w:val="00D7100B"/>
    <w:rsid w:val="00D71068"/>
    <w:rsid w:val="00D71281"/>
    <w:rsid w:val="00D71607"/>
    <w:rsid w:val="00D718B3"/>
    <w:rsid w:val="00D72626"/>
    <w:rsid w:val="00D72881"/>
    <w:rsid w:val="00D72CD2"/>
    <w:rsid w:val="00D72E39"/>
    <w:rsid w:val="00D730BC"/>
    <w:rsid w:val="00D735FC"/>
    <w:rsid w:val="00D73786"/>
    <w:rsid w:val="00D73912"/>
    <w:rsid w:val="00D741F2"/>
    <w:rsid w:val="00D74381"/>
    <w:rsid w:val="00D745DF"/>
    <w:rsid w:val="00D7505C"/>
    <w:rsid w:val="00D75274"/>
    <w:rsid w:val="00D7587C"/>
    <w:rsid w:val="00D759BB"/>
    <w:rsid w:val="00D75C57"/>
    <w:rsid w:val="00D75DF6"/>
    <w:rsid w:val="00D76885"/>
    <w:rsid w:val="00D76EC8"/>
    <w:rsid w:val="00D7755E"/>
    <w:rsid w:val="00D775E8"/>
    <w:rsid w:val="00D8013A"/>
    <w:rsid w:val="00D8016D"/>
    <w:rsid w:val="00D80390"/>
    <w:rsid w:val="00D806CB"/>
    <w:rsid w:val="00D80A22"/>
    <w:rsid w:val="00D80CCD"/>
    <w:rsid w:val="00D811F1"/>
    <w:rsid w:val="00D81850"/>
    <w:rsid w:val="00D818E9"/>
    <w:rsid w:val="00D81EAB"/>
    <w:rsid w:val="00D823F5"/>
    <w:rsid w:val="00D82D08"/>
    <w:rsid w:val="00D83A9B"/>
    <w:rsid w:val="00D83DFE"/>
    <w:rsid w:val="00D842C8"/>
    <w:rsid w:val="00D84904"/>
    <w:rsid w:val="00D84CFA"/>
    <w:rsid w:val="00D84DCC"/>
    <w:rsid w:val="00D85226"/>
    <w:rsid w:val="00D8596E"/>
    <w:rsid w:val="00D85B20"/>
    <w:rsid w:val="00D85BE8"/>
    <w:rsid w:val="00D861D9"/>
    <w:rsid w:val="00D862E3"/>
    <w:rsid w:val="00D86AAD"/>
    <w:rsid w:val="00D872D3"/>
    <w:rsid w:val="00D8757A"/>
    <w:rsid w:val="00D877B7"/>
    <w:rsid w:val="00D87B94"/>
    <w:rsid w:val="00D87D34"/>
    <w:rsid w:val="00D87E10"/>
    <w:rsid w:val="00D900BB"/>
    <w:rsid w:val="00D9088B"/>
    <w:rsid w:val="00D90A85"/>
    <w:rsid w:val="00D90D77"/>
    <w:rsid w:val="00D90F28"/>
    <w:rsid w:val="00D9128F"/>
    <w:rsid w:val="00D91A40"/>
    <w:rsid w:val="00D91A77"/>
    <w:rsid w:val="00D91DB4"/>
    <w:rsid w:val="00D921A6"/>
    <w:rsid w:val="00D92954"/>
    <w:rsid w:val="00D92D49"/>
    <w:rsid w:val="00D92E3D"/>
    <w:rsid w:val="00D92EC1"/>
    <w:rsid w:val="00D9316E"/>
    <w:rsid w:val="00D9352E"/>
    <w:rsid w:val="00D93549"/>
    <w:rsid w:val="00D93CDF"/>
    <w:rsid w:val="00D9474C"/>
    <w:rsid w:val="00D95467"/>
    <w:rsid w:val="00D954EC"/>
    <w:rsid w:val="00D96081"/>
    <w:rsid w:val="00D9633D"/>
    <w:rsid w:val="00D96DEA"/>
    <w:rsid w:val="00D970E3"/>
    <w:rsid w:val="00D9739D"/>
    <w:rsid w:val="00D978B1"/>
    <w:rsid w:val="00D97A62"/>
    <w:rsid w:val="00DA0918"/>
    <w:rsid w:val="00DA0DC2"/>
    <w:rsid w:val="00DA191A"/>
    <w:rsid w:val="00DA2077"/>
    <w:rsid w:val="00DA2132"/>
    <w:rsid w:val="00DA279E"/>
    <w:rsid w:val="00DA29A6"/>
    <w:rsid w:val="00DA2A39"/>
    <w:rsid w:val="00DA33AA"/>
    <w:rsid w:val="00DA33AD"/>
    <w:rsid w:val="00DA3C27"/>
    <w:rsid w:val="00DA3CE7"/>
    <w:rsid w:val="00DA3DB4"/>
    <w:rsid w:val="00DA41D4"/>
    <w:rsid w:val="00DA4290"/>
    <w:rsid w:val="00DA4309"/>
    <w:rsid w:val="00DA4557"/>
    <w:rsid w:val="00DA45F0"/>
    <w:rsid w:val="00DA460E"/>
    <w:rsid w:val="00DA4A50"/>
    <w:rsid w:val="00DA4B21"/>
    <w:rsid w:val="00DA4E41"/>
    <w:rsid w:val="00DA54E0"/>
    <w:rsid w:val="00DA5870"/>
    <w:rsid w:val="00DA5F73"/>
    <w:rsid w:val="00DA6A5B"/>
    <w:rsid w:val="00DA6C00"/>
    <w:rsid w:val="00DA7873"/>
    <w:rsid w:val="00DB04B9"/>
    <w:rsid w:val="00DB0A03"/>
    <w:rsid w:val="00DB0CFD"/>
    <w:rsid w:val="00DB102A"/>
    <w:rsid w:val="00DB117A"/>
    <w:rsid w:val="00DB1A38"/>
    <w:rsid w:val="00DB1B52"/>
    <w:rsid w:val="00DB1B8C"/>
    <w:rsid w:val="00DB2320"/>
    <w:rsid w:val="00DB28D7"/>
    <w:rsid w:val="00DB2AE8"/>
    <w:rsid w:val="00DB2C5A"/>
    <w:rsid w:val="00DB2D6B"/>
    <w:rsid w:val="00DB317A"/>
    <w:rsid w:val="00DB34DD"/>
    <w:rsid w:val="00DB3C7E"/>
    <w:rsid w:val="00DB48D7"/>
    <w:rsid w:val="00DB5173"/>
    <w:rsid w:val="00DB534D"/>
    <w:rsid w:val="00DB5A42"/>
    <w:rsid w:val="00DB5EAA"/>
    <w:rsid w:val="00DB6391"/>
    <w:rsid w:val="00DB69B8"/>
    <w:rsid w:val="00DB72D8"/>
    <w:rsid w:val="00DB7873"/>
    <w:rsid w:val="00DB78F2"/>
    <w:rsid w:val="00DC1046"/>
    <w:rsid w:val="00DC107D"/>
    <w:rsid w:val="00DC151C"/>
    <w:rsid w:val="00DC187B"/>
    <w:rsid w:val="00DC1B29"/>
    <w:rsid w:val="00DC1CA2"/>
    <w:rsid w:val="00DC21BD"/>
    <w:rsid w:val="00DC26B6"/>
    <w:rsid w:val="00DC2776"/>
    <w:rsid w:val="00DC281E"/>
    <w:rsid w:val="00DC2FCE"/>
    <w:rsid w:val="00DC3548"/>
    <w:rsid w:val="00DC3581"/>
    <w:rsid w:val="00DC41D9"/>
    <w:rsid w:val="00DC46A6"/>
    <w:rsid w:val="00DC4C97"/>
    <w:rsid w:val="00DC4EB3"/>
    <w:rsid w:val="00DC54D4"/>
    <w:rsid w:val="00DC5583"/>
    <w:rsid w:val="00DC5A3F"/>
    <w:rsid w:val="00DC5E3C"/>
    <w:rsid w:val="00DC61D7"/>
    <w:rsid w:val="00DC670C"/>
    <w:rsid w:val="00DC6BF8"/>
    <w:rsid w:val="00DC72D4"/>
    <w:rsid w:val="00DC7457"/>
    <w:rsid w:val="00DC7966"/>
    <w:rsid w:val="00DC7DC2"/>
    <w:rsid w:val="00DD058F"/>
    <w:rsid w:val="00DD0AA7"/>
    <w:rsid w:val="00DD0E1A"/>
    <w:rsid w:val="00DD1124"/>
    <w:rsid w:val="00DD1130"/>
    <w:rsid w:val="00DD1649"/>
    <w:rsid w:val="00DD201B"/>
    <w:rsid w:val="00DD21A7"/>
    <w:rsid w:val="00DD2667"/>
    <w:rsid w:val="00DD279F"/>
    <w:rsid w:val="00DD27BF"/>
    <w:rsid w:val="00DD28E0"/>
    <w:rsid w:val="00DD2E57"/>
    <w:rsid w:val="00DD3044"/>
    <w:rsid w:val="00DD3658"/>
    <w:rsid w:val="00DD43C0"/>
    <w:rsid w:val="00DD457C"/>
    <w:rsid w:val="00DD489A"/>
    <w:rsid w:val="00DD4AA4"/>
    <w:rsid w:val="00DD54C6"/>
    <w:rsid w:val="00DD59F3"/>
    <w:rsid w:val="00DD639C"/>
    <w:rsid w:val="00DD642F"/>
    <w:rsid w:val="00DD6EF5"/>
    <w:rsid w:val="00DD73C2"/>
    <w:rsid w:val="00DD7452"/>
    <w:rsid w:val="00DE05DB"/>
    <w:rsid w:val="00DE073E"/>
    <w:rsid w:val="00DE0828"/>
    <w:rsid w:val="00DE09E8"/>
    <w:rsid w:val="00DE0DA3"/>
    <w:rsid w:val="00DE1229"/>
    <w:rsid w:val="00DE14D6"/>
    <w:rsid w:val="00DE2074"/>
    <w:rsid w:val="00DE2DE9"/>
    <w:rsid w:val="00DE3004"/>
    <w:rsid w:val="00DE319B"/>
    <w:rsid w:val="00DE3A1A"/>
    <w:rsid w:val="00DE3EAD"/>
    <w:rsid w:val="00DE464B"/>
    <w:rsid w:val="00DE585C"/>
    <w:rsid w:val="00DE5C10"/>
    <w:rsid w:val="00DE5C44"/>
    <w:rsid w:val="00DE5CBC"/>
    <w:rsid w:val="00DE646F"/>
    <w:rsid w:val="00DE65F3"/>
    <w:rsid w:val="00DE6730"/>
    <w:rsid w:val="00DE6912"/>
    <w:rsid w:val="00DE694D"/>
    <w:rsid w:val="00DE69A6"/>
    <w:rsid w:val="00DF0112"/>
    <w:rsid w:val="00DF02C9"/>
    <w:rsid w:val="00DF085D"/>
    <w:rsid w:val="00DF0E0A"/>
    <w:rsid w:val="00DF0E95"/>
    <w:rsid w:val="00DF17EE"/>
    <w:rsid w:val="00DF1AC1"/>
    <w:rsid w:val="00DF1E33"/>
    <w:rsid w:val="00DF26F8"/>
    <w:rsid w:val="00DF30FE"/>
    <w:rsid w:val="00DF32B7"/>
    <w:rsid w:val="00DF34FE"/>
    <w:rsid w:val="00DF3812"/>
    <w:rsid w:val="00DF3A88"/>
    <w:rsid w:val="00DF56AA"/>
    <w:rsid w:val="00DF56AF"/>
    <w:rsid w:val="00DF5C0F"/>
    <w:rsid w:val="00DF6126"/>
    <w:rsid w:val="00DF6334"/>
    <w:rsid w:val="00DF6388"/>
    <w:rsid w:val="00DF6416"/>
    <w:rsid w:val="00DF6CE2"/>
    <w:rsid w:val="00DF6DDF"/>
    <w:rsid w:val="00DF6E45"/>
    <w:rsid w:val="00DF78E7"/>
    <w:rsid w:val="00DF7D0E"/>
    <w:rsid w:val="00DF7F0C"/>
    <w:rsid w:val="00E004B6"/>
    <w:rsid w:val="00E00578"/>
    <w:rsid w:val="00E00864"/>
    <w:rsid w:val="00E00889"/>
    <w:rsid w:val="00E01F54"/>
    <w:rsid w:val="00E02187"/>
    <w:rsid w:val="00E027D3"/>
    <w:rsid w:val="00E029D8"/>
    <w:rsid w:val="00E02D46"/>
    <w:rsid w:val="00E02D62"/>
    <w:rsid w:val="00E02ED8"/>
    <w:rsid w:val="00E03185"/>
    <w:rsid w:val="00E03470"/>
    <w:rsid w:val="00E037C5"/>
    <w:rsid w:val="00E043D9"/>
    <w:rsid w:val="00E0549C"/>
    <w:rsid w:val="00E0570C"/>
    <w:rsid w:val="00E05718"/>
    <w:rsid w:val="00E05B96"/>
    <w:rsid w:val="00E064B5"/>
    <w:rsid w:val="00E06763"/>
    <w:rsid w:val="00E06C1C"/>
    <w:rsid w:val="00E0708F"/>
    <w:rsid w:val="00E071B6"/>
    <w:rsid w:val="00E07819"/>
    <w:rsid w:val="00E07A0B"/>
    <w:rsid w:val="00E07CF7"/>
    <w:rsid w:val="00E07FB1"/>
    <w:rsid w:val="00E07FBF"/>
    <w:rsid w:val="00E10160"/>
    <w:rsid w:val="00E10A1D"/>
    <w:rsid w:val="00E10A3B"/>
    <w:rsid w:val="00E10FE3"/>
    <w:rsid w:val="00E110E0"/>
    <w:rsid w:val="00E11CEA"/>
    <w:rsid w:val="00E11E5E"/>
    <w:rsid w:val="00E12457"/>
    <w:rsid w:val="00E1249B"/>
    <w:rsid w:val="00E1258A"/>
    <w:rsid w:val="00E129A4"/>
    <w:rsid w:val="00E12AB7"/>
    <w:rsid w:val="00E12E45"/>
    <w:rsid w:val="00E131EB"/>
    <w:rsid w:val="00E13A22"/>
    <w:rsid w:val="00E14131"/>
    <w:rsid w:val="00E14287"/>
    <w:rsid w:val="00E14596"/>
    <w:rsid w:val="00E15179"/>
    <w:rsid w:val="00E15371"/>
    <w:rsid w:val="00E1639D"/>
    <w:rsid w:val="00E16D5C"/>
    <w:rsid w:val="00E17CE7"/>
    <w:rsid w:val="00E17DAB"/>
    <w:rsid w:val="00E20815"/>
    <w:rsid w:val="00E20ACF"/>
    <w:rsid w:val="00E20EBC"/>
    <w:rsid w:val="00E21698"/>
    <w:rsid w:val="00E217F2"/>
    <w:rsid w:val="00E219BE"/>
    <w:rsid w:val="00E21D73"/>
    <w:rsid w:val="00E222FC"/>
    <w:rsid w:val="00E22757"/>
    <w:rsid w:val="00E22A5B"/>
    <w:rsid w:val="00E23C08"/>
    <w:rsid w:val="00E24104"/>
    <w:rsid w:val="00E24427"/>
    <w:rsid w:val="00E246E6"/>
    <w:rsid w:val="00E25275"/>
    <w:rsid w:val="00E256A1"/>
    <w:rsid w:val="00E257A9"/>
    <w:rsid w:val="00E2592E"/>
    <w:rsid w:val="00E259DA"/>
    <w:rsid w:val="00E26672"/>
    <w:rsid w:val="00E266AD"/>
    <w:rsid w:val="00E301E2"/>
    <w:rsid w:val="00E302D0"/>
    <w:rsid w:val="00E305B5"/>
    <w:rsid w:val="00E305BF"/>
    <w:rsid w:val="00E30764"/>
    <w:rsid w:val="00E309B2"/>
    <w:rsid w:val="00E30A83"/>
    <w:rsid w:val="00E30B1D"/>
    <w:rsid w:val="00E30D4B"/>
    <w:rsid w:val="00E31793"/>
    <w:rsid w:val="00E3200E"/>
    <w:rsid w:val="00E32217"/>
    <w:rsid w:val="00E325A7"/>
    <w:rsid w:val="00E3328B"/>
    <w:rsid w:val="00E335C3"/>
    <w:rsid w:val="00E337A4"/>
    <w:rsid w:val="00E33885"/>
    <w:rsid w:val="00E33F33"/>
    <w:rsid w:val="00E34315"/>
    <w:rsid w:val="00E351F4"/>
    <w:rsid w:val="00E35707"/>
    <w:rsid w:val="00E35E3C"/>
    <w:rsid w:val="00E36449"/>
    <w:rsid w:val="00E364F0"/>
    <w:rsid w:val="00E36754"/>
    <w:rsid w:val="00E36AA1"/>
    <w:rsid w:val="00E37007"/>
    <w:rsid w:val="00E375DA"/>
    <w:rsid w:val="00E37A68"/>
    <w:rsid w:val="00E37CCA"/>
    <w:rsid w:val="00E402DA"/>
    <w:rsid w:val="00E4040D"/>
    <w:rsid w:val="00E40D12"/>
    <w:rsid w:val="00E40FDF"/>
    <w:rsid w:val="00E41124"/>
    <w:rsid w:val="00E41275"/>
    <w:rsid w:val="00E412B1"/>
    <w:rsid w:val="00E41300"/>
    <w:rsid w:val="00E41328"/>
    <w:rsid w:val="00E4159B"/>
    <w:rsid w:val="00E416C3"/>
    <w:rsid w:val="00E41A5D"/>
    <w:rsid w:val="00E41ECB"/>
    <w:rsid w:val="00E41F03"/>
    <w:rsid w:val="00E420D8"/>
    <w:rsid w:val="00E4210C"/>
    <w:rsid w:val="00E42A87"/>
    <w:rsid w:val="00E42F71"/>
    <w:rsid w:val="00E433C2"/>
    <w:rsid w:val="00E43565"/>
    <w:rsid w:val="00E43978"/>
    <w:rsid w:val="00E43AB2"/>
    <w:rsid w:val="00E43CB7"/>
    <w:rsid w:val="00E4400D"/>
    <w:rsid w:val="00E450FA"/>
    <w:rsid w:val="00E45387"/>
    <w:rsid w:val="00E45424"/>
    <w:rsid w:val="00E4595A"/>
    <w:rsid w:val="00E45CF3"/>
    <w:rsid w:val="00E45DC4"/>
    <w:rsid w:val="00E463B3"/>
    <w:rsid w:val="00E4682B"/>
    <w:rsid w:val="00E46B0D"/>
    <w:rsid w:val="00E46F7B"/>
    <w:rsid w:val="00E47212"/>
    <w:rsid w:val="00E47AFA"/>
    <w:rsid w:val="00E47BC0"/>
    <w:rsid w:val="00E47E3F"/>
    <w:rsid w:val="00E50079"/>
    <w:rsid w:val="00E504AE"/>
    <w:rsid w:val="00E50661"/>
    <w:rsid w:val="00E51489"/>
    <w:rsid w:val="00E5220E"/>
    <w:rsid w:val="00E5227B"/>
    <w:rsid w:val="00E529C4"/>
    <w:rsid w:val="00E52C08"/>
    <w:rsid w:val="00E5300F"/>
    <w:rsid w:val="00E53030"/>
    <w:rsid w:val="00E5311C"/>
    <w:rsid w:val="00E5351E"/>
    <w:rsid w:val="00E53A2F"/>
    <w:rsid w:val="00E53CF1"/>
    <w:rsid w:val="00E54C54"/>
    <w:rsid w:val="00E54D6D"/>
    <w:rsid w:val="00E54FDB"/>
    <w:rsid w:val="00E5617D"/>
    <w:rsid w:val="00E5638E"/>
    <w:rsid w:val="00E563D7"/>
    <w:rsid w:val="00E5686D"/>
    <w:rsid w:val="00E56874"/>
    <w:rsid w:val="00E57108"/>
    <w:rsid w:val="00E57489"/>
    <w:rsid w:val="00E576D3"/>
    <w:rsid w:val="00E57BD4"/>
    <w:rsid w:val="00E57E5C"/>
    <w:rsid w:val="00E605E5"/>
    <w:rsid w:val="00E60636"/>
    <w:rsid w:val="00E6078C"/>
    <w:rsid w:val="00E608AD"/>
    <w:rsid w:val="00E617C3"/>
    <w:rsid w:val="00E61F35"/>
    <w:rsid w:val="00E62380"/>
    <w:rsid w:val="00E62627"/>
    <w:rsid w:val="00E62FA4"/>
    <w:rsid w:val="00E6326B"/>
    <w:rsid w:val="00E63300"/>
    <w:rsid w:val="00E6355E"/>
    <w:rsid w:val="00E6359C"/>
    <w:rsid w:val="00E63741"/>
    <w:rsid w:val="00E63BF5"/>
    <w:rsid w:val="00E643CE"/>
    <w:rsid w:val="00E64C55"/>
    <w:rsid w:val="00E64F42"/>
    <w:rsid w:val="00E64F8E"/>
    <w:rsid w:val="00E655B6"/>
    <w:rsid w:val="00E662CD"/>
    <w:rsid w:val="00E66335"/>
    <w:rsid w:val="00E663F4"/>
    <w:rsid w:val="00E66578"/>
    <w:rsid w:val="00E666F2"/>
    <w:rsid w:val="00E6674F"/>
    <w:rsid w:val="00E6685A"/>
    <w:rsid w:val="00E66DD4"/>
    <w:rsid w:val="00E66F03"/>
    <w:rsid w:val="00E674CE"/>
    <w:rsid w:val="00E67726"/>
    <w:rsid w:val="00E67DB8"/>
    <w:rsid w:val="00E70110"/>
    <w:rsid w:val="00E7016E"/>
    <w:rsid w:val="00E704A4"/>
    <w:rsid w:val="00E706F9"/>
    <w:rsid w:val="00E70C08"/>
    <w:rsid w:val="00E70F23"/>
    <w:rsid w:val="00E71992"/>
    <w:rsid w:val="00E71C54"/>
    <w:rsid w:val="00E71DBC"/>
    <w:rsid w:val="00E72334"/>
    <w:rsid w:val="00E72675"/>
    <w:rsid w:val="00E737FD"/>
    <w:rsid w:val="00E73908"/>
    <w:rsid w:val="00E73975"/>
    <w:rsid w:val="00E73C74"/>
    <w:rsid w:val="00E7417D"/>
    <w:rsid w:val="00E743C9"/>
    <w:rsid w:val="00E748CC"/>
    <w:rsid w:val="00E74917"/>
    <w:rsid w:val="00E74B57"/>
    <w:rsid w:val="00E74E18"/>
    <w:rsid w:val="00E74EE6"/>
    <w:rsid w:val="00E74FFE"/>
    <w:rsid w:val="00E750AD"/>
    <w:rsid w:val="00E751B8"/>
    <w:rsid w:val="00E75415"/>
    <w:rsid w:val="00E75468"/>
    <w:rsid w:val="00E758E0"/>
    <w:rsid w:val="00E76074"/>
    <w:rsid w:val="00E768BB"/>
    <w:rsid w:val="00E76FC5"/>
    <w:rsid w:val="00E77352"/>
    <w:rsid w:val="00E773DF"/>
    <w:rsid w:val="00E775B1"/>
    <w:rsid w:val="00E77A5E"/>
    <w:rsid w:val="00E77C71"/>
    <w:rsid w:val="00E77F3C"/>
    <w:rsid w:val="00E80126"/>
    <w:rsid w:val="00E803B3"/>
    <w:rsid w:val="00E80BF9"/>
    <w:rsid w:val="00E8112A"/>
    <w:rsid w:val="00E8152A"/>
    <w:rsid w:val="00E81806"/>
    <w:rsid w:val="00E81D00"/>
    <w:rsid w:val="00E8232F"/>
    <w:rsid w:val="00E82CDB"/>
    <w:rsid w:val="00E82D2F"/>
    <w:rsid w:val="00E82F73"/>
    <w:rsid w:val="00E830BA"/>
    <w:rsid w:val="00E8328C"/>
    <w:rsid w:val="00E83BF0"/>
    <w:rsid w:val="00E8426B"/>
    <w:rsid w:val="00E8467A"/>
    <w:rsid w:val="00E848EB"/>
    <w:rsid w:val="00E849D5"/>
    <w:rsid w:val="00E84B24"/>
    <w:rsid w:val="00E85270"/>
    <w:rsid w:val="00E865D5"/>
    <w:rsid w:val="00E86613"/>
    <w:rsid w:val="00E86F46"/>
    <w:rsid w:val="00E87316"/>
    <w:rsid w:val="00E874F1"/>
    <w:rsid w:val="00E875FC"/>
    <w:rsid w:val="00E87C0B"/>
    <w:rsid w:val="00E87F7D"/>
    <w:rsid w:val="00E87F90"/>
    <w:rsid w:val="00E90748"/>
    <w:rsid w:val="00E911A8"/>
    <w:rsid w:val="00E91567"/>
    <w:rsid w:val="00E92115"/>
    <w:rsid w:val="00E92242"/>
    <w:rsid w:val="00E92458"/>
    <w:rsid w:val="00E92791"/>
    <w:rsid w:val="00E92C6D"/>
    <w:rsid w:val="00E92E20"/>
    <w:rsid w:val="00E9320C"/>
    <w:rsid w:val="00E93629"/>
    <w:rsid w:val="00E936AC"/>
    <w:rsid w:val="00E937D1"/>
    <w:rsid w:val="00E93A04"/>
    <w:rsid w:val="00E93B5C"/>
    <w:rsid w:val="00E93BD6"/>
    <w:rsid w:val="00E94117"/>
    <w:rsid w:val="00E9436B"/>
    <w:rsid w:val="00E94604"/>
    <w:rsid w:val="00E94CEC"/>
    <w:rsid w:val="00E95720"/>
    <w:rsid w:val="00E95880"/>
    <w:rsid w:val="00E95B07"/>
    <w:rsid w:val="00E96017"/>
    <w:rsid w:val="00E96900"/>
    <w:rsid w:val="00E96A64"/>
    <w:rsid w:val="00E96B09"/>
    <w:rsid w:val="00E96BE7"/>
    <w:rsid w:val="00E972C7"/>
    <w:rsid w:val="00E9739F"/>
    <w:rsid w:val="00E97880"/>
    <w:rsid w:val="00E9794E"/>
    <w:rsid w:val="00EA04EF"/>
    <w:rsid w:val="00EA0641"/>
    <w:rsid w:val="00EA0960"/>
    <w:rsid w:val="00EA0B8B"/>
    <w:rsid w:val="00EA0BF5"/>
    <w:rsid w:val="00EA1182"/>
    <w:rsid w:val="00EA135C"/>
    <w:rsid w:val="00EA18CC"/>
    <w:rsid w:val="00EA1A65"/>
    <w:rsid w:val="00EA1B63"/>
    <w:rsid w:val="00EA1B89"/>
    <w:rsid w:val="00EA2F63"/>
    <w:rsid w:val="00EA31AB"/>
    <w:rsid w:val="00EA3F9E"/>
    <w:rsid w:val="00EA418C"/>
    <w:rsid w:val="00EA52D5"/>
    <w:rsid w:val="00EA54D5"/>
    <w:rsid w:val="00EA56AB"/>
    <w:rsid w:val="00EA59BF"/>
    <w:rsid w:val="00EA5B17"/>
    <w:rsid w:val="00EA5FAC"/>
    <w:rsid w:val="00EA60DE"/>
    <w:rsid w:val="00EA62D2"/>
    <w:rsid w:val="00EA6495"/>
    <w:rsid w:val="00EA64AB"/>
    <w:rsid w:val="00EA687B"/>
    <w:rsid w:val="00EA6BBC"/>
    <w:rsid w:val="00EA6DEF"/>
    <w:rsid w:val="00EA6F19"/>
    <w:rsid w:val="00EA73F4"/>
    <w:rsid w:val="00EA7FD9"/>
    <w:rsid w:val="00EB067A"/>
    <w:rsid w:val="00EB0B5E"/>
    <w:rsid w:val="00EB0B92"/>
    <w:rsid w:val="00EB0CCD"/>
    <w:rsid w:val="00EB167D"/>
    <w:rsid w:val="00EB16DB"/>
    <w:rsid w:val="00EB1A90"/>
    <w:rsid w:val="00EB2600"/>
    <w:rsid w:val="00EB293C"/>
    <w:rsid w:val="00EB2A56"/>
    <w:rsid w:val="00EB338D"/>
    <w:rsid w:val="00EB3509"/>
    <w:rsid w:val="00EB3C47"/>
    <w:rsid w:val="00EB3C74"/>
    <w:rsid w:val="00EB3D99"/>
    <w:rsid w:val="00EB4153"/>
    <w:rsid w:val="00EB5146"/>
    <w:rsid w:val="00EB53BC"/>
    <w:rsid w:val="00EB5605"/>
    <w:rsid w:val="00EB57F6"/>
    <w:rsid w:val="00EB5CC9"/>
    <w:rsid w:val="00EB66D1"/>
    <w:rsid w:val="00EB67FF"/>
    <w:rsid w:val="00EB697A"/>
    <w:rsid w:val="00EB6C22"/>
    <w:rsid w:val="00EB6D74"/>
    <w:rsid w:val="00EB7076"/>
    <w:rsid w:val="00EB7090"/>
    <w:rsid w:val="00EB7535"/>
    <w:rsid w:val="00EC0405"/>
    <w:rsid w:val="00EC10F9"/>
    <w:rsid w:val="00EC1474"/>
    <w:rsid w:val="00EC1BBE"/>
    <w:rsid w:val="00EC2CF8"/>
    <w:rsid w:val="00EC2F66"/>
    <w:rsid w:val="00EC396D"/>
    <w:rsid w:val="00EC42B6"/>
    <w:rsid w:val="00EC4994"/>
    <w:rsid w:val="00EC4B07"/>
    <w:rsid w:val="00EC4D23"/>
    <w:rsid w:val="00EC5388"/>
    <w:rsid w:val="00EC564D"/>
    <w:rsid w:val="00EC58F7"/>
    <w:rsid w:val="00EC5C76"/>
    <w:rsid w:val="00EC5CD7"/>
    <w:rsid w:val="00EC656B"/>
    <w:rsid w:val="00EC7CC4"/>
    <w:rsid w:val="00EC7FE5"/>
    <w:rsid w:val="00ED028C"/>
    <w:rsid w:val="00ED02B0"/>
    <w:rsid w:val="00ED0624"/>
    <w:rsid w:val="00ED1542"/>
    <w:rsid w:val="00ED163C"/>
    <w:rsid w:val="00ED1B7A"/>
    <w:rsid w:val="00ED1CCA"/>
    <w:rsid w:val="00ED201B"/>
    <w:rsid w:val="00ED28B7"/>
    <w:rsid w:val="00ED3944"/>
    <w:rsid w:val="00ED3A77"/>
    <w:rsid w:val="00ED4005"/>
    <w:rsid w:val="00ED468C"/>
    <w:rsid w:val="00ED477B"/>
    <w:rsid w:val="00ED4AC9"/>
    <w:rsid w:val="00ED4B30"/>
    <w:rsid w:val="00ED4C1D"/>
    <w:rsid w:val="00ED4E90"/>
    <w:rsid w:val="00ED5001"/>
    <w:rsid w:val="00ED53EC"/>
    <w:rsid w:val="00ED5406"/>
    <w:rsid w:val="00ED5F43"/>
    <w:rsid w:val="00ED61F8"/>
    <w:rsid w:val="00ED67AC"/>
    <w:rsid w:val="00ED67AD"/>
    <w:rsid w:val="00ED6893"/>
    <w:rsid w:val="00ED6B0D"/>
    <w:rsid w:val="00EE00C9"/>
    <w:rsid w:val="00EE022E"/>
    <w:rsid w:val="00EE0639"/>
    <w:rsid w:val="00EE08CA"/>
    <w:rsid w:val="00EE08DD"/>
    <w:rsid w:val="00EE1182"/>
    <w:rsid w:val="00EE153D"/>
    <w:rsid w:val="00EE170F"/>
    <w:rsid w:val="00EE1971"/>
    <w:rsid w:val="00EE1BBE"/>
    <w:rsid w:val="00EE298A"/>
    <w:rsid w:val="00EE2FDD"/>
    <w:rsid w:val="00EE35DA"/>
    <w:rsid w:val="00EE3EFE"/>
    <w:rsid w:val="00EE4410"/>
    <w:rsid w:val="00EE47F5"/>
    <w:rsid w:val="00EE49BB"/>
    <w:rsid w:val="00EE49F6"/>
    <w:rsid w:val="00EE4CA0"/>
    <w:rsid w:val="00EE58EA"/>
    <w:rsid w:val="00EE5FB3"/>
    <w:rsid w:val="00EE6079"/>
    <w:rsid w:val="00EE6120"/>
    <w:rsid w:val="00EE627A"/>
    <w:rsid w:val="00EE70EA"/>
    <w:rsid w:val="00EE710F"/>
    <w:rsid w:val="00EE7514"/>
    <w:rsid w:val="00EE7591"/>
    <w:rsid w:val="00EE7A0D"/>
    <w:rsid w:val="00EE7AE9"/>
    <w:rsid w:val="00EE7E08"/>
    <w:rsid w:val="00EE7F79"/>
    <w:rsid w:val="00EF0223"/>
    <w:rsid w:val="00EF0431"/>
    <w:rsid w:val="00EF095F"/>
    <w:rsid w:val="00EF0E54"/>
    <w:rsid w:val="00EF0E76"/>
    <w:rsid w:val="00EF0F26"/>
    <w:rsid w:val="00EF0F5D"/>
    <w:rsid w:val="00EF1B0A"/>
    <w:rsid w:val="00EF1BC8"/>
    <w:rsid w:val="00EF20BA"/>
    <w:rsid w:val="00EF20E4"/>
    <w:rsid w:val="00EF2D3F"/>
    <w:rsid w:val="00EF334B"/>
    <w:rsid w:val="00EF3A10"/>
    <w:rsid w:val="00EF4037"/>
    <w:rsid w:val="00EF404A"/>
    <w:rsid w:val="00EF4987"/>
    <w:rsid w:val="00EF4C9E"/>
    <w:rsid w:val="00EF5C96"/>
    <w:rsid w:val="00EF6022"/>
    <w:rsid w:val="00EF622A"/>
    <w:rsid w:val="00EF65D2"/>
    <w:rsid w:val="00EF6BBE"/>
    <w:rsid w:val="00EF6C63"/>
    <w:rsid w:val="00EF6F9B"/>
    <w:rsid w:val="00EF6FD5"/>
    <w:rsid w:val="00EF715A"/>
    <w:rsid w:val="00EF716D"/>
    <w:rsid w:val="00EF7904"/>
    <w:rsid w:val="00EF7BD9"/>
    <w:rsid w:val="00EF7FAE"/>
    <w:rsid w:val="00F00490"/>
    <w:rsid w:val="00F0087E"/>
    <w:rsid w:val="00F00E00"/>
    <w:rsid w:val="00F012F0"/>
    <w:rsid w:val="00F01663"/>
    <w:rsid w:val="00F01A56"/>
    <w:rsid w:val="00F01E2C"/>
    <w:rsid w:val="00F021A4"/>
    <w:rsid w:val="00F029CD"/>
    <w:rsid w:val="00F03207"/>
    <w:rsid w:val="00F03A14"/>
    <w:rsid w:val="00F03D7F"/>
    <w:rsid w:val="00F03DE8"/>
    <w:rsid w:val="00F042EC"/>
    <w:rsid w:val="00F048AB"/>
    <w:rsid w:val="00F04C10"/>
    <w:rsid w:val="00F04CE6"/>
    <w:rsid w:val="00F04FB3"/>
    <w:rsid w:val="00F051AD"/>
    <w:rsid w:val="00F05E18"/>
    <w:rsid w:val="00F063CB"/>
    <w:rsid w:val="00F06540"/>
    <w:rsid w:val="00F066BB"/>
    <w:rsid w:val="00F06E14"/>
    <w:rsid w:val="00F06FD6"/>
    <w:rsid w:val="00F072DF"/>
    <w:rsid w:val="00F07402"/>
    <w:rsid w:val="00F07755"/>
    <w:rsid w:val="00F104EE"/>
    <w:rsid w:val="00F11130"/>
    <w:rsid w:val="00F11148"/>
    <w:rsid w:val="00F11660"/>
    <w:rsid w:val="00F11809"/>
    <w:rsid w:val="00F1180D"/>
    <w:rsid w:val="00F13068"/>
    <w:rsid w:val="00F13186"/>
    <w:rsid w:val="00F131C4"/>
    <w:rsid w:val="00F14910"/>
    <w:rsid w:val="00F14C74"/>
    <w:rsid w:val="00F14E81"/>
    <w:rsid w:val="00F157C9"/>
    <w:rsid w:val="00F15806"/>
    <w:rsid w:val="00F15BFE"/>
    <w:rsid w:val="00F15C88"/>
    <w:rsid w:val="00F15EAF"/>
    <w:rsid w:val="00F15FDF"/>
    <w:rsid w:val="00F16026"/>
    <w:rsid w:val="00F163A2"/>
    <w:rsid w:val="00F16F31"/>
    <w:rsid w:val="00F173B6"/>
    <w:rsid w:val="00F17532"/>
    <w:rsid w:val="00F179D4"/>
    <w:rsid w:val="00F20448"/>
    <w:rsid w:val="00F20D2E"/>
    <w:rsid w:val="00F210C0"/>
    <w:rsid w:val="00F21574"/>
    <w:rsid w:val="00F215BB"/>
    <w:rsid w:val="00F21914"/>
    <w:rsid w:val="00F21F53"/>
    <w:rsid w:val="00F223BA"/>
    <w:rsid w:val="00F22681"/>
    <w:rsid w:val="00F22FDB"/>
    <w:rsid w:val="00F23532"/>
    <w:rsid w:val="00F23BAE"/>
    <w:rsid w:val="00F23FE4"/>
    <w:rsid w:val="00F2455D"/>
    <w:rsid w:val="00F24C85"/>
    <w:rsid w:val="00F24C8A"/>
    <w:rsid w:val="00F24DE9"/>
    <w:rsid w:val="00F255D8"/>
    <w:rsid w:val="00F25634"/>
    <w:rsid w:val="00F25AAF"/>
    <w:rsid w:val="00F25D66"/>
    <w:rsid w:val="00F26154"/>
    <w:rsid w:val="00F268C4"/>
    <w:rsid w:val="00F2691D"/>
    <w:rsid w:val="00F26BE1"/>
    <w:rsid w:val="00F2704B"/>
    <w:rsid w:val="00F27541"/>
    <w:rsid w:val="00F27917"/>
    <w:rsid w:val="00F27C9F"/>
    <w:rsid w:val="00F30B2D"/>
    <w:rsid w:val="00F30CA4"/>
    <w:rsid w:val="00F31F27"/>
    <w:rsid w:val="00F32235"/>
    <w:rsid w:val="00F32B5C"/>
    <w:rsid w:val="00F33071"/>
    <w:rsid w:val="00F33B1D"/>
    <w:rsid w:val="00F33B85"/>
    <w:rsid w:val="00F33C56"/>
    <w:rsid w:val="00F33C89"/>
    <w:rsid w:val="00F33D0F"/>
    <w:rsid w:val="00F33E86"/>
    <w:rsid w:val="00F342D2"/>
    <w:rsid w:val="00F346D9"/>
    <w:rsid w:val="00F347C7"/>
    <w:rsid w:val="00F347D6"/>
    <w:rsid w:val="00F347E5"/>
    <w:rsid w:val="00F34848"/>
    <w:rsid w:val="00F34880"/>
    <w:rsid w:val="00F349AA"/>
    <w:rsid w:val="00F349E0"/>
    <w:rsid w:val="00F34A96"/>
    <w:rsid w:val="00F35B00"/>
    <w:rsid w:val="00F35D15"/>
    <w:rsid w:val="00F35DEF"/>
    <w:rsid w:val="00F3621E"/>
    <w:rsid w:val="00F362C0"/>
    <w:rsid w:val="00F36893"/>
    <w:rsid w:val="00F369CE"/>
    <w:rsid w:val="00F36B41"/>
    <w:rsid w:val="00F40063"/>
    <w:rsid w:val="00F4057E"/>
    <w:rsid w:val="00F407B0"/>
    <w:rsid w:val="00F413C8"/>
    <w:rsid w:val="00F41680"/>
    <w:rsid w:val="00F41A04"/>
    <w:rsid w:val="00F41C31"/>
    <w:rsid w:val="00F41E17"/>
    <w:rsid w:val="00F41F3B"/>
    <w:rsid w:val="00F4202B"/>
    <w:rsid w:val="00F42585"/>
    <w:rsid w:val="00F42AB8"/>
    <w:rsid w:val="00F42D46"/>
    <w:rsid w:val="00F42E07"/>
    <w:rsid w:val="00F43889"/>
    <w:rsid w:val="00F4496C"/>
    <w:rsid w:val="00F449B0"/>
    <w:rsid w:val="00F44BA3"/>
    <w:rsid w:val="00F44C24"/>
    <w:rsid w:val="00F44F3A"/>
    <w:rsid w:val="00F44F65"/>
    <w:rsid w:val="00F45196"/>
    <w:rsid w:val="00F45C16"/>
    <w:rsid w:val="00F465B8"/>
    <w:rsid w:val="00F46B37"/>
    <w:rsid w:val="00F46EA9"/>
    <w:rsid w:val="00F47A45"/>
    <w:rsid w:val="00F502CE"/>
    <w:rsid w:val="00F503AE"/>
    <w:rsid w:val="00F50437"/>
    <w:rsid w:val="00F5063F"/>
    <w:rsid w:val="00F50D32"/>
    <w:rsid w:val="00F51F10"/>
    <w:rsid w:val="00F522DC"/>
    <w:rsid w:val="00F5271E"/>
    <w:rsid w:val="00F529A5"/>
    <w:rsid w:val="00F52F12"/>
    <w:rsid w:val="00F55892"/>
    <w:rsid w:val="00F55B3C"/>
    <w:rsid w:val="00F55CD9"/>
    <w:rsid w:val="00F56B00"/>
    <w:rsid w:val="00F56D4C"/>
    <w:rsid w:val="00F57787"/>
    <w:rsid w:val="00F60020"/>
    <w:rsid w:val="00F602BF"/>
    <w:rsid w:val="00F60352"/>
    <w:rsid w:val="00F603AA"/>
    <w:rsid w:val="00F60DD9"/>
    <w:rsid w:val="00F60F00"/>
    <w:rsid w:val="00F610C4"/>
    <w:rsid w:val="00F6121B"/>
    <w:rsid w:val="00F614C0"/>
    <w:rsid w:val="00F61BE2"/>
    <w:rsid w:val="00F62040"/>
    <w:rsid w:val="00F63016"/>
    <w:rsid w:val="00F63049"/>
    <w:rsid w:val="00F6321A"/>
    <w:rsid w:val="00F6369F"/>
    <w:rsid w:val="00F636A9"/>
    <w:rsid w:val="00F63A10"/>
    <w:rsid w:val="00F63A99"/>
    <w:rsid w:val="00F640C7"/>
    <w:rsid w:val="00F64116"/>
    <w:rsid w:val="00F64215"/>
    <w:rsid w:val="00F642DB"/>
    <w:rsid w:val="00F64528"/>
    <w:rsid w:val="00F646F2"/>
    <w:rsid w:val="00F648AD"/>
    <w:rsid w:val="00F64B58"/>
    <w:rsid w:val="00F65481"/>
    <w:rsid w:val="00F656B5"/>
    <w:rsid w:val="00F65810"/>
    <w:rsid w:val="00F659B2"/>
    <w:rsid w:val="00F65D31"/>
    <w:rsid w:val="00F65DA1"/>
    <w:rsid w:val="00F65DE1"/>
    <w:rsid w:val="00F65E8D"/>
    <w:rsid w:val="00F65F83"/>
    <w:rsid w:val="00F66522"/>
    <w:rsid w:val="00F66E28"/>
    <w:rsid w:val="00F67B2D"/>
    <w:rsid w:val="00F67C41"/>
    <w:rsid w:val="00F67D15"/>
    <w:rsid w:val="00F67E85"/>
    <w:rsid w:val="00F70009"/>
    <w:rsid w:val="00F70039"/>
    <w:rsid w:val="00F70900"/>
    <w:rsid w:val="00F70A22"/>
    <w:rsid w:val="00F70F09"/>
    <w:rsid w:val="00F716FB"/>
    <w:rsid w:val="00F71D33"/>
    <w:rsid w:val="00F722A0"/>
    <w:rsid w:val="00F7244F"/>
    <w:rsid w:val="00F72652"/>
    <w:rsid w:val="00F72E39"/>
    <w:rsid w:val="00F72F31"/>
    <w:rsid w:val="00F7333F"/>
    <w:rsid w:val="00F73393"/>
    <w:rsid w:val="00F73809"/>
    <w:rsid w:val="00F74066"/>
    <w:rsid w:val="00F7439E"/>
    <w:rsid w:val="00F74531"/>
    <w:rsid w:val="00F74A08"/>
    <w:rsid w:val="00F74C20"/>
    <w:rsid w:val="00F74E38"/>
    <w:rsid w:val="00F74E46"/>
    <w:rsid w:val="00F74ED6"/>
    <w:rsid w:val="00F75211"/>
    <w:rsid w:val="00F75E23"/>
    <w:rsid w:val="00F76422"/>
    <w:rsid w:val="00F76785"/>
    <w:rsid w:val="00F7696C"/>
    <w:rsid w:val="00F76FC6"/>
    <w:rsid w:val="00F7709E"/>
    <w:rsid w:val="00F776B0"/>
    <w:rsid w:val="00F779D8"/>
    <w:rsid w:val="00F77D56"/>
    <w:rsid w:val="00F77EAE"/>
    <w:rsid w:val="00F77FA7"/>
    <w:rsid w:val="00F801A6"/>
    <w:rsid w:val="00F807DE"/>
    <w:rsid w:val="00F808AA"/>
    <w:rsid w:val="00F80E09"/>
    <w:rsid w:val="00F80FB1"/>
    <w:rsid w:val="00F81829"/>
    <w:rsid w:val="00F81889"/>
    <w:rsid w:val="00F81DC1"/>
    <w:rsid w:val="00F82C7C"/>
    <w:rsid w:val="00F831CE"/>
    <w:rsid w:val="00F83848"/>
    <w:rsid w:val="00F83EBA"/>
    <w:rsid w:val="00F83FE6"/>
    <w:rsid w:val="00F84899"/>
    <w:rsid w:val="00F84A8F"/>
    <w:rsid w:val="00F84D70"/>
    <w:rsid w:val="00F84DD4"/>
    <w:rsid w:val="00F850E7"/>
    <w:rsid w:val="00F85181"/>
    <w:rsid w:val="00F85529"/>
    <w:rsid w:val="00F85642"/>
    <w:rsid w:val="00F85D01"/>
    <w:rsid w:val="00F86111"/>
    <w:rsid w:val="00F866D7"/>
    <w:rsid w:val="00F868F2"/>
    <w:rsid w:val="00F86A10"/>
    <w:rsid w:val="00F871E4"/>
    <w:rsid w:val="00F87685"/>
    <w:rsid w:val="00F87691"/>
    <w:rsid w:val="00F87F42"/>
    <w:rsid w:val="00F9002B"/>
    <w:rsid w:val="00F9032D"/>
    <w:rsid w:val="00F90BA2"/>
    <w:rsid w:val="00F9107A"/>
    <w:rsid w:val="00F91327"/>
    <w:rsid w:val="00F91A30"/>
    <w:rsid w:val="00F91E56"/>
    <w:rsid w:val="00F9206E"/>
    <w:rsid w:val="00F932A0"/>
    <w:rsid w:val="00F935DC"/>
    <w:rsid w:val="00F938A7"/>
    <w:rsid w:val="00F9397B"/>
    <w:rsid w:val="00F93C6E"/>
    <w:rsid w:val="00F93E07"/>
    <w:rsid w:val="00F94E92"/>
    <w:rsid w:val="00F95170"/>
    <w:rsid w:val="00F95552"/>
    <w:rsid w:val="00F9560D"/>
    <w:rsid w:val="00F956C9"/>
    <w:rsid w:val="00F95E53"/>
    <w:rsid w:val="00F95F64"/>
    <w:rsid w:val="00F96BE2"/>
    <w:rsid w:val="00F9709B"/>
    <w:rsid w:val="00F97173"/>
    <w:rsid w:val="00F975E9"/>
    <w:rsid w:val="00F9779D"/>
    <w:rsid w:val="00F97D59"/>
    <w:rsid w:val="00FA0355"/>
    <w:rsid w:val="00FA0B97"/>
    <w:rsid w:val="00FA0C87"/>
    <w:rsid w:val="00FA1030"/>
    <w:rsid w:val="00FA1B7D"/>
    <w:rsid w:val="00FA1E97"/>
    <w:rsid w:val="00FA20BF"/>
    <w:rsid w:val="00FA21FD"/>
    <w:rsid w:val="00FA230E"/>
    <w:rsid w:val="00FA25A8"/>
    <w:rsid w:val="00FA2957"/>
    <w:rsid w:val="00FA29D1"/>
    <w:rsid w:val="00FA350F"/>
    <w:rsid w:val="00FA3993"/>
    <w:rsid w:val="00FA47F2"/>
    <w:rsid w:val="00FA484C"/>
    <w:rsid w:val="00FA581F"/>
    <w:rsid w:val="00FA5ADE"/>
    <w:rsid w:val="00FA5B45"/>
    <w:rsid w:val="00FA5C7E"/>
    <w:rsid w:val="00FA620C"/>
    <w:rsid w:val="00FA6324"/>
    <w:rsid w:val="00FA6837"/>
    <w:rsid w:val="00FA6B5B"/>
    <w:rsid w:val="00FA6BEC"/>
    <w:rsid w:val="00FA7157"/>
    <w:rsid w:val="00FA73CF"/>
    <w:rsid w:val="00FA7A83"/>
    <w:rsid w:val="00FA7B20"/>
    <w:rsid w:val="00FA7BA9"/>
    <w:rsid w:val="00FA7F13"/>
    <w:rsid w:val="00FB0028"/>
    <w:rsid w:val="00FB034F"/>
    <w:rsid w:val="00FB0427"/>
    <w:rsid w:val="00FB05C9"/>
    <w:rsid w:val="00FB0E4A"/>
    <w:rsid w:val="00FB0E88"/>
    <w:rsid w:val="00FB1204"/>
    <w:rsid w:val="00FB14AF"/>
    <w:rsid w:val="00FB1D8C"/>
    <w:rsid w:val="00FB22D2"/>
    <w:rsid w:val="00FB2845"/>
    <w:rsid w:val="00FB338B"/>
    <w:rsid w:val="00FB3DD3"/>
    <w:rsid w:val="00FB4044"/>
    <w:rsid w:val="00FB4BAF"/>
    <w:rsid w:val="00FB5888"/>
    <w:rsid w:val="00FB68CB"/>
    <w:rsid w:val="00FB6AD1"/>
    <w:rsid w:val="00FB6B0A"/>
    <w:rsid w:val="00FB6D20"/>
    <w:rsid w:val="00FB6D24"/>
    <w:rsid w:val="00FB741A"/>
    <w:rsid w:val="00FB742D"/>
    <w:rsid w:val="00FB75A6"/>
    <w:rsid w:val="00FB7724"/>
    <w:rsid w:val="00FB7790"/>
    <w:rsid w:val="00FC07B9"/>
    <w:rsid w:val="00FC0F56"/>
    <w:rsid w:val="00FC0F78"/>
    <w:rsid w:val="00FC1306"/>
    <w:rsid w:val="00FC15A7"/>
    <w:rsid w:val="00FC18FA"/>
    <w:rsid w:val="00FC1D23"/>
    <w:rsid w:val="00FC1E04"/>
    <w:rsid w:val="00FC205F"/>
    <w:rsid w:val="00FC268E"/>
    <w:rsid w:val="00FC2C04"/>
    <w:rsid w:val="00FC2DE9"/>
    <w:rsid w:val="00FC2E86"/>
    <w:rsid w:val="00FC315A"/>
    <w:rsid w:val="00FC384C"/>
    <w:rsid w:val="00FC4487"/>
    <w:rsid w:val="00FC44D3"/>
    <w:rsid w:val="00FC4512"/>
    <w:rsid w:val="00FC48EA"/>
    <w:rsid w:val="00FC4E21"/>
    <w:rsid w:val="00FC5CF7"/>
    <w:rsid w:val="00FC5F1B"/>
    <w:rsid w:val="00FC5F6D"/>
    <w:rsid w:val="00FC6008"/>
    <w:rsid w:val="00FC654E"/>
    <w:rsid w:val="00FC6AAE"/>
    <w:rsid w:val="00FC6AD2"/>
    <w:rsid w:val="00FC6EF0"/>
    <w:rsid w:val="00FC7423"/>
    <w:rsid w:val="00FD0107"/>
    <w:rsid w:val="00FD07DC"/>
    <w:rsid w:val="00FD0986"/>
    <w:rsid w:val="00FD13E4"/>
    <w:rsid w:val="00FD147A"/>
    <w:rsid w:val="00FD15C4"/>
    <w:rsid w:val="00FD214F"/>
    <w:rsid w:val="00FD218A"/>
    <w:rsid w:val="00FD2362"/>
    <w:rsid w:val="00FD25FD"/>
    <w:rsid w:val="00FD2C2F"/>
    <w:rsid w:val="00FD3A80"/>
    <w:rsid w:val="00FD3B31"/>
    <w:rsid w:val="00FD3D58"/>
    <w:rsid w:val="00FD3EA3"/>
    <w:rsid w:val="00FD4AB9"/>
    <w:rsid w:val="00FD5A69"/>
    <w:rsid w:val="00FD62FA"/>
    <w:rsid w:val="00FD6356"/>
    <w:rsid w:val="00FD64D4"/>
    <w:rsid w:val="00FD665A"/>
    <w:rsid w:val="00FD67D3"/>
    <w:rsid w:val="00FD6949"/>
    <w:rsid w:val="00FD6F03"/>
    <w:rsid w:val="00FD7639"/>
    <w:rsid w:val="00FD79AD"/>
    <w:rsid w:val="00FD7A51"/>
    <w:rsid w:val="00FD7FDC"/>
    <w:rsid w:val="00FE0089"/>
    <w:rsid w:val="00FE00F0"/>
    <w:rsid w:val="00FE010A"/>
    <w:rsid w:val="00FE0565"/>
    <w:rsid w:val="00FE059D"/>
    <w:rsid w:val="00FE05B7"/>
    <w:rsid w:val="00FE0D39"/>
    <w:rsid w:val="00FE15F4"/>
    <w:rsid w:val="00FE1823"/>
    <w:rsid w:val="00FE2593"/>
    <w:rsid w:val="00FE2BE0"/>
    <w:rsid w:val="00FE2F73"/>
    <w:rsid w:val="00FE2F8A"/>
    <w:rsid w:val="00FE31F4"/>
    <w:rsid w:val="00FE36EC"/>
    <w:rsid w:val="00FE36FA"/>
    <w:rsid w:val="00FE459E"/>
    <w:rsid w:val="00FE465D"/>
    <w:rsid w:val="00FE4764"/>
    <w:rsid w:val="00FE487A"/>
    <w:rsid w:val="00FE4E15"/>
    <w:rsid w:val="00FE4E90"/>
    <w:rsid w:val="00FE5F71"/>
    <w:rsid w:val="00FE6142"/>
    <w:rsid w:val="00FE6972"/>
    <w:rsid w:val="00FE75BB"/>
    <w:rsid w:val="00FE77BD"/>
    <w:rsid w:val="00FE7C23"/>
    <w:rsid w:val="00FF01E8"/>
    <w:rsid w:val="00FF0569"/>
    <w:rsid w:val="00FF0C2E"/>
    <w:rsid w:val="00FF1179"/>
    <w:rsid w:val="00FF131C"/>
    <w:rsid w:val="00FF193F"/>
    <w:rsid w:val="00FF1D35"/>
    <w:rsid w:val="00FF206E"/>
    <w:rsid w:val="00FF21B8"/>
    <w:rsid w:val="00FF289F"/>
    <w:rsid w:val="00FF28DD"/>
    <w:rsid w:val="00FF2943"/>
    <w:rsid w:val="00FF2CF2"/>
    <w:rsid w:val="00FF2E22"/>
    <w:rsid w:val="00FF3332"/>
    <w:rsid w:val="00FF3492"/>
    <w:rsid w:val="00FF3B1A"/>
    <w:rsid w:val="00FF3B30"/>
    <w:rsid w:val="00FF3C69"/>
    <w:rsid w:val="00FF3EFD"/>
    <w:rsid w:val="00FF4080"/>
    <w:rsid w:val="00FF4136"/>
    <w:rsid w:val="00FF4735"/>
    <w:rsid w:val="00FF4EF2"/>
    <w:rsid w:val="00FF5C07"/>
    <w:rsid w:val="00FF6214"/>
    <w:rsid w:val="00FF6747"/>
    <w:rsid w:val="00FF6B75"/>
    <w:rsid w:val="00FF6BAF"/>
    <w:rsid w:val="00FF6E0A"/>
    <w:rsid w:val="00FF78AC"/>
    <w:rsid w:val="00FF7AA0"/>
    <w:rsid w:val="00FF7BA8"/>
    <w:rsid w:val="00FF7E2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ru v:ext="edit" colors="red,#4d4d4f"/>
    </o:shapedefaults>
    <o:shapelayout v:ext="edit">
      <o:idmap v:ext="edit" data="1"/>
    </o:shapelayout>
  </w:shapeDefaults>
  <w:decimalSymbol w:val="."/>
  <w:listSeparator w:val=","/>
  <w14:docId w14:val="290B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uiPriority="67"/>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link w:val="Heading4Char"/>
    <w:qFormat/>
    <w:rsid w:val="007E311E"/>
    <w:pPr>
      <w:outlineLvl w:val="3"/>
    </w:pPr>
  </w:style>
  <w:style w:type="paragraph" w:styleId="Heading5">
    <w:name w:val="heading 5"/>
    <w:basedOn w:val="Normal"/>
    <w:next w:val="Normal"/>
    <w:link w:val="Heading5Char"/>
    <w:qFormat/>
    <w:rsid w:val="00B14DB9"/>
    <w:pPr>
      <w:keepNext/>
      <w:spacing w:before="240" w:after="60"/>
      <w:outlineLvl w:val="4"/>
    </w:pPr>
    <w:rPr>
      <w:b/>
      <w:bCs/>
      <w:i/>
      <w:iCs/>
      <w:sz w:val="18"/>
      <w:szCs w:val="18"/>
    </w:rPr>
  </w:style>
  <w:style w:type="paragraph" w:styleId="Heading6">
    <w:name w:val="heading 6"/>
    <w:basedOn w:val="Normal"/>
    <w:next w:val="Normal"/>
    <w:link w:val="Heading6Char"/>
    <w:qFormat/>
    <w:rsid w:val="00AD5436"/>
    <w:pPr>
      <w:spacing w:before="240" w:after="60"/>
      <w:ind w:left="1152" w:hanging="432"/>
      <w:outlineLvl w:val="5"/>
    </w:pPr>
    <w:rPr>
      <w:rFonts w:ascii="Times New Roman" w:hAnsi="Times New Roman"/>
      <w:b/>
      <w:bCs/>
      <w:sz w:val="22"/>
      <w:szCs w:val="22"/>
    </w:rPr>
  </w:style>
  <w:style w:type="paragraph" w:styleId="Heading7">
    <w:name w:val="heading 7"/>
    <w:basedOn w:val="Normal"/>
    <w:next w:val="Normal"/>
    <w:link w:val="Heading7Char"/>
    <w:qFormat/>
    <w:rsid w:val="00AD5436"/>
    <w:pPr>
      <w:spacing w:before="240" w:after="60"/>
      <w:ind w:left="1296" w:hanging="288"/>
      <w:outlineLvl w:val="6"/>
    </w:pPr>
    <w:rPr>
      <w:rFonts w:ascii="Times New Roman" w:hAnsi="Times New Roman"/>
      <w:sz w:val="24"/>
    </w:rPr>
  </w:style>
  <w:style w:type="paragraph" w:styleId="Heading8">
    <w:name w:val="heading 8"/>
    <w:basedOn w:val="Normal"/>
    <w:next w:val="Normal"/>
    <w:semiHidden/>
    <w:qFormat/>
    <w:rsid w:val="00AD5436"/>
    <w:pPr>
      <w:spacing w:before="240" w:after="60"/>
      <w:ind w:left="1440" w:hanging="432"/>
      <w:outlineLvl w:val="7"/>
    </w:pPr>
    <w:rPr>
      <w:rFonts w:ascii="Times New Roman" w:hAnsi="Times New Roman"/>
      <w:i/>
      <w:iCs/>
      <w:sz w:val="24"/>
    </w:rPr>
  </w:style>
  <w:style w:type="paragraph" w:styleId="Heading9">
    <w:name w:val="heading 9"/>
    <w:basedOn w:val="Normal"/>
    <w:next w:val="Normal"/>
    <w:semiHidden/>
    <w:qFormat/>
    <w:rsid w:val="00AD5436"/>
    <w:pPr>
      <w:spacing w:before="240" w:after="60"/>
      <w:ind w:left="1584" w:hanging="14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321"/>
    <w:rPr>
      <w:rFonts w:ascii="Arial" w:hAnsi="Arial" w:cs="Arial"/>
      <w:bCs/>
      <w:color w:val="323232"/>
      <w:kern w:val="32"/>
      <w:sz w:val="53"/>
      <w:szCs w:val="32"/>
    </w:rPr>
  </w:style>
  <w:style w:type="character" w:customStyle="1" w:styleId="Heading2Char">
    <w:name w:val="Heading 2 Char"/>
    <w:basedOn w:val="DefaultParagraphFont"/>
    <w:link w:val="Heading2"/>
    <w:rsid w:val="00835321"/>
    <w:rPr>
      <w:rFonts w:ascii="Arial" w:hAnsi="Arial" w:cs="Arial"/>
      <w:b/>
      <w:bCs/>
      <w:iCs/>
      <w:sz w:val="28"/>
      <w:szCs w:val="28"/>
    </w:rPr>
  </w:style>
  <w:style w:type="character" w:customStyle="1" w:styleId="Heading3Char">
    <w:name w:val="Heading 3 Char"/>
    <w:basedOn w:val="DefaultParagraphFont"/>
    <w:link w:val="Heading3"/>
    <w:rsid w:val="00835321"/>
    <w:rPr>
      <w:rFonts w:ascii="Arial" w:hAnsi="Arial" w:cs="Arial"/>
      <w:b/>
      <w:bCs/>
      <w:sz w:val="20"/>
      <w:szCs w:val="26"/>
    </w:rPr>
  </w:style>
  <w:style w:type="paragraph" w:customStyle="1" w:styleId="BodySubHeader">
    <w:name w:val="BodySubHeader"/>
    <w:basedOn w:val="Normal"/>
    <w:next w:val="Normal"/>
    <w:qFormat/>
    <w:rsid w:val="00146CE6"/>
    <w:pPr>
      <w:spacing w:before="240" w:after="0"/>
    </w:pPr>
    <w:rPr>
      <w:b/>
      <w:i/>
    </w:rPr>
  </w:style>
  <w:style w:type="character" w:customStyle="1" w:styleId="Heading4Char">
    <w:name w:val="Heading 4 Char"/>
    <w:basedOn w:val="DefaultParagraphFont"/>
    <w:link w:val="Heading4"/>
    <w:rsid w:val="007E311E"/>
    <w:rPr>
      <w:rFonts w:ascii="Arial" w:hAnsi="Arial"/>
      <w:b/>
      <w:i/>
      <w:sz w:val="20"/>
    </w:rPr>
  </w:style>
  <w:style w:type="character" w:customStyle="1" w:styleId="Heading5Char">
    <w:name w:val="Heading 5 Char"/>
    <w:basedOn w:val="DefaultParagraphFont"/>
    <w:link w:val="Heading5"/>
    <w:rsid w:val="00B14DB9"/>
    <w:rPr>
      <w:rFonts w:ascii="Arial" w:hAnsi="Arial"/>
      <w:b/>
      <w:bCs/>
      <w:i/>
      <w:iCs/>
      <w:sz w:val="18"/>
      <w:szCs w:val="18"/>
    </w:rPr>
  </w:style>
  <w:style w:type="character" w:customStyle="1" w:styleId="Heading6Char">
    <w:name w:val="Heading 6 Char"/>
    <w:basedOn w:val="DefaultParagraphFont"/>
    <w:link w:val="Heading6"/>
    <w:rsid w:val="00B94C86"/>
    <w:rPr>
      <w:b/>
      <w:bCs/>
      <w:sz w:val="22"/>
      <w:szCs w:val="22"/>
    </w:rPr>
  </w:style>
  <w:style w:type="character" w:customStyle="1" w:styleId="Heading7Char">
    <w:name w:val="Heading 7 Char"/>
    <w:basedOn w:val="DefaultParagraphFont"/>
    <w:link w:val="Heading7"/>
    <w:rsid w:val="00B94C86"/>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character" w:customStyle="1" w:styleId="HeaderChar">
    <w:name w:val="Header Char"/>
    <w:link w:val="Header"/>
    <w:uiPriority w:val="99"/>
    <w:rsid w:val="00971914"/>
    <w:rPr>
      <w:rFonts w:ascii="Arial" w:hAnsi="Arial"/>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B747E1"/>
    <w:pPr>
      <w:keepNext/>
      <w:keepLines/>
      <w:spacing w:after="0"/>
    </w:pPr>
    <w:rPr>
      <w:b/>
      <w:color w:val="FFFFFF" w:themeColor="background1"/>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link w:val="CaptionChar"/>
    <w:qFormat/>
    <w:rsid w:val="00E8152A"/>
    <w:pPr>
      <w:numPr>
        <w:numId w:val="4"/>
      </w:numPr>
      <w:spacing w:after="0"/>
    </w:pPr>
    <w:rPr>
      <w:b/>
      <w:bCs/>
      <w:color w:val="323232"/>
      <w:szCs w:val="20"/>
    </w:rPr>
  </w:style>
  <w:style w:type="character" w:customStyle="1" w:styleId="CaptionChar">
    <w:name w:val="Caption Char"/>
    <w:aliases w:val="Caption table Char"/>
    <w:basedOn w:val="DefaultParagraphFont"/>
    <w:link w:val="Caption"/>
    <w:rsid w:val="00B94C86"/>
    <w:rPr>
      <w:rFonts w:ascii="Arial" w:hAnsi="Arial"/>
      <w:b/>
      <w:bCs/>
      <w:color w:val="323232"/>
      <w:sz w:val="20"/>
      <w:szCs w:val="20"/>
    </w:rPr>
  </w:style>
  <w:style w:type="paragraph" w:styleId="ListBullet">
    <w:name w:val="List Bullet"/>
    <w:aliases w:val="List Bullet 1"/>
    <w:basedOn w:val="Normal"/>
    <w:link w:val="ListBulletChar"/>
    <w:qFormat/>
    <w:rsid w:val="00A27602"/>
    <w:pPr>
      <w:keepNext/>
      <w:keepLines/>
      <w:numPr>
        <w:numId w:val="1"/>
      </w:numPr>
      <w:tabs>
        <w:tab w:val="clear" w:pos="1854"/>
        <w:tab w:val="num" w:pos="-261"/>
      </w:tabs>
      <w:spacing w:after="80"/>
      <w:ind w:left="295"/>
    </w:pPr>
  </w:style>
  <w:style w:type="character" w:customStyle="1" w:styleId="ListBulletChar">
    <w:name w:val="List Bullet Char"/>
    <w:aliases w:val="List Bullet 1 Char"/>
    <w:basedOn w:val="DefaultParagraphFont"/>
    <w:link w:val="ListBullet"/>
    <w:rsid w:val="00A27602"/>
    <w:rPr>
      <w:rFonts w:ascii="Arial" w:hAnsi="Arial"/>
      <w:sz w:val="20"/>
    </w:rPr>
  </w:style>
  <w:style w:type="paragraph" w:styleId="ListBullet2">
    <w:name w:val="List Bullet 2"/>
    <w:basedOn w:val="ListBullet"/>
    <w:qFormat/>
    <w:rsid w:val="0091315D"/>
    <w:pPr>
      <w:keepNext w:val="0"/>
      <w:keepLines w:val="0"/>
      <w:tabs>
        <w:tab w:val="clear" w:pos="-261"/>
        <w:tab w:val="num" w:pos="295"/>
      </w:tabs>
    </w:pPr>
    <w:rPr>
      <w:rFonts w:cs="Arial"/>
    </w:rPr>
  </w:style>
  <w:style w:type="paragraph" w:styleId="ListNumber">
    <w:name w:val="List Number"/>
    <w:basedOn w:val="Normal"/>
    <w:qFormat/>
    <w:rsid w:val="003D0F3F"/>
    <w:pPr>
      <w:numPr>
        <w:numId w:val="10"/>
      </w:numPr>
      <w:shd w:val="clear" w:color="auto" w:fill="F2F2F2" w:themeFill="background1" w:themeFillShade="F2"/>
      <w:spacing w:after="80"/>
    </w:pPr>
    <w:rPr>
      <w:b/>
    </w:rPr>
  </w:style>
  <w:style w:type="paragraph" w:styleId="ListNumber2">
    <w:name w:val="List Number 2"/>
    <w:basedOn w:val="Normal"/>
    <w:qFormat/>
    <w:rsid w:val="00247C59"/>
    <w:pPr>
      <w:numPr>
        <w:numId w:val="2"/>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qFormat/>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ALTS FOOTNOTE"/>
    <w:basedOn w:val="Normal"/>
    <w:link w:val="FootnoteTextChar"/>
    <w:qFormat/>
    <w:rsid w:val="0037046B"/>
    <w:pPr>
      <w:spacing w:after="0" w:line="200" w:lineRule="atLeast"/>
    </w:pPr>
    <w:rPr>
      <w:sz w:val="16"/>
      <w:szCs w:val="16"/>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ALTS FOOTNOTE Char"/>
    <w:basedOn w:val="DefaultParagraphFont"/>
    <w:link w:val="FootnoteText"/>
    <w:qFormat/>
    <w:rsid w:val="0037046B"/>
    <w:rPr>
      <w:rFonts w:ascii="Arial" w:hAnsi="Arial"/>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A27602"/>
    <w:pPr>
      <w:keepNext w:val="0"/>
      <w:keepLines w:val="0"/>
      <w:tabs>
        <w:tab w:val="clear" w:pos="-261"/>
        <w:tab w:val="num" w:pos="295"/>
      </w:tabs>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D38C1"/>
    <w:pPr>
      <w:numPr>
        <w:numId w:val="9"/>
      </w:numPr>
      <w:spacing w:after="160" w:line="240" w:lineRule="atLeast"/>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CF75B8"/>
    <w:pPr>
      <w:numPr>
        <w:numId w:val="8"/>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3"/>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paragraph" w:styleId="Title">
    <w:name w:val="Title"/>
    <w:basedOn w:val="Normal"/>
    <w:next w:val="Normal"/>
    <w:link w:val="TitleChar"/>
    <w:uiPriority w:val="10"/>
    <w:qFormat/>
    <w:rsid w:val="0083532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35321"/>
    <w:rPr>
      <w:rFonts w:asciiTheme="majorHAnsi" w:eastAsiaTheme="majorEastAsia" w:hAnsiTheme="majorHAnsi" w:cstheme="majorBidi"/>
      <w:spacing w:val="-10"/>
      <w:kern w:val="28"/>
      <w:sz w:val="56"/>
      <w:szCs w:val="56"/>
      <w:lang w:eastAsia="en-US"/>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E07819"/>
    <w:pPr>
      <w:spacing w:after="160" w:line="259" w:lineRule="auto"/>
      <w:ind w:left="720"/>
      <w:contextualSpacing/>
    </w:pPr>
    <w:rPr>
      <w:rFonts w:eastAsiaTheme="minorHAnsi" w:cstheme="minorBidi"/>
      <w:szCs w:val="22"/>
      <w:lang w:eastAsia="en-US"/>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rsid w:val="00835321"/>
    <w:rPr>
      <w:rFonts w:ascii="Arial" w:eastAsiaTheme="minorHAnsi" w:hAnsi="Arial" w:cstheme="minorBidi"/>
      <w:sz w:val="20"/>
      <w:szCs w:val="22"/>
      <w:lang w:eastAsia="en-US"/>
    </w:rPr>
  </w:style>
  <w:style w:type="character" w:customStyle="1" w:styleId="s1">
    <w:name w:val="s1"/>
    <w:basedOn w:val="DefaultParagraphFont"/>
    <w:rsid w:val="00835321"/>
    <w:rPr>
      <w:rFonts w:ascii=".SFUIText" w:hAnsi=".SFUIText" w:hint="default"/>
      <w:b w:val="0"/>
      <w:bCs w:val="0"/>
      <w:i w:val="0"/>
      <w:iCs w:val="0"/>
    </w:rPr>
  </w:style>
  <w:style w:type="character" w:customStyle="1" w:styleId="tgc">
    <w:name w:val="_tgc"/>
    <w:basedOn w:val="DefaultParagraphFont"/>
    <w:rsid w:val="00835321"/>
  </w:style>
  <w:style w:type="character" w:customStyle="1" w:styleId="s2">
    <w:name w:val="s2"/>
    <w:basedOn w:val="DefaultParagraphFont"/>
    <w:rsid w:val="00835321"/>
    <w:rPr>
      <w:color w:val="3789BD"/>
      <w:u w:val="single"/>
    </w:rPr>
  </w:style>
  <w:style w:type="character" w:styleId="IntenseEmphasis">
    <w:name w:val="Intense Emphasis"/>
    <w:basedOn w:val="DefaultParagraphFont"/>
    <w:uiPriority w:val="21"/>
    <w:qFormat/>
    <w:rsid w:val="00B94C86"/>
    <w:rPr>
      <w:i/>
      <w:iCs/>
      <w:color w:val="4F81BD" w:themeColor="accent1"/>
    </w:rPr>
  </w:style>
  <w:style w:type="table" w:customStyle="1" w:styleId="TableGrid2">
    <w:name w:val="Table Grid2"/>
    <w:basedOn w:val="TableNormal"/>
    <w:next w:val="TableGrid"/>
    <w:uiPriority w:val="59"/>
    <w:rsid w:val="00B94C86"/>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B94C86"/>
    <w:pPr>
      <w:spacing w:before="20" w:after="20"/>
    </w:pPr>
    <w:rPr>
      <w:szCs w:val="20"/>
      <w:lang w:eastAsia="en-US"/>
    </w:rPr>
  </w:style>
  <w:style w:type="paragraph" w:customStyle="1" w:styleId="Default">
    <w:name w:val="Default"/>
    <w:rsid w:val="00B94C86"/>
    <w:pPr>
      <w:autoSpaceDE w:val="0"/>
      <w:autoSpaceDN w:val="0"/>
      <w:adjustRightInd w:val="0"/>
    </w:pPr>
    <w:rPr>
      <w:rFonts w:ascii="Arial" w:eastAsiaTheme="minorHAnsi" w:hAnsi="Arial" w:cs="Arial"/>
      <w:color w:val="000000"/>
      <w:lang w:eastAsia="en-US"/>
    </w:rPr>
  </w:style>
  <w:style w:type="paragraph" w:styleId="PlainText">
    <w:name w:val="Plain Text"/>
    <w:basedOn w:val="Normal"/>
    <w:link w:val="PlainTextChar"/>
    <w:uiPriority w:val="99"/>
    <w:semiHidden/>
    <w:unhideWhenUsed/>
    <w:rsid w:val="00B94C86"/>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94C86"/>
    <w:rPr>
      <w:rFonts w:ascii="Calibri" w:eastAsiaTheme="minorHAnsi" w:hAnsi="Calibri" w:cstheme="minorBidi"/>
      <w:sz w:val="22"/>
      <w:szCs w:val="21"/>
      <w:lang w:eastAsia="en-US"/>
    </w:rPr>
  </w:style>
  <w:style w:type="paragraph" w:customStyle="1" w:styleId="p1">
    <w:name w:val="p1"/>
    <w:basedOn w:val="Normal"/>
    <w:rsid w:val="00B94C86"/>
    <w:pPr>
      <w:spacing w:after="0" w:line="240" w:lineRule="auto"/>
    </w:pPr>
    <w:rPr>
      <w:rFonts w:ascii=".SF UI Text" w:eastAsiaTheme="minorHAnsi" w:hAnsi=".SF UI Text"/>
      <w:color w:val="454545"/>
      <w:sz w:val="26"/>
      <w:szCs w:val="26"/>
    </w:rPr>
  </w:style>
  <w:style w:type="paragraph" w:customStyle="1" w:styleId="p2">
    <w:name w:val="p2"/>
    <w:basedOn w:val="Normal"/>
    <w:rsid w:val="00B94C86"/>
    <w:pPr>
      <w:spacing w:after="0" w:line="240" w:lineRule="auto"/>
    </w:pPr>
    <w:rPr>
      <w:rFonts w:ascii=".SF UI Text" w:eastAsiaTheme="minorHAnsi" w:hAnsi=".SF UI Text"/>
      <w:color w:val="454545"/>
      <w:sz w:val="26"/>
      <w:szCs w:val="26"/>
    </w:rPr>
  </w:style>
  <w:style w:type="character" w:customStyle="1" w:styleId="apple-converted-space">
    <w:name w:val="apple-converted-space"/>
    <w:basedOn w:val="DefaultParagraphFont"/>
    <w:rsid w:val="00B94C86"/>
  </w:style>
  <w:style w:type="paragraph" w:customStyle="1" w:styleId="Bullet1">
    <w:name w:val="Bullet 1"/>
    <w:basedOn w:val="ListBullet2"/>
    <w:qFormat/>
    <w:rsid w:val="00B94C86"/>
    <w:pPr>
      <w:spacing w:after="240" w:line="240" w:lineRule="auto"/>
      <w:ind w:left="567" w:hanging="567"/>
      <w:contextualSpacing/>
    </w:pPr>
    <w:rPr>
      <w:rFonts w:ascii="Calibri" w:eastAsia="Calibri" w:hAnsi="Calibri" w:cs="Calibri"/>
      <w:w w:val="105"/>
      <w:kern w:val="40"/>
      <w:sz w:val="22"/>
      <w:szCs w:val="22"/>
      <w:lang w:eastAsia="en-US"/>
    </w:rPr>
  </w:style>
  <w:style w:type="paragraph" w:styleId="NormalWeb">
    <w:name w:val="Normal (Web)"/>
    <w:basedOn w:val="Normal"/>
    <w:uiPriority w:val="99"/>
    <w:unhideWhenUsed/>
    <w:rsid w:val="00B94C86"/>
    <w:pPr>
      <w:spacing w:line="240" w:lineRule="auto"/>
    </w:pPr>
    <w:rPr>
      <w:rFonts w:ascii="Times New Roman" w:hAnsi="Times New Roman"/>
      <w:sz w:val="24"/>
    </w:rPr>
  </w:style>
  <w:style w:type="paragraph" w:customStyle="1" w:styleId="ACMABulletLevel1">
    <w:name w:val="ACMA Bullet Level 1"/>
    <w:rsid w:val="00B94C86"/>
    <w:pPr>
      <w:numPr>
        <w:numId w:val="5"/>
      </w:numPr>
      <w:spacing w:after="120"/>
    </w:pPr>
    <w:rPr>
      <w:szCs w:val="20"/>
      <w:lang w:eastAsia="en-US"/>
    </w:rPr>
  </w:style>
  <w:style w:type="table" w:customStyle="1" w:styleId="TableGrid1">
    <w:name w:val="Table Grid1"/>
    <w:basedOn w:val="TableNormal"/>
    <w:next w:val="TableGrid"/>
    <w:uiPriority w:val="59"/>
    <w:rsid w:val="00B94C86"/>
    <w:pPr>
      <w:spacing w:before="80"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4C86"/>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B94C8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4C86"/>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link w:val="NoSpacingChar"/>
    <w:uiPriority w:val="1"/>
    <w:qFormat/>
    <w:rsid w:val="00B94C86"/>
    <w:rPr>
      <w:rFonts w:ascii="Arial" w:hAnsi="Arial"/>
      <w:sz w:val="20"/>
    </w:rPr>
  </w:style>
  <w:style w:type="character" w:customStyle="1" w:styleId="NoSpacingChar">
    <w:name w:val="No Spacing Char"/>
    <w:link w:val="NoSpacing"/>
    <w:uiPriority w:val="1"/>
    <w:locked/>
    <w:rsid w:val="00B94C86"/>
    <w:rPr>
      <w:rFonts w:ascii="Arial" w:hAnsi="Arial"/>
      <w:sz w:val="20"/>
    </w:rPr>
  </w:style>
  <w:style w:type="paragraph" w:customStyle="1" w:styleId="ACMABodyText">
    <w:name w:val="ACMA Body Text"/>
    <w:link w:val="ACMABodyTextChar"/>
    <w:qFormat/>
    <w:rsid w:val="00B94C86"/>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B94C86"/>
    <w:rPr>
      <w:snapToGrid w:val="0"/>
      <w:szCs w:val="20"/>
      <w:lang w:eastAsia="en-US"/>
    </w:rPr>
  </w:style>
  <w:style w:type="paragraph" w:customStyle="1" w:styleId="ExecSummaryHeading">
    <w:name w:val="Exec Summary Heading"/>
    <w:basedOn w:val="Normal"/>
    <w:rsid w:val="00B94C86"/>
    <w:pPr>
      <w:spacing w:after="1440" w:line="550" w:lineRule="exact"/>
    </w:pPr>
    <w:rPr>
      <w:b/>
      <w:color w:val="4D4D4F"/>
      <w:spacing w:val="-18"/>
      <w:sz w:val="53"/>
    </w:rPr>
  </w:style>
  <w:style w:type="paragraph" w:customStyle="1" w:styleId="ACMABodyText0">
    <w:name w:val="ACMA_BodyText"/>
    <w:qFormat/>
    <w:rsid w:val="00B94C86"/>
    <w:pPr>
      <w:suppressAutoHyphens/>
      <w:spacing w:after="80" w:line="280" w:lineRule="atLeast"/>
    </w:pPr>
    <w:rPr>
      <w:rFonts w:ascii="Arial" w:hAnsi="Arial"/>
      <w:snapToGrid w:val="0"/>
      <w:sz w:val="19"/>
      <w:szCs w:val="20"/>
      <w:lang w:eastAsia="en-US"/>
    </w:rPr>
  </w:style>
  <w:style w:type="table" w:styleId="MediumGrid1-Accent5">
    <w:name w:val="Medium Grid 1 Accent 5"/>
    <w:basedOn w:val="TableNormal"/>
    <w:uiPriority w:val="67"/>
    <w:rsid w:val="00B94C86"/>
    <w:rPr>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portTitle">
    <w:name w:val="Report Title"/>
    <w:basedOn w:val="Normal"/>
    <w:rsid w:val="00B94C86"/>
    <w:pPr>
      <w:spacing w:after="0" w:line="560" w:lineRule="exact"/>
    </w:pPr>
    <w:rPr>
      <w:b/>
      <w:color w:val="4D4D4F"/>
      <w:spacing w:val="-28"/>
      <w:sz w:val="53"/>
    </w:rPr>
  </w:style>
  <w:style w:type="paragraph" w:customStyle="1" w:styleId="ReportSubtitle">
    <w:name w:val="Report Sub title"/>
    <w:basedOn w:val="Normal"/>
    <w:rsid w:val="00B94C86"/>
    <w:pPr>
      <w:spacing w:after="0" w:line="560" w:lineRule="exact"/>
    </w:pPr>
    <w:rPr>
      <w:color w:val="808285"/>
      <w:spacing w:val="-28"/>
      <w:sz w:val="53"/>
    </w:rPr>
  </w:style>
  <w:style w:type="paragraph" w:customStyle="1" w:styleId="ReportDate">
    <w:name w:val="Report Date"/>
    <w:basedOn w:val="ReportSubtitle"/>
    <w:rsid w:val="00B94C86"/>
    <w:pPr>
      <w:spacing w:line="240" w:lineRule="auto"/>
    </w:pPr>
    <w:rPr>
      <w:caps/>
      <w:spacing w:val="-10"/>
      <w:sz w:val="20"/>
    </w:rPr>
  </w:style>
  <w:style w:type="paragraph" w:customStyle="1" w:styleId="Bodysubheader0">
    <w:name w:val="Body sub header"/>
    <w:basedOn w:val="Normal"/>
    <w:next w:val="Normal"/>
    <w:rsid w:val="00B94C86"/>
    <w:pPr>
      <w:spacing w:after="0"/>
    </w:pPr>
    <w:rPr>
      <w:b/>
      <w:i/>
    </w:rPr>
  </w:style>
  <w:style w:type="paragraph" w:styleId="TOC9">
    <w:name w:val="toc 9"/>
    <w:aliases w:val="TOC ExecSumm"/>
    <w:basedOn w:val="Normal"/>
    <w:next w:val="Normal"/>
    <w:uiPriority w:val="39"/>
    <w:rsid w:val="00B94C86"/>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B94C86"/>
    <w:pPr>
      <w:spacing w:after="0" w:line="560" w:lineRule="exact"/>
    </w:pPr>
    <w:rPr>
      <w:color w:val="808285"/>
      <w:spacing w:val="-28"/>
      <w:sz w:val="53"/>
    </w:rPr>
  </w:style>
  <w:style w:type="character" w:customStyle="1" w:styleId="apple-style-span">
    <w:name w:val="apple-style-span"/>
    <w:basedOn w:val="DefaultParagraphFont"/>
    <w:rsid w:val="00B94C86"/>
  </w:style>
  <w:style w:type="paragraph" w:customStyle="1" w:styleId="StyleListParagraphListParagraph1ListParagraph11Recommendatio">
    <w:name w:val="Style List ParagraphList Paragraph1List Paragraph11Recommendatio..."/>
    <w:basedOn w:val="ListParagraph"/>
    <w:rsid w:val="00B94C86"/>
    <w:pPr>
      <w:spacing w:after="240" w:line="240" w:lineRule="auto"/>
      <w:ind w:left="1134" w:hanging="567"/>
    </w:pPr>
    <w:rPr>
      <w:rFonts w:eastAsia="Times New Roman" w:cs="Times New Roman"/>
      <w:szCs w:val="20"/>
    </w:rPr>
  </w:style>
  <w:style w:type="paragraph" w:customStyle="1" w:styleId="ACMAHeading3">
    <w:name w:val="ACMA Heading 3"/>
    <w:next w:val="ACMABodyText"/>
    <w:rsid w:val="00B94C86"/>
    <w:pPr>
      <w:keepNext/>
      <w:tabs>
        <w:tab w:val="num" w:pos="720"/>
      </w:tabs>
      <w:suppressAutoHyphens/>
      <w:spacing w:before="240"/>
      <w:outlineLvl w:val="3"/>
    </w:pPr>
    <w:rPr>
      <w:rFonts w:ascii="Arial" w:hAnsi="Arial"/>
      <w:b/>
      <w:szCs w:val="20"/>
      <w:lang w:val="en-US" w:eastAsia="en-US"/>
    </w:rPr>
  </w:style>
  <w:style w:type="paragraph" w:customStyle="1" w:styleId="Summary">
    <w:name w:val="Summary"/>
    <w:basedOn w:val="Normal"/>
    <w:next w:val="Normal"/>
    <w:autoRedefine/>
    <w:rsid w:val="00B94C8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sz w:val="22"/>
      <w:szCs w:val="20"/>
      <w:lang w:val="es-ES_tradnl" w:eastAsia="en-US"/>
    </w:rPr>
  </w:style>
  <w:style w:type="paragraph" w:customStyle="1" w:styleId="enumlev1">
    <w:name w:val="enumlev1"/>
    <w:basedOn w:val="Normal"/>
    <w:rsid w:val="00B94C86"/>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sz w:val="24"/>
      <w:szCs w:val="20"/>
      <w:lang w:val="en-GB" w:eastAsia="en-US"/>
    </w:rPr>
  </w:style>
  <w:style w:type="paragraph" w:styleId="BodyTextIndent3">
    <w:name w:val="Body Text Indent 3"/>
    <w:basedOn w:val="Normal"/>
    <w:link w:val="BodyTextIndent3Char"/>
    <w:rsid w:val="00B94C86"/>
    <w:pPr>
      <w:spacing w:after="120"/>
      <w:ind w:left="283"/>
    </w:pPr>
    <w:rPr>
      <w:sz w:val="16"/>
      <w:szCs w:val="16"/>
    </w:rPr>
  </w:style>
  <w:style w:type="character" w:customStyle="1" w:styleId="BodyTextIndent3Char">
    <w:name w:val="Body Text Indent 3 Char"/>
    <w:basedOn w:val="DefaultParagraphFont"/>
    <w:link w:val="BodyTextIndent3"/>
    <w:rsid w:val="00B94C86"/>
    <w:rPr>
      <w:rFonts w:ascii="Arial" w:hAnsi="Arial"/>
      <w:sz w:val="16"/>
      <w:szCs w:val="16"/>
    </w:rPr>
  </w:style>
  <w:style w:type="paragraph" w:customStyle="1" w:styleId="Normalaftertitle">
    <w:name w:val="Normal after title"/>
    <w:basedOn w:val="Normal"/>
    <w:next w:val="Normal"/>
    <w:rsid w:val="00B94C86"/>
    <w:pPr>
      <w:tabs>
        <w:tab w:val="left" w:pos="1134"/>
        <w:tab w:val="left" w:pos="1871"/>
        <w:tab w:val="left" w:pos="2268"/>
      </w:tabs>
      <w:overflowPunct w:val="0"/>
      <w:autoSpaceDE w:val="0"/>
      <w:autoSpaceDN w:val="0"/>
      <w:adjustRightInd w:val="0"/>
      <w:spacing w:before="280" w:after="0" w:line="240" w:lineRule="auto"/>
    </w:pPr>
    <w:rPr>
      <w:rFonts w:ascii="Times New Roman" w:hAnsi="Times New Roman"/>
      <w:sz w:val="24"/>
      <w:szCs w:val="20"/>
      <w:lang w:val="en-GB" w:eastAsia="en-US"/>
    </w:rPr>
  </w:style>
  <w:style w:type="table" w:customStyle="1" w:styleId="TableGrid3">
    <w:name w:val="Table Grid3"/>
    <w:basedOn w:val="TableNormal"/>
    <w:next w:val="TableGrid"/>
    <w:uiPriority w:val="39"/>
    <w:rsid w:val="00D169B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2A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65CA"/>
    <w:pPr>
      <w:widowControl w:val="0"/>
      <w:autoSpaceDE w:val="0"/>
      <w:autoSpaceDN w:val="0"/>
      <w:spacing w:before="13" w:after="0" w:line="240" w:lineRule="auto"/>
      <w:ind w:left="113"/>
    </w:pPr>
    <w:rPr>
      <w:rFonts w:eastAsia="Arial" w:cs="Arial"/>
      <w:sz w:val="22"/>
      <w:szCs w:val="22"/>
      <w:lang w:val="en-US" w:eastAsia="en-US" w:bidi="en-US"/>
    </w:rPr>
  </w:style>
  <w:style w:type="character" w:customStyle="1" w:styleId="UnresolvedMention1">
    <w:name w:val="Unresolved Mention1"/>
    <w:basedOn w:val="DefaultParagraphFont"/>
    <w:uiPriority w:val="99"/>
    <w:semiHidden/>
    <w:unhideWhenUsed/>
    <w:rsid w:val="00295A18"/>
    <w:rPr>
      <w:color w:val="605E5C"/>
      <w:shd w:val="clear" w:color="auto" w:fill="E1DFDD"/>
    </w:rPr>
  </w:style>
  <w:style w:type="character" w:customStyle="1" w:styleId="UnresolvedMention2">
    <w:name w:val="Unresolved Mention2"/>
    <w:basedOn w:val="DefaultParagraphFont"/>
    <w:uiPriority w:val="99"/>
    <w:semiHidden/>
    <w:unhideWhenUsed/>
    <w:rsid w:val="00BA498C"/>
    <w:rPr>
      <w:color w:val="605E5C"/>
      <w:shd w:val="clear" w:color="auto" w:fill="E1DFDD"/>
    </w:rPr>
  </w:style>
  <w:style w:type="character" w:customStyle="1" w:styleId="UnresolvedMention3">
    <w:name w:val="Unresolved Mention3"/>
    <w:basedOn w:val="DefaultParagraphFont"/>
    <w:uiPriority w:val="99"/>
    <w:semiHidden/>
    <w:unhideWhenUsed/>
    <w:rsid w:val="00365525"/>
    <w:rPr>
      <w:color w:val="605E5C"/>
      <w:shd w:val="clear" w:color="auto" w:fill="E1DFDD"/>
    </w:rPr>
  </w:style>
  <w:style w:type="character" w:customStyle="1" w:styleId="UnresolvedMention4">
    <w:name w:val="Unresolved Mention4"/>
    <w:basedOn w:val="DefaultParagraphFont"/>
    <w:uiPriority w:val="99"/>
    <w:semiHidden/>
    <w:unhideWhenUsed/>
    <w:rsid w:val="00A02D08"/>
    <w:rPr>
      <w:color w:val="605E5C"/>
      <w:shd w:val="clear" w:color="auto" w:fill="E1DFDD"/>
    </w:rPr>
  </w:style>
  <w:style w:type="character" w:styleId="UnresolvedMention">
    <w:name w:val="Unresolved Mention"/>
    <w:basedOn w:val="DefaultParagraphFont"/>
    <w:uiPriority w:val="99"/>
    <w:semiHidden/>
    <w:unhideWhenUsed/>
    <w:rsid w:val="00BF204E"/>
    <w:rPr>
      <w:color w:val="605E5C"/>
      <w:shd w:val="clear" w:color="auto" w:fill="E1DFDD"/>
    </w:rPr>
  </w:style>
  <w:style w:type="table" w:styleId="PlainTable1">
    <w:name w:val="Plain Table 1"/>
    <w:basedOn w:val="TableNormal"/>
    <w:uiPriority w:val="41"/>
    <w:rsid w:val="00D90D7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2">
    <w:name w:val="Table heading 2"/>
    <w:basedOn w:val="ACMATableHeader"/>
    <w:qFormat/>
    <w:rsid w:val="00C837A5"/>
    <w:pPr>
      <w:keepNext/>
      <w:numPr>
        <w:numId w:val="0"/>
      </w:numPr>
      <w:spacing w:after="0"/>
      <w:ind w:left="97" w:hanging="40"/>
    </w:pPr>
    <w:rPr>
      <w:color w:val="auto"/>
      <w:sz w:val="24"/>
    </w:rPr>
  </w:style>
  <w:style w:type="paragraph" w:styleId="TOC4">
    <w:name w:val="toc 4"/>
    <w:basedOn w:val="Normal"/>
    <w:next w:val="Normal"/>
    <w:autoRedefine/>
    <w:uiPriority w:val="39"/>
    <w:unhideWhenUsed/>
    <w:rsid w:val="00775B4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5B4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5B4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5B4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5B4A"/>
    <w:pPr>
      <w:spacing w:after="100" w:line="259" w:lineRule="auto"/>
      <w:ind w:left="15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894">
      <w:bodyDiv w:val="1"/>
      <w:marLeft w:val="0"/>
      <w:marRight w:val="0"/>
      <w:marTop w:val="0"/>
      <w:marBottom w:val="0"/>
      <w:divBdr>
        <w:top w:val="none" w:sz="0" w:space="0" w:color="auto"/>
        <w:left w:val="none" w:sz="0" w:space="0" w:color="auto"/>
        <w:bottom w:val="none" w:sz="0" w:space="0" w:color="auto"/>
        <w:right w:val="none" w:sz="0" w:space="0" w:color="auto"/>
      </w:divBdr>
      <w:divsChild>
        <w:div w:id="109207078">
          <w:marLeft w:val="0"/>
          <w:marRight w:val="0"/>
          <w:marTop w:val="0"/>
          <w:marBottom w:val="0"/>
          <w:divBdr>
            <w:top w:val="none" w:sz="0" w:space="0" w:color="auto"/>
            <w:left w:val="none" w:sz="0" w:space="0" w:color="auto"/>
            <w:bottom w:val="none" w:sz="0" w:space="0" w:color="auto"/>
            <w:right w:val="none" w:sz="0" w:space="0" w:color="auto"/>
          </w:divBdr>
          <w:divsChild>
            <w:div w:id="1530871569">
              <w:marLeft w:val="0"/>
              <w:marRight w:val="0"/>
              <w:marTop w:val="0"/>
              <w:marBottom w:val="0"/>
              <w:divBdr>
                <w:top w:val="none" w:sz="0" w:space="0" w:color="auto"/>
                <w:left w:val="none" w:sz="0" w:space="0" w:color="auto"/>
                <w:bottom w:val="none" w:sz="0" w:space="0" w:color="auto"/>
                <w:right w:val="none" w:sz="0" w:space="0" w:color="auto"/>
              </w:divBdr>
              <w:divsChild>
                <w:div w:id="1888445366">
                  <w:marLeft w:val="0"/>
                  <w:marRight w:val="0"/>
                  <w:marTop w:val="0"/>
                  <w:marBottom w:val="0"/>
                  <w:divBdr>
                    <w:top w:val="none" w:sz="0" w:space="0" w:color="auto"/>
                    <w:left w:val="none" w:sz="0" w:space="0" w:color="auto"/>
                    <w:bottom w:val="none" w:sz="0" w:space="0" w:color="auto"/>
                    <w:right w:val="none" w:sz="0" w:space="0" w:color="auto"/>
                  </w:divBdr>
                  <w:divsChild>
                    <w:div w:id="1299530523">
                      <w:marLeft w:val="0"/>
                      <w:marRight w:val="0"/>
                      <w:marTop w:val="0"/>
                      <w:marBottom w:val="0"/>
                      <w:divBdr>
                        <w:top w:val="none" w:sz="0" w:space="0" w:color="auto"/>
                        <w:left w:val="none" w:sz="0" w:space="0" w:color="auto"/>
                        <w:bottom w:val="none" w:sz="0" w:space="0" w:color="auto"/>
                        <w:right w:val="none" w:sz="0" w:space="0" w:color="auto"/>
                      </w:divBdr>
                      <w:divsChild>
                        <w:div w:id="1059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4548">
      <w:bodyDiv w:val="1"/>
      <w:marLeft w:val="0"/>
      <w:marRight w:val="0"/>
      <w:marTop w:val="0"/>
      <w:marBottom w:val="0"/>
      <w:divBdr>
        <w:top w:val="none" w:sz="0" w:space="0" w:color="auto"/>
        <w:left w:val="none" w:sz="0" w:space="0" w:color="auto"/>
        <w:bottom w:val="none" w:sz="0" w:space="0" w:color="auto"/>
        <w:right w:val="none" w:sz="0" w:space="0" w:color="auto"/>
      </w:divBdr>
    </w:div>
    <w:div w:id="102574492">
      <w:bodyDiv w:val="1"/>
      <w:marLeft w:val="0"/>
      <w:marRight w:val="0"/>
      <w:marTop w:val="0"/>
      <w:marBottom w:val="0"/>
      <w:divBdr>
        <w:top w:val="none" w:sz="0" w:space="0" w:color="auto"/>
        <w:left w:val="none" w:sz="0" w:space="0" w:color="auto"/>
        <w:bottom w:val="none" w:sz="0" w:space="0" w:color="auto"/>
        <w:right w:val="none" w:sz="0" w:space="0" w:color="auto"/>
      </w:divBdr>
    </w:div>
    <w:div w:id="124079014">
      <w:bodyDiv w:val="1"/>
      <w:marLeft w:val="0"/>
      <w:marRight w:val="0"/>
      <w:marTop w:val="0"/>
      <w:marBottom w:val="0"/>
      <w:divBdr>
        <w:top w:val="none" w:sz="0" w:space="0" w:color="auto"/>
        <w:left w:val="none" w:sz="0" w:space="0" w:color="auto"/>
        <w:bottom w:val="none" w:sz="0" w:space="0" w:color="auto"/>
        <w:right w:val="none" w:sz="0" w:space="0" w:color="auto"/>
      </w:divBdr>
    </w:div>
    <w:div w:id="127208210">
      <w:bodyDiv w:val="1"/>
      <w:marLeft w:val="0"/>
      <w:marRight w:val="0"/>
      <w:marTop w:val="0"/>
      <w:marBottom w:val="0"/>
      <w:divBdr>
        <w:top w:val="none" w:sz="0" w:space="0" w:color="auto"/>
        <w:left w:val="none" w:sz="0" w:space="0" w:color="auto"/>
        <w:bottom w:val="none" w:sz="0" w:space="0" w:color="auto"/>
        <w:right w:val="none" w:sz="0" w:space="0" w:color="auto"/>
      </w:divBdr>
    </w:div>
    <w:div w:id="163666300">
      <w:bodyDiv w:val="1"/>
      <w:marLeft w:val="0"/>
      <w:marRight w:val="0"/>
      <w:marTop w:val="0"/>
      <w:marBottom w:val="0"/>
      <w:divBdr>
        <w:top w:val="none" w:sz="0" w:space="0" w:color="auto"/>
        <w:left w:val="none" w:sz="0" w:space="0" w:color="auto"/>
        <w:bottom w:val="none" w:sz="0" w:space="0" w:color="auto"/>
        <w:right w:val="none" w:sz="0" w:space="0" w:color="auto"/>
      </w:divBdr>
    </w:div>
    <w:div w:id="165947953">
      <w:bodyDiv w:val="1"/>
      <w:marLeft w:val="0"/>
      <w:marRight w:val="0"/>
      <w:marTop w:val="0"/>
      <w:marBottom w:val="0"/>
      <w:divBdr>
        <w:top w:val="none" w:sz="0" w:space="0" w:color="auto"/>
        <w:left w:val="none" w:sz="0" w:space="0" w:color="auto"/>
        <w:bottom w:val="none" w:sz="0" w:space="0" w:color="auto"/>
        <w:right w:val="none" w:sz="0" w:space="0" w:color="auto"/>
      </w:divBdr>
    </w:div>
    <w:div w:id="166986358">
      <w:bodyDiv w:val="1"/>
      <w:marLeft w:val="0"/>
      <w:marRight w:val="0"/>
      <w:marTop w:val="0"/>
      <w:marBottom w:val="0"/>
      <w:divBdr>
        <w:top w:val="none" w:sz="0" w:space="0" w:color="auto"/>
        <w:left w:val="none" w:sz="0" w:space="0" w:color="auto"/>
        <w:bottom w:val="none" w:sz="0" w:space="0" w:color="auto"/>
        <w:right w:val="none" w:sz="0" w:space="0" w:color="auto"/>
      </w:divBdr>
    </w:div>
    <w:div w:id="167717739">
      <w:bodyDiv w:val="1"/>
      <w:marLeft w:val="0"/>
      <w:marRight w:val="0"/>
      <w:marTop w:val="0"/>
      <w:marBottom w:val="0"/>
      <w:divBdr>
        <w:top w:val="none" w:sz="0" w:space="0" w:color="auto"/>
        <w:left w:val="none" w:sz="0" w:space="0" w:color="auto"/>
        <w:bottom w:val="none" w:sz="0" w:space="0" w:color="auto"/>
        <w:right w:val="none" w:sz="0" w:space="0" w:color="auto"/>
      </w:divBdr>
    </w:div>
    <w:div w:id="215238411">
      <w:bodyDiv w:val="1"/>
      <w:marLeft w:val="0"/>
      <w:marRight w:val="0"/>
      <w:marTop w:val="0"/>
      <w:marBottom w:val="0"/>
      <w:divBdr>
        <w:top w:val="none" w:sz="0" w:space="0" w:color="auto"/>
        <w:left w:val="none" w:sz="0" w:space="0" w:color="auto"/>
        <w:bottom w:val="none" w:sz="0" w:space="0" w:color="auto"/>
        <w:right w:val="none" w:sz="0" w:space="0" w:color="auto"/>
      </w:divBdr>
    </w:div>
    <w:div w:id="245647689">
      <w:bodyDiv w:val="1"/>
      <w:marLeft w:val="0"/>
      <w:marRight w:val="0"/>
      <w:marTop w:val="0"/>
      <w:marBottom w:val="0"/>
      <w:divBdr>
        <w:top w:val="none" w:sz="0" w:space="0" w:color="auto"/>
        <w:left w:val="none" w:sz="0" w:space="0" w:color="auto"/>
        <w:bottom w:val="none" w:sz="0" w:space="0" w:color="auto"/>
        <w:right w:val="none" w:sz="0" w:space="0" w:color="auto"/>
      </w:divBdr>
    </w:div>
    <w:div w:id="263148020">
      <w:bodyDiv w:val="1"/>
      <w:marLeft w:val="0"/>
      <w:marRight w:val="0"/>
      <w:marTop w:val="0"/>
      <w:marBottom w:val="0"/>
      <w:divBdr>
        <w:top w:val="none" w:sz="0" w:space="0" w:color="auto"/>
        <w:left w:val="none" w:sz="0" w:space="0" w:color="auto"/>
        <w:bottom w:val="none" w:sz="0" w:space="0" w:color="auto"/>
        <w:right w:val="none" w:sz="0" w:space="0" w:color="auto"/>
      </w:divBdr>
    </w:div>
    <w:div w:id="338895039">
      <w:bodyDiv w:val="1"/>
      <w:marLeft w:val="0"/>
      <w:marRight w:val="0"/>
      <w:marTop w:val="0"/>
      <w:marBottom w:val="0"/>
      <w:divBdr>
        <w:top w:val="none" w:sz="0" w:space="0" w:color="auto"/>
        <w:left w:val="none" w:sz="0" w:space="0" w:color="auto"/>
        <w:bottom w:val="none" w:sz="0" w:space="0" w:color="auto"/>
        <w:right w:val="none" w:sz="0" w:space="0" w:color="auto"/>
      </w:divBdr>
    </w:div>
    <w:div w:id="357660826">
      <w:bodyDiv w:val="1"/>
      <w:marLeft w:val="0"/>
      <w:marRight w:val="0"/>
      <w:marTop w:val="0"/>
      <w:marBottom w:val="0"/>
      <w:divBdr>
        <w:top w:val="none" w:sz="0" w:space="0" w:color="auto"/>
        <w:left w:val="none" w:sz="0" w:space="0" w:color="auto"/>
        <w:bottom w:val="none" w:sz="0" w:space="0" w:color="auto"/>
        <w:right w:val="none" w:sz="0" w:space="0" w:color="auto"/>
      </w:divBdr>
    </w:div>
    <w:div w:id="366759458">
      <w:bodyDiv w:val="1"/>
      <w:marLeft w:val="0"/>
      <w:marRight w:val="0"/>
      <w:marTop w:val="0"/>
      <w:marBottom w:val="0"/>
      <w:divBdr>
        <w:top w:val="none" w:sz="0" w:space="0" w:color="auto"/>
        <w:left w:val="none" w:sz="0" w:space="0" w:color="auto"/>
        <w:bottom w:val="none" w:sz="0" w:space="0" w:color="auto"/>
        <w:right w:val="none" w:sz="0" w:space="0" w:color="auto"/>
      </w:divBdr>
    </w:div>
    <w:div w:id="422990865">
      <w:bodyDiv w:val="1"/>
      <w:marLeft w:val="0"/>
      <w:marRight w:val="0"/>
      <w:marTop w:val="0"/>
      <w:marBottom w:val="0"/>
      <w:divBdr>
        <w:top w:val="none" w:sz="0" w:space="0" w:color="auto"/>
        <w:left w:val="none" w:sz="0" w:space="0" w:color="auto"/>
        <w:bottom w:val="none" w:sz="0" w:space="0" w:color="auto"/>
        <w:right w:val="none" w:sz="0" w:space="0" w:color="auto"/>
      </w:divBdr>
    </w:div>
    <w:div w:id="431241558">
      <w:bodyDiv w:val="1"/>
      <w:marLeft w:val="0"/>
      <w:marRight w:val="0"/>
      <w:marTop w:val="0"/>
      <w:marBottom w:val="0"/>
      <w:divBdr>
        <w:top w:val="none" w:sz="0" w:space="0" w:color="auto"/>
        <w:left w:val="none" w:sz="0" w:space="0" w:color="auto"/>
        <w:bottom w:val="none" w:sz="0" w:space="0" w:color="auto"/>
        <w:right w:val="none" w:sz="0" w:space="0" w:color="auto"/>
      </w:divBdr>
    </w:div>
    <w:div w:id="457916219">
      <w:bodyDiv w:val="1"/>
      <w:marLeft w:val="0"/>
      <w:marRight w:val="0"/>
      <w:marTop w:val="0"/>
      <w:marBottom w:val="0"/>
      <w:divBdr>
        <w:top w:val="none" w:sz="0" w:space="0" w:color="auto"/>
        <w:left w:val="none" w:sz="0" w:space="0" w:color="auto"/>
        <w:bottom w:val="none" w:sz="0" w:space="0" w:color="auto"/>
        <w:right w:val="none" w:sz="0" w:space="0" w:color="auto"/>
      </w:divBdr>
    </w:div>
    <w:div w:id="468403279">
      <w:bodyDiv w:val="1"/>
      <w:marLeft w:val="0"/>
      <w:marRight w:val="0"/>
      <w:marTop w:val="0"/>
      <w:marBottom w:val="0"/>
      <w:divBdr>
        <w:top w:val="none" w:sz="0" w:space="0" w:color="auto"/>
        <w:left w:val="none" w:sz="0" w:space="0" w:color="auto"/>
        <w:bottom w:val="none" w:sz="0" w:space="0" w:color="auto"/>
        <w:right w:val="none" w:sz="0" w:space="0" w:color="auto"/>
      </w:divBdr>
    </w:div>
    <w:div w:id="501629245">
      <w:bodyDiv w:val="1"/>
      <w:marLeft w:val="0"/>
      <w:marRight w:val="0"/>
      <w:marTop w:val="0"/>
      <w:marBottom w:val="0"/>
      <w:divBdr>
        <w:top w:val="none" w:sz="0" w:space="0" w:color="auto"/>
        <w:left w:val="none" w:sz="0" w:space="0" w:color="auto"/>
        <w:bottom w:val="none" w:sz="0" w:space="0" w:color="auto"/>
        <w:right w:val="none" w:sz="0" w:space="0" w:color="auto"/>
      </w:divBdr>
    </w:div>
    <w:div w:id="532884536">
      <w:bodyDiv w:val="1"/>
      <w:marLeft w:val="0"/>
      <w:marRight w:val="0"/>
      <w:marTop w:val="0"/>
      <w:marBottom w:val="0"/>
      <w:divBdr>
        <w:top w:val="none" w:sz="0" w:space="0" w:color="auto"/>
        <w:left w:val="none" w:sz="0" w:space="0" w:color="auto"/>
        <w:bottom w:val="none" w:sz="0" w:space="0" w:color="auto"/>
        <w:right w:val="none" w:sz="0" w:space="0" w:color="auto"/>
      </w:divBdr>
    </w:div>
    <w:div w:id="646251656">
      <w:bodyDiv w:val="1"/>
      <w:marLeft w:val="0"/>
      <w:marRight w:val="0"/>
      <w:marTop w:val="0"/>
      <w:marBottom w:val="0"/>
      <w:divBdr>
        <w:top w:val="none" w:sz="0" w:space="0" w:color="auto"/>
        <w:left w:val="none" w:sz="0" w:space="0" w:color="auto"/>
        <w:bottom w:val="none" w:sz="0" w:space="0" w:color="auto"/>
        <w:right w:val="none" w:sz="0" w:space="0" w:color="auto"/>
      </w:divBdr>
    </w:div>
    <w:div w:id="647436425">
      <w:bodyDiv w:val="1"/>
      <w:marLeft w:val="0"/>
      <w:marRight w:val="0"/>
      <w:marTop w:val="0"/>
      <w:marBottom w:val="0"/>
      <w:divBdr>
        <w:top w:val="none" w:sz="0" w:space="0" w:color="auto"/>
        <w:left w:val="none" w:sz="0" w:space="0" w:color="auto"/>
        <w:bottom w:val="none" w:sz="0" w:space="0" w:color="auto"/>
        <w:right w:val="none" w:sz="0" w:space="0" w:color="auto"/>
      </w:divBdr>
    </w:div>
    <w:div w:id="672027022">
      <w:bodyDiv w:val="1"/>
      <w:marLeft w:val="0"/>
      <w:marRight w:val="0"/>
      <w:marTop w:val="0"/>
      <w:marBottom w:val="0"/>
      <w:divBdr>
        <w:top w:val="none" w:sz="0" w:space="0" w:color="auto"/>
        <w:left w:val="none" w:sz="0" w:space="0" w:color="auto"/>
        <w:bottom w:val="none" w:sz="0" w:space="0" w:color="auto"/>
        <w:right w:val="none" w:sz="0" w:space="0" w:color="auto"/>
      </w:divBdr>
    </w:div>
    <w:div w:id="681207527">
      <w:bodyDiv w:val="1"/>
      <w:marLeft w:val="0"/>
      <w:marRight w:val="0"/>
      <w:marTop w:val="0"/>
      <w:marBottom w:val="0"/>
      <w:divBdr>
        <w:top w:val="none" w:sz="0" w:space="0" w:color="auto"/>
        <w:left w:val="none" w:sz="0" w:space="0" w:color="auto"/>
        <w:bottom w:val="none" w:sz="0" w:space="0" w:color="auto"/>
        <w:right w:val="none" w:sz="0" w:space="0" w:color="auto"/>
      </w:divBdr>
    </w:div>
    <w:div w:id="695499344">
      <w:bodyDiv w:val="1"/>
      <w:marLeft w:val="0"/>
      <w:marRight w:val="0"/>
      <w:marTop w:val="0"/>
      <w:marBottom w:val="0"/>
      <w:divBdr>
        <w:top w:val="none" w:sz="0" w:space="0" w:color="auto"/>
        <w:left w:val="none" w:sz="0" w:space="0" w:color="auto"/>
        <w:bottom w:val="none" w:sz="0" w:space="0" w:color="auto"/>
        <w:right w:val="none" w:sz="0" w:space="0" w:color="auto"/>
      </w:divBdr>
      <w:divsChild>
        <w:div w:id="34545407">
          <w:marLeft w:val="547"/>
          <w:marRight w:val="0"/>
          <w:marTop w:val="0"/>
          <w:marBottom w:val="0"/>
          <w:divBdr>
            <w:top w:val="none" w:sz="0" w:space="0" w:color="auto"/>
            <w:left w:val="none" w:sz="0" w:space="0" w:color="auto"/>
            <w:bottom w:val="none" w:sz="0" w:space="0" w:color="auto"/>
            <w:right w:val="none" w:sz="0" w:space="0" w:color="auto"/>
          </w:divBdr>
        </w:div>
      </w:divsChild>
    </w:div>
    <w:div w:id="746197366">
      <w:bodyDiv w:val="1"/>
      <w:marLeft w:val="0"/>
      <w:marRight w:val="0"/>
      <w:marTop w:val="0"/>
      <w:marBottom w:val="0"/>
      <w:divBdr>
        <w:top w:val="none" w:sz="0" w:space="0" w:color="auto"/>
        <w:left w:val="none" w:sz="0" w:space="0" w:color="auto"/>
        <w:bottom w:val="none" w:sz="0" w:space="0" w:color="auto"/>
        <w:right w:val="none" w:sz="0" w:space="0" w:color="auto"/>
      </w:divBdr>
    </w:div>
    <w:div w:id="768233440">
      <w:bodyDiv w:val="1"/>
      <w:marLeft w:val="0"/>
      <w:marRight w:val="0"/>
      <w:marTop w:val="0"/>
      <w:marBottom w:val="0"/>
      <w:divBdr>
        <w:top w:val="none" w:sz="0" w:space="0" w:color="auto"/>
        <w:left w:val="none" w:sz="0" w:space="0" w:color="auto"/>
        <w:bottom w:val="none" w:sz="0" w:space="0" w:color="auto"/>
        <w:right w:val="none" w:sz="0" w:space="0" w:color="auto"/>
      </w:divBdr>
    </w:div>
    <w:div w:id="798718863">
      <w:bodyDiv w:val="1"/>
      <w:marLeft w:val="0"/>
      <w:marRight w:val="0"/>
      <w:marTop w:val="0"/>
      <w:marBottom w:val="0"/>
      <w:divBdr>
        <w:top w:val="none" w:sz="0" w:space="0" w:color="auto"/>
        <w:left w:val="none" w:sz="0" w:space="0" w:color="auto"/>
        <w:bottom w:val="none" w:sz="0" w:space="0" w:color="auto"/>
        <w:right w:val="none" w:sz="0" w:space="0" w:color="auto"/>
      </w:divBdr>
    </w:div>
    <w:div w:id="834807572">
      <w:bodyDiv w:val="1"/>
      <w:marLeft w:val="0"/>
      <w:marRight w:val="0"/>
      <w:marTop w:val="0"/>
      <w:marBottom w:val="0"/>
      <w:divBdr>
        <w:top w:val="none" w:sz="0" w:space="0" w:color="auto"/>
        <w:left w:val="none" w:sz="0" w:space="0" w:color="auto"/>
        <w:bottom w:val="none" w:sz="0" w:space="0" w:color="auto"/>
        <w:right w:val="none" w:sz="0" w:space="0" w:color="auto"/>
      </w:divBdr>
    </w:div>
    <w:div w:id="865220641">
      <w:bodyDiv w:val="1"/>
      <w:marLeft w:val="0"/>
      <w:marRight w:val="0"/>
      <w:marTop w:val="0"/>
      <w:marBottom w:val="0"/>
      <w:divBdr>
        <w:top w:val="none" w:sz="0" w:space="0" w:color="auto"/>
        <w:left w:val="none" w:sz="0" w:space="0" w:color="auto"/>
        <w:bottom w:val="none" w:sz="0" w:space="0" w:color="auto"/>
        <w:right w:val="none" w:sz="0" w:space="0" w:color="auto"/>
      </w:divBdr>
    </w:div>
    <w:div w:id="868299399">
      <w:bodyDiv w:val="1"/>
      <w:marLeft w:val="0"/>
      <w:marRight w:val="0"/>
      <w:marTop w:val="0"/>
      <w:marBottom w:val="0"/>
      <w:divBdr>
        <w:top w:val="none" w:sz="0" w:space="0" w:color="auto"/>
        <w:left w:val="none" w:sz="0" w:space="0" w:color="auto"/>
        <w:bottom w:val="none" w:sz="0" w:space="0" w:color="auto"/>
        <w:right w:val="none" w:sz="0" w:space="0" w:color="auto"/>
      </w:divBdr>
    </w:div>
    <w:div w:id="882058575">
      <w:bodyDiv w:val="1"/>
      <w:marLeft w:val="0"/>
      <w:marRight w:val="0"/>
      <w:marTop w:val="0"/>
      <w:marBottom w:val="0"/>
      <w:divBdr>
        <w:top w:val="none" w:sz="0" w:space="0" w:color="auto"/>
        <w:left w:val="none" w:sz="0" w:space="0" w:color="auto"/>
        <w:bottom w:val="none" w:sz="0" w:space="0" w:color="auto"/>
        <w:right w:val="none" w:sz="0" w:space="0" w:color="auto"/>
      </w:divBdr>
    </w:div>
    <w:div w:id="897715211">
      <w:bodyDiv w:val="1"/>
      <w:marLeft w:val="0"/>
      <w:marRight w:val="0"/>
      <w:marTop w:val="0"/>
      <w:marBottom w:val="0"/>
      <w:divBdr>
        <w:top w:val="none" w:sz="0" w:space="0" w:color="auto"/>
        <w:left w:val="none" w:sz="0" w:space="0" w:color="auto"/>
        <w:bottom w:val="none" w:sz="0" w:space="0" w:color="auto"/>
        <w:right w:val="none" w:sz="0" w:space="0" w:color="auto"/>
      </w:divBdr>
    </w:div>
    <w:div w:id="899484534">
      <w:bodyDiv w:val="1"/>
      <w:marLeft w:val="0"/>
      <w:marRight w:val="0"/>
      <w:marTop w:val="0"/>
      <w:marBottom w:val="0"/>
      <w:divBdr>
        <w:top w:val="none" w:sz="0" w:space="0" w:color="auto"/>
        <w:left w:val="none" w:sz="0" w:space="0" w:color="auto"/>
        <w:bottom w:val="none" w:sz="0" w:space="0" w:color="auto"/>
        <w:right w:val="none" w:sz="0" w:space="0" w:color="auto"/>
      </w:divBdr>
    </w:div>
    <w:div w:id="918364870">
      <w:bodyDiv w:val="1"/>
      <w:marLeft w:val="0"/>
      <w:marRight w:val="0"/>
      <w:marTop w:val="0"/>
      <w:marBottom w:val="0"/>
      <w:divBdr>
        <w:top w:val="none" w:sz="0" w:space="0" w:color="auto"/>
        <w:left w:val="none" w:sz="0" w:space="0" w:color="auto"/>
        <w:bottom w:val="none" w:sz="0" w:space="0" w:color="auto"/>
        <w:right w:val="none" w:sz="0" w:space="0" w:color="auto"/>
      </w:divBdr>
    </w:div>
    <w:div w:id="939870570">
      <w:bodyDiv w:val="1"/>
      <w:marLeft w:val="0"/>
      <w:marRight w:val="0"/>
      <w:marTop w:val="0"/>
      <w:marBottom w:val="0"/>
      <w:divBdr>
        <w:top w:val="none" w:sz="0" w:space="0" w:color="auto"/>
        <w:left w:val="none" w:sz="0" w:space="0" w:color="auto"/>
        <w:bottom w:val="none" w:sz="0" w:space="0" w:color="auto"/>
        <w:right w:val="none" w:sz="0" w:space="0" w:color="auto"/>
      </w:divBdr>
    </w:div>
    <w:div w:id="955671975">
      <w:bodyDiv w:val="1"/>
      <w:marLeft w:val="0"/>
      <w:marRight w:val="0"/>
      <w:marTop w:val="0"/>
      <w:marBottom w:val="0"/>
      <w:divBdr>
        <w:top w:val="none" w:sz="0" w:space="0" w:color="auto"/>
        <w:left w:val="none" w:sz="0" w:space="0" w:color="auto"/>
        <w:bottom w:val="none" w:sz="0" w:space="0" w:color="auto"/>
        <w:right w:val="none" w:sz="0" w:space="0" w:color="auto"/>
      </w:divBdr>
    </w:div>
    <w:div w:id="984893040">
      <w:bodyDiv w:val="1"/>
      <w:marLeft w:val="0"/>
      <w:marRight w:val="0"/>
      <w:marTop w:val="0"/>
      <w:marBottom w:val="0"/>
      <w:divBdr>
        <w:top w:val="none" w:sz="0" w:space="0" w:color="auto"/>
        <w:left w:val="none" w:sz="0" w:space="0" w:color="auto"/>
        <w:bottom w:val="none" w:sz="0" w:space="0" w:color="auto"/>
        <w:right w:val="none" w:sz="0" w:space="0" w:color="auto"/>
      </w:divBdr>
    </w:div>
    <w:div w:id="994063709">
      <w:bodyDiv w:val="1"/>
      <w:marLeft w:val="0"/>
      <w:marRight w:val="0"/>
      <w:marTop w:val="0"/>
      <w:marBottom w:val="0"/>
      <w:divBdr>
        <w:top w:val="none" w:sz="0" w:space="0" w:color="auto"/>
        <w:left w:val="none" w:sz="0" w:space="0" w:color="auto"/>
        <w:bottom w:val="none" w:sz="0" w:space="0" w:color="auto"/>
        <w:right w:val="none" w:sz="0" w:space="0" w:color="auto"/>
      </w:divBdr>
    </w:div>
    <w:div w:id="1010058570">
      <w:bodyDiv w:val="1"/>
      <w:marLeft w:val="0"/>
      <w:marRight w:val="0"/>
      <w:marTop w:val="0"/>
      <w:marBottom w:val="0"/>
      <w:divBdr>
        <w:top w:val="none" w:sz="0" w:space="0" w:color="auto"/>
        <w:left w:val="none" w:sz="0" w:space="0" w:color="auto"/>
        <w:bottom w:val="none" w:sz="0" w:space="0" w:color="auto"/>
        <w:right w:val="none" w:sz="0" w:space="0" w:color="auto"/>
      </w:divBdr>
    </w:div>
    <w:div w:id="1056978055">
      <w:bodyDiv w:val="1"/>
      <w:marLeft w:val="0"/>
      <w:marRight w:val="0"/>
      <w:marTop w:val="0"/>
      <w:marBottom w:val="0"/>
      <w:divBdr>
        <w:top w:val="none" w:sz="0" w:space="0" w:color="auto"/>
        <w:left w:val="none" w:sz="0" w:space="0" w:color="auto"/>
        <w:bottom w:val="none" w:sz="0" w:space="0" w:color="auto"/>
        <w:right w:val="none" w:sz="0" w:space="0" w:color="auto"/>
      </w:divBdr>
    </w:div>
    <w:div w:id="1061563174">
      <w:bodyDiv w:val="1"/>
      <w:marLeft w:val="0"/>
      <w:marRight w:val="0"/>
      <w:marTop w:val="0"/>
      <w:marBottom w:val="0"/>
      <w:divBdr>
        <w:top w:val="none" w:sz="0" w:space="0" w:color="auto"/>
        <w:left w:val="none" w:sz="0" w:space="0" w:color="auto"/>
        <w:bottom w:val="none" w:sz="0" w:space="0" w:color="auto"/>
        <w:right w:val="none" w:sz="0" w:space="0" w:color="auto"/>
      </w:divBdr>
    </w:div>
    <w:div w:id="1113403943">
      <w:bodyDiv w:val="1"/>
      <w:marLeft w:val="0"/>
      <w:marRight w:val="0"/>
      <w:marTop w:val="0"/>
      <w:marBottom w:val="0"/>
      <w:divBdr>
        <w:top w:val="none" w:sz="0" w:space="0" w:color="auto"/>
        <w:left w:val="none" w:sz="0" w:space="0" w:color="auto"/>
        <w:bottom w:val="none" w:sz="0" w:space="0" w:color="auto"/>
        <w:right w:val="none" w:sz="0" w:space="0" w:color="auto"/>
      </w:divBdr>
    </w:div>
    <w:div w:id="1144935346">
      <w:bodyDiv w:val="1"/>
      <w:marLeft w:val="0"/>
      <w:marRight w:val="0"/>
      <w:marTop w:val="0"/>
      <w:marBottom w:val="0"/>
      <w:divBdr>
        <w:top w:val="none" w:sz="0" w:space="0" w:color="auto"/>
        <w:left w:val="none" w:sz="0" w:space="0" w:color="auto"/>
        <w:bottom w:val="none" w:sz="0" w:space="0" w:color="auto"/>
        <w:right w:val="none" w:sz="0" w:space="0" w:color="auto"/>
      </w:divBdr>
    </w:div>
    <w:div w:id="1240404727">
      <w:bodyDiv w:val="1"/>
      <w:marLeft w:val="0"/>
      <w:marRight w:val="0"/>
      <w:marTop w:val="0"/>
      <w:marBottom w:val="0"/>
      <w:divBdr>
        <w:top w:val="none" w:sz="0" w:space="0" w:color="auto"/>
        <w:left w:val="none" w:sz="0" w:space="0" w:color="auto"/>
        <w:bottom w:val="none" w:sz="0" w:space="0" w:color="auto"/>
        <w:right w:val="none" w:sz="0" w:space="0" w:color="auto"/>
      </w:divBdr>
    </w:div>
    <w:div w:id="1269002896">
      <w:bodyDiv w:val="1"/>
      <w:marLeft w:val="0"/>
      <w:marRight w:val="0"/>
      <w:marTop w:val="0"/>
      <w:marBottom w:val="0"/>
      <w:divBdr>
        <w:top w:val="none" w:sz="0" w:space="0" w:color="auto"/>
        <w:left w:val="none" w:sz="0" w:space="0" w:color="auto"/>
        <w:bottom w:val="none" w:sz="0" w:space="0" w:color="auto"/>
        <w:right w:val="none" w:sz="0" w:space="0" w:color="auto"/>
      </w:divBdr>
    </w:div>
    <w:div w:id="1295017897">
      <w:bodyDiv w:val="1"/>
      <w:marLeft w:val="0"/>
      <w:marRight w:val="0"/>
      <w:marTop w:val="0"/>
      <w:marBottom w:val="0"/>
      <w:divBdr>
        <w:top w:val="none" w:sz="0" w:space="0" w:color="auto"/>
        <w:left w:val="none" w:sz="0" w:space="0" w:color="auto"/>
        <w:bottom w:val="none" w:sz="0" w:space="0" w:color="auto"/>
        <w:right w:val="none" w:sz="0" w:space="0" w:color="auto"/>
      </w:divBdr>
      <w:divsChild>
        <w:div w:id="975526590">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sChild>
                <w:div w:id="1073626164">
                  <w:marLeft w:val="0"/>
                  <w:marRight w:val="0"/>
                  <w:marTop w:val="0"/>
                  <w:marBottom w:val="0"/>
                  <w:divBdr>
                    <w:top w:val="none" w:sz="0" w:space="0" w:color="auto"/>
                    <w:left w:val="none" w:sz="0" w:space="0" w:color="auto"/>
                    <w:bottom w:val="none" w:sz="0" w:space="0" w:color="auto"/>
                    <w:right w:val="none" w:sz="0" w:space="0" w:color="auto"/>
                  </w:divBdr>
                  <w:divsChild>
                    <w:div w:id="39332532">
                      <w:marLeft w:val="0"/>
                      <w:marRight w:val="0"/>
                      <w:marTop w:val="0"/>
                      <w:marBottom w:val="0"/>
                      <w:divBdr>
                        <w:top w:val="none" w:sz="0" w:space="0" w:color="auto"/>
                        <w:left w:val="none" w:sz="0" w:space="0" w:color="auto"/>
                        <w:bottom w:val="none" w:sz="0" w:space="0" w:color="auto"/>
                        <w:right w:val="none" w:sz="0" w:space="0" w:color="auto"/>
                      </w:divBdr>
                      <w:divsChild>
                        <w:div w:id="2087025899">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sChild>
                                <w:div w:id="1674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898507">
      <w:bodyDiv w:val="1"/>
      <w:marLeft w:val="0"/>
      <w:marRight w:val="0"/>
      <w:marTop w:val="0"/>
      <w:marBottom w:val="0"/>
      <w:divBdr>
        <w:top w:val="none" w:sz="0" w:space="0" w:color="auto"/>
        <w:left w:val="none" w:sz="0" w:space="0" w:color="auto"/>
        <w:bottom w:val="none" w:sz="0" w:space="0" w:color="auto"/>
        <w:right w:val="none" w:sz="0" w:space="0" w:color="auto"/>
      </w:divBdr>
    </w:div>
    <w:div w:id="1310670285">
      <w:bodyDiv w:val="1"/>
      <w:marLeft w:val="0"/>
      <w:marRight w:val="0"/>
      <w:marTop w:val="0"/>
      <w:marBottom w:val="0"/>
      <w:divBdr>
        <w:top w:val="none" w:sz="0" w:space="0" w:color="auto"/>
        <w:left w:val="none" w:sz="0" w:space="0" w:color="auto"/>
        <w:bottom w:val="none" w:sz="0" w:space="0" w:color="auto"/>
        <w:right w:val="none" w:sz="0" w:space="0" w:color="auto"/>
      </w:divBdr>
    </w:div>
    <w:div w:id="1314144584">
      <w:bodyDiv w:val="1"/>
      <w:marLeft w:val="0"/>
      <w:marRight w:val="0"/>
      <w:marTop w:val="0"/>
      <w:marBottom w:val="0"/>
      <w:divBdr>
        <w:top w:val="none" w:sz="0" w:space="0" w:color="auto"/>
        <w:left w:val="none" w:sz="0" w:space="0" w:color="auto"/>
        <w:bottom w:val="none" w:sz="0" w:space="0" w:color="auto"/>
        <w:right w:val="none" w:sz="0" w:space="0" w:color="auto"/>
      </w:divBdr>
    </w:div>
    <w:div w:id="1320187251">
      <w:bodyDiv w:val="1"/>
      <w:marLeft w:val="0"/>
      <w:marRight w:val="0"/>
      <w:marTop w:val="0"/>
      <w:marBottom w:val="0"/>
      <w:divBdr>
        <w:top w:val="none" w:sz="0" w:space="0" w:color="auto"/>
        <w:left w:val="none" w:sz="0" w:space="0" w:color="auto"/>
        <w:bottom w:val="none" w:sz="0" w:space="0" w:color="auto"/>
        <w:right w:val="none" w:sz="0" w:space="0" w:color="auto"/>
      </w:divBdr>
    </w:div>
    <w:div w:id="1336807693">
      <w:bodyDiv w:val="1"/>
      <w:marLeft w:val="0"/>
      <w:marRight w:val="0"/>
      <w:marTop w:val="0"/>
      <w:marBottom w:val="0"/>
      <w:divBdr>
        <w:top w:val="none" w:sz="0" w:space="0" w:color="auto"/>
        <w:left w:val="none" w:sz="0" w:space="0" w:color="auto"/>
        <w:bottom w:val="none" w:sz="0" w:space="0" w:color="auto"/>
        <w:right w:val="none" w:sz="0" w:space="0" w:color="auto"/>
      </w:divBdr>
    </w:div>
    <w:div w:id="1441148969">
      <w:bodyDiv w:val="1"/>
      <w:marLeft w:val="0"/>
      <w:marRight w:val="0"/>
      <w:marTop w:val="0"/>
      <w:marBottom w:val="0"/>
      <w:divBdr>
        <w:top w:val="none" w:sz="0" w:space="0" w:color="auto"/>
        <w:left w:val="none" w:sz="0" w:space="0" w:color="auto"/>
        <w:bottom w:val="none" w:sz="0" w:space="0" w:color="auto"/>
        <w:right w:val="none" w:sz="0" w:space="0" w:color="auto"/>
      </w:divBdr>
    </w:div>
    <w:div w:id="1456488667">
      <w:bodyDiv w:val="1"/>
      <w:marLeft w:val="0"/>
      <w:marRight w:val="0"/>
      <w:marTop w:val="0"/>
      <w:marBottom w:val="0"/>
      <w:divBdr>
        <w:top w:val="none" w:sz="0" w:space="0" w:color="auto"/>
        <w:left w:val="none" w:sz="0" w:space="0" w:color="auto"/>
        <w:bottom w:val="none" w:sz="0" w:space="0" w:color="auto"/>
        <w:right w:val="none" w:sz="0" w:space="0" w:color="auto"/>
      </w:divBdr>
    </w:div>
    <w:div w:id="1466314597">
      <w:bodyDiv w:val="1"/>
      <w:marLeft w:val="0"/>
      <w:marRight w:val="0"/>
      <w:marTop w:val="0"/>
      <w:marBottom w:val="0"/>
      <w:divBdr>
        <w:top w:val="none" w:sz="0" w:space="0" w:color="auto"/>
        <w:left w:val="none" w:sz="0" w:space="0" w:color="auto"/>
        <w:bottom w:val="none" w:sz="0" w:space="0" w:color="auto"/>
        <w:right w:val="none" w:sz="0" w:space="0" w:color="auto"/>
      </w:divBdr>
      <w:divsChild>
        <w:div w:id="144786085">
          <w:marLeft w:val="1166"/>
          <w:marRight w:val="0"/>
          <w:marTop w:val="0"/>
          <w:marBottom w:val="0"/>
          <w:divBdr>
            <w:top w:val="none" w:sz="0" w:space="0" w:color="auto"/>
            <w:left w:val="none" w:sz="0" w:space="0" w:color="auto"/>
            <w:bottom w:val="none" w:sz="0" w:space="0" w:color="auto"/>
            <w:right w:val="none" w:sz="0" w:space="0" w:color="auto"/>
          </w:divBdr>
        </w:div>
        <w:div w:id="795024856">
          <w:marLeft w:val="547"/>
          <w:marRight w:val="0"/>
          <w:marTop w:val="0"/>
          <w:marBottom w:val="0"/>
          <w:divBdr>
            <w:top w:val="none" w:sz="0" w:space="0" w:color="auto"/>
            <w:left w:val="none" w:sz="0" w:space="0" w:color="auto"/>
            <w:bottom w:val="none" w:sz="0" w:space="0" w:color="auto"/>
            <w:right w:val="none" w:sz="0" w:space="0" w:color="auto"/>
          </w:divBdr>
        </w:div>
        <w:div w:id="1182742280">
          <w:marLeft w:val="547"/>
          <w:marRight w:val="0"/>
          <w:marTop w:val="0"/>
          <w:marBottom w:val="0"/>
          <w:divBdr>
            <w:top w:val="none" w:sz="0" w:space="0" w:color="auto"/>
            <w:left w:val="none" w:sz="0" w:space="0" w:color="auto"/>
            <w:bottom w:val="none" w:sz="0" w:space="0" w:color="auto"/>
            <w:right w:val="none" w:sz="0" w:space="0" w:color="auto"/>
          </w:divBdr>
        </w:div>
        <w:div w:id="1192260074">
          <w:marLeft w:val="547"/>
          <w:marRight w:val="0"/>
          <w:marTop w:val="0"/>
          <w:marBottom w:val="0"/>
          <w:divBdr>
            <w:top w:val="none" w:sz="0" w:space="0" w:color="auto"/>
            <w:left w:val="none" w:sz="0" w:space="0" w:color="auto"/>
            <w:bottom w:val="none" w:sz="0" w:space="0" w:color="auto"/>
            <w:right w:val="none" w:sz="0" w:space="0" w:color="auto"/>
          </w:divBdr>
        </w:div>
        <w:div w:id="1206991890">
          <w:marLeft w:val="547"/>
          <w:marRight w:val="0"/>
          <w:marTop w:val="0"/>
          <w:marBottom w:val="0"/>
          <w:divBdr>
            <w:top w:val="none" w:sz="0" w:space="0" w:color="auto"/>
            <w:left w:val="none" w:sz="0" w:space="0" w:color="auto"/>
            <w:bottom w:val="none" w:sz="0" w:space="0" w:color="auto"/>
            <w:right w:val="none" w:sz="0" w:space="0" w:color="auto"/>
          </w:divBdr>
        </w:div>
        <w:div w:id="1440637706">
          <w:marLeft w:val="1166"/>
          <w:marRight w:val="0"/>
          <w:marTop w:val="0"/>
          <w:marBottom w:val="0"/>
          <w:divBdr>
            <w:top w:val="none" w:sz="0" w:space="0" w:color="auto"/>
            <w:left w:val="none" w:sz="0" w:space="0" w:color="auto"/>
            <w:bottom w:val="none" w:sz="0" w:space="0" w:color="auto"/>
            <w:right w:val="none" w:sz="0" w:space="0" w:color="auto"/>
          </w:divBdr>
        </w:div>
        <w:div w:id="1686206583">
          <w:marLeft w:val="1166"/>
          <w:marRight w:val="0"/>
          <w:marTop w:val="0"/>
          <w:marBottom w:val="0"/>
          <w:divBdr>
            <w:top w:val="none" w:sz="0" w:space="0" w:color="auto"/>
            <w:left w:val="none" w:sz="0" w:space="0" w:color="auto"/>
            <w:bottom w:val="none" w:sz="0" w:space="0" w:color="auto"/>
            <w:right w:val="none" w:sz="0" w:space="0" w:color="auto"/>
          </w:divBdr>
        </w:div>
        <w:div w:id="1796437883">
          <w:marLeft w:val="1166"/>
          <w:marRight w:val="0"/>
          <w:marTop w:val="0"/>
          <w:marBottom w:val="0"/>
          <w:divBdr>
            <w:top w:val="none" w:sz="0" w:space="0" w:color="auto"/>
            <w:left w:val="none" w:sz="0" w:space="0" w:color="auto"/>
            <w:bottom w:val="none" w:sz="0" w:space="0" w:color="auto"/>
            <w:right w:val="none" w:sz="0" w:space="0" w:color="auto"/>
          </w:divBdr>
        </w:div>
      </w:divsChild>
    </w:div>
    <w:div w:id="1481849365">
      <w:bodyDiv w:val="1"/>
      <w:marLeft w:val="0"/>
      <w:marRight w:val="0"/>
      <w:marTop w:val="0"/>
      <w:marBottom w:val="0"/>
      <w:divBdr>
        <w:top w:val="none" w:sz="0" w:space="0" w:color="auto"/>
        <w:left w:val="none" w:sz="0" w:space="0" w:color="auto"/>
        <w:bottom w:val="none" w:sz="0" w:space="0" w:color="auto"/>
        <w:right w:val="none" w:sz="0" w:space="0" w:color="auto"/>
      </w:divBdr>
    </w:div>
    <w:div w:id="1493254020">
      <w:bodyDiv w:val="1"/>
      <w:marLeft w:val="0"/>
      <w:marRight w:val="0"/>
      <w:marTop w:val="0"/>
      <w:marBottom w:val="0"/>
      <w:divBdr>
        <w:top w:val="none" w:sz="0" w:space="0" w:color="auto"/>
        <w:left w:val="none" w:sz="0" w:space="0" w:color="auto"/>
        <w:bottom w:val="none" w:sz="0" w:space="0" w:color="auto"/>
        <w:right w:val="none" w:sz="0" w:space="0" w:color="auto"/>
      </w:divBdr>
    </w:div>
    <w:div w:id="1535194643">
      <w:bodyDiv w:val="1"/>
      <w:marLeft w:val="0"/>
      <w:marRight w:val="0"/>
      <w:marTop w:val="0"/>
      <w:marBottom w:val="0"/>
      <w:divBdr>
        <w:top w:val="none" w:sz="0" w:space="0" w:color="auto"/>
        <w:left w:val="none" w:sz="0" w:space="0" w:color="auto"/>
        <w:bottom w:val="none" w:sz="0" w:space="0" w:color="auto"/>
        <w:right w:val="none" w:sz="0" w:space="0" w:color="auto"/>
      </w:divBdr>
    </w:div>
    <w:div w:id="1538277599">
      <w:bodyDiv w:val="1"/>
      <w:marLeft w:val="0"/>
      <w:marRight w:val="0"/>
      <w:marTop w:val="0"/>
      <w:marBottom w:val="0"/>
      <w:divBdr>
        <w:top w:val="none" w:sz="0" w:space="0" w:color="auto"/>
        <w:left w:val="none" w:sz="0" w:space="0" w:color="auto"/>
        <w:bottom w:val="none" w:sz="0" w:space="0" w:color="auto"/>
        <w:right w:val="none" w:sz="0" w:space="0" w:color="auto"/>
      </w:divBdr>
    </w:div>
    <w:div w:id="1542328719">
      <w:bodyDiv w:val="1"/>
      <w:marLeft w:val="0"/>
      <w:marRight w:val="0"/>
      <w:marTop w:val="0"/>
      <w:marBottom w:val="0"/>
      <w:divBdr>
        <w:top w:val="none" w:sz="0" w:space="0" w:color="auto"/>
        <w:left w:val="none" w:sz="0" w:space="0" w:color="auto"/>
        <w:bottom w:val="none" w:sz="0" w:space="0" w:color="auto"/>
        <w:right w:val="none" w:sz="0" w:space="0" w:color="auto"/>
      </w:divBdr>
    </w:div>
    <w:div w:id="1622029226">
      <w:bodyDiv w:val="1"/>
      <w:marLeft w:val="0"/>
      <w:marRight w:val="0"/>
      <w:marTop w:val="0"/>
      <w:marBottom w:val="0"/>
      <w:divBdr>
        <w:top w:val="none" w:sz="0" w:space="0" w:color="auto"/>
        <w:left w:val="none" w:sz="0" w:space="0" w:color="auto"/>
        <w:bottom w:val="none" w:sz="0" w:space="0" w:color="auto"/>
        <w:right w:val="none" w:sz="0" w:space="0" w:color="auto"/>
      </w:divBdr>
    </w:div>
    <w:div w:id="1633948987">
      <w:bodyDiv w:val="1"/>
      <w:marLeft w:val="0"/>
      <w:marRight w:val="0"/>
      <w:marTop w:val="0"/>
      <w:marBottom w:val="0"/>
      <w:divBdr>
        <w:top w:val="none" w:sz="0" w:space="0" w:color="auto"/>
        <w:left w:val="none" w:sz="0" w:space="0" w:color="auto"/>
        <w:bottom w:val="none" w:sz="0" w:space="0" w:color="auto"/>
        <w:right w:val="none" w:sz="0" w:space="0" w:color="auto"/>
      </w:divBdr>
    </w:div>
    <w:div w:id="1636369498">
      <w:bodyDiv w:val="1"/>
      <w:marLeft w:val="0"/>
      <w:marRight w:val="0"/>
      <w:marTop w:val="0"/>
      <w:marBottom w:val="0"/>
      <w:divBdr>
        <w:top w:val="none" w:sz="0" w:space="0" w:color="auto"/>
        <w:left w:val="none" w:sz="0" w:space="0" w:color="auto"/>
        <w:bottom w:val="none" w:sz="0" w:space="0" w:color="auto"/>
        <w:right w:val="none" w:sz="0" w:space="0" w:color="auto"/>
      </w:divBdr>
    </w:div>
    <w:div w:id="1675573876">
      <w:bodyDiv w:val="1"/>
      <w:marLeft w:val="0"/>
      <w:marRight w:val="0"/>
      <w:marTop w:val="0"/>
      <w:marBottom w:val="0"/>
      <w:divBdr>
        <w:top w:val="none" w:sz="0" w:space="0" w:color="auto"/>
        <w:left w:val="none" w:sz="0" w:space="0" w:color="auto"/>
        <w:bottom w:val="none" w:sz="0" w:space="0" w:color="auto"/>
        <w:right w:val="none" w:sz="0" w:space="0" w:color="auto"/>
      </w:divBdr>
    </w:div>
    <w:div w:id="1705473733">
      <w:bodyDiv w:val="1"/>
      <w:marLeft w:val="0"/>
      <w:marRight w:val="0"/>
      <w:marTop w:val="0"/>
      <w:marBottom w:val="0"/>
      <w:divBdr>
        <w:top w:val="none" w:sz="0" w:space="0" w:color="auto"/>
        <w:left w:val="none" w:sz="0" w:space="0" w:color="auto"/>
        <w:bottom w:val="none" w:sz="0" w:space="0" w:color="auto"/>
        <w:right w:val="none" w:sz="0" w:space="0" w:color="auto"/>
      </w:divBdr>
    </w:div>
    <w:div w:id="1767269219">
      <w:bodyDiv w:val="1"/>
      <w:marLeft w:val="0"/>
      <w:marRight w:val="0"/>
      <w:marTop w:val="0"/>
      <w:marBottom w:val="0"/>
      <w:divBdr>
        <w:top w:val="none" w:sz="0" w:space="0" w:color="auto"/>
        <w:left w:val="none" w:sz="0" w:space="0" w:color="auto"/>
        <w:bottom w:val="none" w:sz="0" w:space="0" w:color="auto"/>
        <w:right w:val="none" w:sz="0" w:space="0" w:color="auto"/>
      </w:divBdr>
    </w:div>
    <w:div w:id="1830168467">
      <w:bodyDiv w:val="1"/>
      <w:marLeft w:val="0"/>
      <w:marRight w:val="0"/>
      <w:marTop w:val="0"/>
      <w:marBottom w:val="0"/>
      <w:divBdr>
        <w:top w:val="none" w:sz="0" w:space="0" w:color="auto"/>
        <w:left w:val="none" w:sz="0" w:space="0" w:color="auto"/>
        <w:bottom w:val="none" w:sz="0" w:space="0" w:color="auto"/>
        <w:right w:val="none" w:sz="0" w:space="0" w:color="auto"/>
      </w:divBdr>
    </w:div>
    <w:div w:id="1847674053">
      <w:bodyDiv w:val="1"/>
      <w:marLeft w:val="0"/>
      <w:marRight w:val="0"/>
      <w:marTop w:val="0"/>
      <w:marBottom w:val="0"/>
      <w:divBdr>
        <w:top w:val="none" w:sz="0" w:space="0" w:color="auto"/>
        <w:left w:val="none" w:sz="0" w:space="0" w:color="auto"/>
        <w:bottom w:val="none" w:sz="0" w:space="0" w:color="auto"/>
        <w:right w:val="none" w:sz="0" w:space="0" w:color="auto"/>
      </w:divBdr>
    </w:div>
    <w:div w:id="1858302502">
      <w:bodyDiv w:val="1"/>
      <w:marLeft w:val="0"/>
      <w:marRight w:val="0"/>
      <w:marTop w:val="0"/>
      <w:marBottom w:val="0"/>
      <w:divBdr>
        <w:top w:val="none" w:sz="0" w:space="0" w:color="auto"/>
        <w:left w:val="none" w:sz="0" w:space="0" w:color="auto"/>
        <w:bottom w:val="none" w:sz="0" w:space="0" w:color="auto"/>
        <w:right w:val="none" w:sz="0" w:space="0" w:color="auto"/>
      </w:divBdr>
    </w:div>
    <w:div w:id="1884753343">
      <w:bodyDiv w:val="1"/>
      <w:marLeft w:val="0"/>
      <w:marRight w:val="0"/>
      <w:marTop w:val="0"/>
      <w:marBottom w:val="0"/>
      <w:divBdr>
        <w:top w:val="none" w:sz="0" w:space="0" w:color="auto"/>
        <w:left w:val="none" w:sz="0" w:space="0" w:color="auto"/>
        <w:bottom w:val="none" w:sz="0" w:space="0" w:color="auto"/>
        <w:right w:val="none" w:sz="0" w:space="0" w:color="auto"/>
      </w:divBdr>
    </w:div>
    <w:div w:id="1958100410">
      <w:bodyDiv w:val="1"/>
      <w:marLeft w:val="0"/>
      <w:marRight w:val="0"/>
      <w:marTop w:val="0"/>
      <w:marBottom w:val="0"/>
      <w:divBdr>
        <w:top w:val="none" w:sz="0" w:space="0" w:color="auto"/>
        <w:left w:val="none" w:sz="0" w:space="0" w:color="auto"/>
        <w:bottom w:val="none" w:sz="0" w:space="0" w:color="auto"/>
        <w:right w:val="none" w:sz="0" w:space="0" w:color="auto"/>
      </w:divBdr>
    </w:div>
    <w:div w:id="1960139337">
      <w:bodyDiv w:val="1"/>
      <w:marLeft w:val="0"/>
      <w:marRight w:val="0"/>
      <w:marTop w:val="0"/>
      <w:marBottom w:val="0"/>
      <w:divBdr>
        <w:top w:val="none" w:sz="0" w:space="0" w:color="auto"/>
        <w:left w:val="none" w:sz="0" w:space="0" w:color="auto"/>
        <w:bottom w:val="none" w:sz="0" w:space="0" w:color="auto"/>
        <w:right w:val="none" w:sz="0" w:space="0" w:color="auto"/>
      </w:divBdr>
    </w:div>
    <w:div w:id="1980958774">
      <w:bodyDiv w:val="1"/>
      <w:marLeft w:val="0"/>
      <w:marRight w:val="0"/>
      <w:marTop w:val="0"/>
      <w:marBottom w:val="0"/>
      <w:divBdr>
        <w:top w:val="none" w:sz="0" w:space="0" w:color="auto"/>
        <w:left w:val="none" w:sz="0" w:space="0" w:color="auto"/>
        <w:bottom w:val="none" w:sz="0" w:space="0" w:color="auto"/>
        <w:right w:val="none" w:sz="0" w:space="0" w:color="auto"/>
      </w:divBdr>
    </w:div>
    <w:div w:id="2002082624">
      <w:bodyDiv w:val="1"/>
      <w:marLeft w:val="0"/>
      <w:marRight w:val="0"/>
      <w:marTop w:val="0"/>
      <w:marBottom w:val="0"/>
      <w:divBdr>
        <w:top w:val="none" w:sz="0" w:space="0" w:color="auto"/>
        <w:left w:val="none" w:sz="0" w:space="0" w:color="auto"/>
        <w:bottom w:val="none" w:sz="0" w:space="0" w:color="auto"/>
        <w:right w:val="none" w:sz="0" w:space="0" w:color="auto"/>
      </w:divBdr>
    </w:div>
    <w:div w:id="2007197715">
      <w:bodyDiv w:val="1"/>
      <w:marLeft w:val="0"/>
      <w:marRight w:val="0"/>
      <w:marTop w:val="0"/>
      <w:marBottom w:val="0"/>
      <w:divBdr>
        <w:top w:val="none" w:sz="0" w:space="0" w:color="auto"/>
        <w:left w:val="none" w:sz="0" w:space="0" w:color="auto"/>
        <w:bottom w:val="none" w:sz="0" w:space="0" w:color="auto"/>
        <w:right w:val="none" w:sz="0" w:space="0" w:color="auto"/>
      </w:divBdr>
    </w:div>
    <w:div w:id="2022007269">
      <w:bodyDiv w:val="1"/>
      <w:marLeft w:val="0"/>
      <w:marRight w:val="0"/>
      <w:marTop w:val="0"/>
      <w:marBottom w:val="0"/>
      <w:divBdr>
        <w:top w:val="none" w:sz="0" w:space="0" w:color="auto"/>
        <w:left w:val="none" w:sz="0" w:space="0" w:color="auto"/>
        <w:bottom w:val="none" w:sz="0" w:space="0" w:color="auto"/>
        <w:right w:val="none" w:sz="0" w:space="0" w:color="auto"/>
      </w:divBdr>
    </w:div>
    <w:div w:id="2080857791">
      <w:bodyDiv w:val="1"/>
      <w:marLeft w:val="0"/>
      <w:marRight w:val="0"/>
      <w:marTop w:val="0"/>
      <w:marBottom w:val="0"/>
      <w:divBdr>
        <w:top w:val="none" w:sz="0" w:space="0" w:color="auto"/>
        <w:left w:val="none" w:sz="0" w:space="0" w:color="auto"/>
        <w:bottom w:val="none" w:sz="0" w:space="0" w:color="auto"/>
        <w:right w:val="none" w:sz="0" w:space="0" w:color="auto"/>
      </w:divBdr>
    </w:div>
    <w:div w:id="21219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15L01486" TargetMode="External"/><Relationship Id="rId39" Type="http://schemas.openxmlformats.org/officeDocument/2006/relationships/hyperlink" Target="https://www.itu.int/md/R15-TG5.1-C-0117/en" TargetMode="External"/><Relationship Id="rId21" Type="http://schemas.openxmlformats.org/officeDocument/2006/relationships/footer" Target="footer4.xml"/><Relationship Id="rId34" Type="http://schemas.openxmlformats.org/officeDocument/2006/relationships/hyperlink" Target="http://ec.europa.eu/smart-regulation/roadmaps/docs/2015_cnect_017_uhf_en.pdf" TargetMode="External"/><Relationship Id="rId42" Type="http://schemas.openxmlformats.org/officeDocument/2006/relationships/hyperlink" Target="https://www.comlaw.gov.au/Details/F2012L00731" TargetMode="External"/><Relationship Id="rId47" Type="http://schemas.openxmlformats.org/officeDocument/2006/relationships/hyperlink" Target="https://www.acma.gov.au/layouts/web/standardasset/consultation%20asset/viewmore.aspx?i=9b4557df-d817-466d-9be2-1e0139adc296&amp;type=submission&amp;sectionID=" TargetMode="External"/><Relationship Id="rId50" Type="http://schemas.openxmlformats.org/officeDocument/2006/relationships/hyperlink" Target="https://www.acma.gov.au/theACMA/spectrum-for-broadband-in-mmwave-bands" TargetMode="External"/><Relationship Id="rId55" Type="http://schemas.openxmlformats.org/officeDocument/2006/relationships/hyperlink" Target="http://www.acma.gov.au/Industry/Spectrum/Spectrum-planning/About-spectrum-planning/radiofrequency-planning-framework-spectrum-planning-acma" TargetMode="External"/><Relationship Id="rId63" Type="http://schemas.openxmlformats.org/officeDocument/2006/relationships/footer" Target="footer8.xml"/><Relationship Id="rId68" Type="http://schemas.openxmlformats.org/officeDocument/2006/relationships/hyperlink" Target="https://www.acma.gov.au/theACMA/update-to-maritime-vhf-channel-arrangements" TargetMode="External"/><Relationship Id="rId76" Type="http://schemas.openxmlformats.org/officeDocument/2006/relationships/hyperlink" Target="https://www.acma.gov.au/theACMA/About/Corporate/Accountability/privacy-and-consultations" TargetMode="External"/><Relationship Id="rId7" Type="http://schemas.openxmlformats.org/officeDocument/2006/relationships/endnotes" Target="endnotes.xml"/><Relationship Id="rId71" Type="http://schemas.openxmlformats.org/officeDocument/2006/relationships/hyperlink" Target="https://www.legislation.gov.au/Details/F2016C00286"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ma.gov.au/Industry/Spectrum/Spectrum-projects/5-Year-Spectrum-Outlook/five-year-spectrum-outlook"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acma.gov.au/Industry/Spectrum/Spectrum-projects/Mobile-broadband/mobile-broadband-strategy-and-work-plan" TargetMode="External"/><Relationship Id="rId32" Type="http://schemas.openxmlformats.org/officeDocument/2006/relationships/hyperlink" Target="https://www.comlaw.gov.au/Series/F2015L01438" TargetMode="External"/><Relationship Id="rId37" Type="http://schemas.openxmlformats.org/officeDocument/2006/relationships/hyperlink" Target="http://www.itu.int/md/R00-CA-CIR-0226/en" TargetMode="External"/><Relationship Id="rId40" Type="http://schemas.openxmlformats.org/officeDocument/2006/relationships/hyperlink" Target="https://www.itu.int/md/R15-TG5.1-C-0193/en" TargetMode="External"/><Relationship Id="rId45" Type="http://schemas.openxmlformats.org/officeDocument/2006/relationships/hyperlink" Target="https://www.acma.gov.au/theACMA/future-approach-to-the-3_6-ghz-band" TargetMode="External"/><Relationship Id="rId53" Type="http://schemas.openxmlformats.org/officeDocument/2006/relationships/hyperlink" Target="https://www.acma.gov.au/layouts/web/standardasset/consultation%20asset/viewmore.aspx?i=08b4a6e1-ba84-459c-a930-50ca565a3d54&amp;type=submission&amp;sectionID=" TargetMode="External"/><Relationship Id="rId58" Type="http://schemas.openxmlformats.org/officeDocument/2006/relationships/hyperlink" Target="https://www.acma.gov.au/theACMA/proposed-updates-to-rali-ms-44" TargetMode="External"/><Relationship Id="rId66" Type="http://schemas.openxmlformats.org/officeDocument/2006/relationships/hyperlink" Target="https://www.acma.gov.au/theACMA/options-for-wireless-broadband-in-the-26-ghz-band" TargetMode="External"/><Relationship Id="rId74" Type="http://schemas.openxmlformats.org/officeDocument/2006/relationships/hyperlink" Target="http://www.acma.gov.au/theACMA/Consultations/Consultations" TargetMode="External"/><Relationship Id="rId79"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eader" Target="header8.xm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4.png"/><Relationship Id="rId44" Type="http://schemas.openxmlformats.org/officeDocument/2006/relationships/hyperlink" Target="https://www.acma.gov.au/theACMA/future-approach-to-the-3_6-ghz-band" TargetMode="External"/><Relationship Id="rId52" Type="http://schemas.openxmlformats.org/officeDocument/2006/relationships/hyperlink" Target="https://www.acma.gov.au/theACMA/options-for-wireless-broadband-in-the-26-ghz-band" TargetMode="External"/><Relationship Id="rId60" Type="http://schemas.openxmlformats.org/officeDocument/2006/relationships/header" Target="header7.xml"/><Relationship Id="rId65" Type="http://schemas.openxmlformats.org/officeDocument/2006/relationships/hyperlink" Target="https://www.acma.gov.au/theACMA/future-approach-to-the-3_6-ghz-band" TargetMode="External"/><Relationship Id="rId73" Type="http://schemas.openxmlformats.org/officeDocument/2006/relationships/hyperlink" Target="https://www.acma.gov.au/theACMA/annual-report" TargetMode="External"/><Relationship Id="rId78" Type="http://schemas.openxmlformats.org/officeDocument/2006/relationships/header" Target="header9.xml"/><Relationship Id="rId8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Details/F2010L00821" TargetMode="External"/><Relationship Id="rId30" Type="http://schemas.openxmlformats.org/officeDocument/2006/relationships/hyperlink" Target="https://www.communications.gov.au/publications/spectrum-review-report" TargetMode="External"/><Relationship Id="rId35" Type="http://schemas.openxmlformats.org/officeDocument/2006/relationships/hyperlink" Target="https://www.comlaw.gov.au/Details/F2013L00827" TargetMode="External"/><Relationship Id="rId43" Type="http://schemas.openxmlformats.org/officeDocument/2006/relationships/hyperlink" Target="https://www.acma.gov.au/theACMA/future-use-of-the-1_5-ghz-and-3_6-ghz-bands-2" TargetMode="External"/><Relationship Id="rId48" Type="http://schemas.openxmlformats.org/officeDocument/2006/relationships/hyperlink" Target="http://www.acma.gov.au/~/media/Spectrum%20Licensing%20Policy/Information/Word%20Document/The%20ACMAs%20long-term%20strategy%20for%20the%20803960%20MHz%20band_decision%20paper%20docx.docx" TargetMode="External"/><Relationship Id="rId56" Type="http://schemas.openxmlformats.org/officeDocument/2006/relationships/hyperlink" Target="https://www.acma.gov.au/theACMA/-/media/Spectrum-Engineering/Issue-for-comment/IFC-26-2018/Review-work-program-2018-19_final-docx.docx" TargetMode="External"/><Relationship Id="rId64" Type="http://schemas.openxmlformats.org/officeDocument/2006/relationships/hyperlink" Target="https://www.acma.gov.au/Home/theACMA/reconfiguring-the-890-915-935-960-mhz-band-way-forward" TargetMode="External"/><Relationship Id="rId69" Type="http://schemas.openxmlformats.org/officeDocument/2006/relationships/hyperlink" Target="https://www.legislation.gov.au/Details/F2018L01185" TargetMode="External"/><Relationship Id="rId77" Type="http://schemas.openxmlformats.org/officeDocument/2006/relationships/hyperlink" Target="http://www.acma.gov.au/privacypolicy" TargetMode="External"/><Relationship Id="rId8" Type="http://schemas.openxmlformats.org/officeDocument/2006/relationships/header" Target="header1.xml"/><Relationship Id="rId51" Type="http://schemas.openxmlformats.org/officeDocument/2006/relationships/hyperlink" Target="https://www.acma.gov.au/theACMA/-/media/AF3D0BB2F7BB456EB073DD48F1C0FB00.ashx" TargetMode="External"/><Relationship Id="rId72" Type="http://schemas.openxmlformats.org/officeDocument/2006/relationships/hyperlink" Target="https://www.acma.gov.au/theACMA/spectrum-planning-for-the-28-ghz-band" TargetMode="External"/><Relationship Id="rId80" Type="http://schemas.openxmlformats.org/officeDocument/2006/relationships/footer" Target="footer9.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communications.gov.au/publications/impacts-5g-productivity-and-economic-growth" TargetMode="External"/><Relationship Id="rId33" Type="http://schemas.openxmlformats.org/officeDocument/2006/relationships/hyperlink" Target="http://rspg-spectrum.eu/wp-content/uploads/2014/03/RSPG14-555final_Request-for-Opinion-UHF-band.pdf" TargetMode="External"/><Relationship Id="rId38" Type="http://schemas.openxmlformats.org/officeDocument/2006/relationships/hyperlink" Target="https://www.itu.int/md/R15-TG5.1-C-0076/en" TargetMode="External"/><Relationship Id="rId46" Type="http://schemas.openxmlformats.org/officeDocument/2006/relationships/hyperlink" Target="https://www.acma.gov.au/theACMA/spectrum-planning-for-the-28-ghz-band" TargetMode="External"/><Relationship Id="rId59" Type="http://schemas.openxmlformats.org/officeDocument/2006/relationships/hyperlink" Target="https://www.acma.gov.au/theACMA/proposed-updates-to-several-ralis" TargetMode="External"/><Relationship Id="rId67" Type="http://schemas.openxmlformats.org/officeDocument/2006/relationships/hyperlink" Target="https://www.legislation.gov.au/Details/F2018L01583" TargetMode="External"/><Relationship Id="rId20" Type="http://schemas.openxmlformats.org/officeDocument/2006/relationships/header" Target="header6.xml"/><Relationship Id="rId41" Type="http://schemas.openxmlformats.org/officeDocument/2006/relationships/hyperlink" Target="https://www.itu.int/md/R15-TG5.1-C-0290/en" TargetMode="External"/><Relationship Id="rId54" Type="http://schemas.openxmlformats.org/officeDocument/2006/relationships/hyperlink" Target="http://archive.acma.gov.au/webwr/_assets/main/lib410135/aust_procedures-coordination_notification_of_satellite_systems.pdf" TargetMode="External"/><Relationship Id="rId62" Type="http://schemas.openxmlformats.org/officeDocument/2006/relationships/footer" Target="footer7.xml"/><Relationship Id="rId70" Type="http://schemas.openxmlformats.org/officeDocument/2006/relationships/hyperlink" Target="https://www.acma.gov.au/theACMA/new-approaches-to-amateur-radio-qualification-arrangements" TargetMode="External"/><Relationship Id="rId75" Type="http://schemas.openxmlformats.org/officeDocument/2006/relationships/hyperlink" Target="mailto:spectrumworkprogram@acma.gov.a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Series/F2015L01438" TargetMode="External"/><Relationship Id="rId36" Type="http://schemas.openxmlformats.org/officeDocument/2006/relationships/hyperlink" Target="https://www.legislation.gov.au/Details/F2018L01658" TargetMode="External"/><Relationship Id="rId49" Type="http://schemas.openxmlformats.org/officeDocument/2006/relationships/hyperlink" Target="https://www.acma.gov.au/theACMA/future-approach-to-the-3_6-ghz-band" TargetMode="External"/><Relationship Id="rId57" Type="http://schemas.openxmlformats.org/officeDocument/2006/relationships/hyperlink" Target="https://www.acma.gov.au/theACMA/land-mobile-services-new-small-service-area-mode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acma.gov.au/Home/theACMA/changes-to-legislation-supporting-space-based-communications" TargetMode="External"/><Relationship Id="rId13" Type="http://schemas.openxmlformats.org/officeDocument/2006/relationships/hyperlink" Target="https://www.fcc.gov/about-fcc/fcc-initiatives/incentive-auctions" TargetMode="External"/><Relationship Id="rId18"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3" Type="http://schemas.openxmlformats.org/officeDocument/2006/relationships/hyperlink" Target="https://www.itu.int/pub/R-REP-M.2410-2017" TargetMode="External"/><Relationship Id="rId21" Type="http://schemas.openxmlformats.org/officeDocument/2006/relationships/hyperlink" Target="https://www.legislation.gov.au/Series/F2014L01584" TargetMode="External"/><Relationship Id="rId7" Type="http://schemas.openxmlformats.org/officeDocument/2006/relationships/hyperlink" Target="http://www.iot.org.au/wp/wp-content/uploads/2016/12/IoTAA_IoT-Platform-Selection-Guideline-V1.1-July-2018.pdf" TargetMode="External"/><Relationship Id="rId12" Type="http://schemas.openxmlformats.org/officeDocument/2006/relationships/hyperlink" Target="http://www.malcolmturnbull.com.au/media/radcomms-2014-spectrum-in-the-age-of-digital-innovation" TargetMode="External"/><Relationship Id="rId17" Type="http://schemas.openxmlformats.org/officeDocument/2006/relationships/hyperlink" Target="https://www.itu.int/rec/R-REC-M.1036/en" TargetMode="External"/><Relationship Id="rId2" Type="http://schemas.openxmlformats.org/officeDocument/2006/relationships/hyperlink" Target="https://www.acma.gov.au/Home/theACMA/Library/Corporate-library/Corporate-publications/annual-report" TargetMode="External"/><Relationship Id="rId16" Type="http://schemas.openxmlformats.org/officeDocument/2006/relationships/hyperlink" Target="http://www.acma.gov.au/~/media/Spectrum%20Engineering/Regulation/pdf/Embargo%20No%2023.pdf" TargetMode="External"/><Relationship Id="rId20" Type="http://schemas.openxmlformats.org/officeDocument/2006/relationships/hyperlink" Target="https://www.ofcom.org.uk/consultations-and-statements/category-2/opportunities-for-spectrum-sharing-innovation" TargetMode="External"/><Relationship Id="rId1" Type="http://schemas.openxmlformats.org/officeDocument/2006/relationships/hyperlink" Target="https://www.acma.gov.au/theACMA/Library/Corporate-library/Corporate-publications/acma-corporate-plan" TargetMode="External"/><Relationship Id="rId6" Type="http://schemas.openxmlformats.org/officeDocument/2006/relationships/hyperlink" Target="https://www.acma.gov.au/theACMA/class-licensing-updates-supporting-5g-and-other-technology-innovations" TargetMode="External"/><Relationship Id="rId11" Type="http://schemas.openxmlformats.org/officeDocument/2006/relationships/hyperlink" Target="https://docs.fcc.gov/public/attachments/DOC-354364A1.pdf" TargetMode="External"/><Relationship Id="rId5" Type="http://schemas.openxmlformats.org/officeDocument/2006/relationships/hyperlink" Target="https://www.communications.gov.au/departmental-news/5g-working-group-convenes" TargetMode="External"/><Relationship Id="rId15" Type="http://schemas.openxmlformats.org/officeDocument/2006/relationships/hyperlink" Target="http://www.acma.gov.au/theACMA/25-ghz-band-review" TargetMode="External"/><Relationship Id="rId10" Type="http://schemas.openxmlformats.org/officeDocument/2006/relationships/hyperlink" Target="https://www.fcc.gov/ecfs/search/filings?proceedings_name=18-295&amp;sort=date_disseminated,DESC" TargetMode="External"/><Relationship Id="rId19" Type="http://schemas.openxmlformats.org/officeDocument/2006/relationships/hyperlink" Target="https://www.fcc.gov/document/fcc-expands-flexible-use-mid-band-spectrum" TargetMode="External"/><Relationship Id="rId4" Type="http://schemas.openxmlformats.org/officeDocument/2006/relationships/hyperlink" Target="http://www.3gpp.org/news-events/3gpp-news/1836-5g_nr_workplan" TargetMode="External"/><Relationship Id="rId9" Type="http://schemas.openxmlformats.org/officeDocument/2006/relationships/hyperlink" Target="http://www.cisco.com/c/en/us/solutions/collateral/service-provider/visual-networking-index-vni/mobile-white-paper-c11-520862.pdf" TargetMode="External"/><Relationship Id="rId14"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22" Type="http://schemas.openxmlformats.org/officeDocument/2006/relationships/hyperlink" Target="https://www.acma.gov.au/Industry/Spectrum/Spectrum-planning/Current-APs-info-and-resources/business-operating-procedures-spectrum-planning-ac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D6D5-DC34-4757-8C4A-73C0C23F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27565</Words>
  <Characters>157121</Characters>
  <Application>Microsoft Office Word</Application>
  <DocSecurity>0</DocSecurity>
  <Lines>1309</Lines>
  <Paragraphs>368</Paragraphs>
  <ScaleCrop>false</ScaleCrop>
  <Manager/>
  <Company/>
  <LinksUpToDate>false</LinksUpToDate>
  <CharactersWithSpaces>184318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2019-04-01T04:45:00Z</dcterms:created>
  <dcterms:modified xsi:type="dcterms:W3CDTF">2019-04-01T06:04:00Z</dcterms:modified>
  <cp:category/>
</cp:coreProperties>
</file>